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229235</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42545</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240"/>
        <w:spacing w:after="0"/>
        <w:rPr>
          <w:sz w:val="20"/>
          <w:szCs w:val="20"/>
          <w:color w:val="auto"/>
        </w:rPr>
      </w:pPr>
      <w:r>
        <w:rPr>
          <w:rFonts w:ascii="Arial" w:cs="Arial" w:eastAsia="Arial" w:hAnsi="Arial"/>
          <w:sz w:val="16"/>
          <w:szCs w:val="16"/>
          <w:color w:val="auto"/>
        </w:rPr>
        <w:t>(Mark One)</w:t>
      </w:r>
    </w:p>
    <w:p>
      <w:pPr>
        <w:spacing w:after="0" w:line="188" w:lineRule="exact"/>
        <w:rPr>
          <w:sz w:val="24"/>
          <w:szCs w:val="24"/>
          <w:color w:val="auto"/>
        </w:rPr>
      </w:pPr>
    </w:p>
    <w:p>
      <w:pPr>
        <w:ind w:left="680" w:hanging="449"/>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8" w:lineRule="exact"/>
        <w:rPr>
          <w:sz w:val="24"/>
          <w:szCs w:val="24"/>
          <w:color w:val="auto"/>
        </w:rPr>
      </w:pPr>
    </w:p>
    <w:p>
      <w:pPr>
        <w:ind w:left="4100"/>
        <w:spacing w:after="0"/>
        <w:rPr>
          <w:sz w:val="20"/>
          <w:szCs w:val="20"/>
          <w:color w:val="auto"/>
        </w:rPr>
      </w:pPr>
      <w:r>
        <w:rPr>
          <w:rFonts w:ascii="Arial" w:cs="Arial" w:eastAsia="Arial" w:hAnsi="Arial"/>
          <w:sz w:val="16"/>
          <w:szCs w:val="16"/>
          <w:color w:val="auto"/>
        </w:rPr>
        <w:t>For the quarterly period ended March 2, 2013</w:t>
      </w:r>
    </w:p>
    <w:p>
      <w:pPr>
        <w:spacing w:after="0" w:line="86" w:lineRule="exact"/>
        <w:rPr>
          <w:sz w:val="24"/>
          <w:szCs w:val="24"/>
          <w:color w:val="auto"/>
        </w:rPr>
      </w:pPr>
    </w:p>
    <w:p>
      <w:pPr>
        <w:ind w:left="5420"/>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420" w:hanging="2789"/>
        <w:spacing w:after="0" w:line="510" w:lineRule="auto"/>
        <w:tabs>
          <w:tab w:leader="none" w:pos="68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2492375</wp:posOffset>
            </wp:positionH>
            <wp:positionV relativeFrom="paragraph">
              <wp:posOffset>31750</wp:posOffset>
            </wp:positionV>
            <wp:extent cx="2272665" cy="909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7266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09"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309"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p>
      <w:pPr>
        <w:spacing w:after="0" w:line="243"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April 3, 2013 was 28,064,244.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8"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20" w:type="dxa"/>
            <w:vAlign w:val="bottom"/>
            <w:gridSpan w:val="10"/>
          </w:tcPr>
          <w:p>
            <w:pPr>
              <w:jc w:val="center"/>
              <w:ind w:right="200"/>
              <w:spacing w:after="0"/>
              <w:rPr>
                <w:sz w:val="20"/>
                <w:szCs w:val="20"/>
                <w:color w:val="auto"/>
              </w:rPr>
            </w:pPr>
            <w:r>
              <w:rPr>
                <w:rFonts w:ascii="Arial" w:cs="Arial" w:eastAsia="Arial" w:hAnsi="Arial"/>
                <w:sz w:val="22"/>
                <w:szCs w:val="22"/>
                <w:b w:val="1"/>
                <w:bCs w:val="1"/>
                <w:color w:val="auto"/>
                <w:w w:val="97"/>
              </w:rPr>
              <w:t>Winnebago Industries, Inc.</w:t>
            </w:r>
          </w:p>
        </w:tc>
      </w:t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8"/>
          </w:tcPr>
          <w:p>
            <w:pPr>
              <w:jc w:val="center"/>
              <w:ind w:right="540"/>
              <w:spacing w:after="0"/>
              <w:rPr>
                <w:sz w:val="20"/>
                <w:szCs w:val="20"/>
                <w:color w:val="auto"/>
              </w:rPr>
            </w:pPr>
            <w:r>
              <w:rPr>
                <w:rFonts w:ascii="Arial" w:cs="Arial" w:eastAsia="Arial" w:hAnsi="Arial"/>
                <w:sz w:val="22"/>
                <w:szCs w:val="22"/>
                <w:b w:val="1"/>
                <w:bCs w:val="1"/>
                <w:color w:val="auto"/>
                <w:w w:val="97"/>
              </w:rPr>
              <w:t>Table of Contents</w:t>
            </w:r>
          </w:p>
        </w:tc>
      </w:tr>
      <w:tr>
        <w:trPr>
          <w:trHeight w:val="530"/>
        </w:trPr>
        <w:tc>
          <w:tcPr>
            <w:tcW w:w="64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2">
              <w:r>
                <w:rPr>
                  <w:rFonts w:ascii="Arial" w:cs="Arial" w:eastAsia="Arial" w:hAnsi="Arial"/>
                  <w:sz w:val="16"/>
                  <w:szCs w:val="16"/>
                  <w:color w:val="0000FF"/>
                  <w:w w:val="98"/>
                </w:rPr>
                <w:t>Glossary</w:t>
              </w:r>
            </w:hyperlink>
          </w:p>
        </w:tc>
        <w:tc>
          <w:tcPr>
            <w:tcW w:w="2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20"/>
        </w:trPr>
        <w:tc>
          <w:tcPr>
            <w:tcW w:w="520" w:type="dxa"/>
            <w:vAlign w:val="bottom"/>
          </w:tcPr>
          <w:p>
            <w:pPr>
              <w:spacing w:after="0"/>
              <w:rPr>
                <w:sz w:val="20"/>
                <w:szCs w:val="20"/>
                <w:color w:val="auto"/>
              </w:rPr>
            </w:pPr>
            <w:r>
              <w:rPr>
                <w:rFonts w:ascii="Arial" w:cs="Arial" w:eastAsia="Arial" w:hAnsi="Arial"/>
                <w:sz w:val="16"/>
                <w:szCs w:val="16"/>
                <w:b w:val="1"/>
                <w:bCs w:val="1"/>
                <w:color w:val="0000FF"/>
                <w:w w:val="95"/>
              </w:rPr>
              <w:t>PART I</w:t>
            </w:r>
          </w:p>
        </w:tc>
        <w:tc>
          <w:tcPr>
            <w:tcW w:w="400" w:type="dxa"/>
            <w:vAlign w:val="bottom"/>
            <w:gridSpan w:val="4"/>
          </w:tcPr>
          <w:p>
            <w:pPr>
              <w:spacing w:after="0"/>
              <w:rPr>
                <w:sz w:val="24"/>
                <w:szCs w:val="24"/>
                <w:color w:val="auto"/>
              </w:rPr>
            </w:pPr>
          </w:p>
        </w:tc>
        <w:tc>
          <w:tcPr>
            <w:tcW w:w="6360" w:type="dxa"/>
            <w:vAlign w:val="bottom"/>
            <w:gridSpan w:val="29"/>
          </w:tcPr>
          <w:p>
            <w:pPr>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FINANCIAL INFORMATION</w:t>
              </w:r>
            </w:hyperlink>
          </w:p>
        </w:tc>
      </w:tr>
      <w:tr>
        <w:trPr>
          <w:trHeight w:val="20"/>
        </w:trPr>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6"/>
                <w:szCs w:val="16"/>
                <w:color w:val="auto"/>
              </w:rPr>
              <w:t>Item 1.</w:t>
            </w:r>
          </w:p>
        </w:tc>
        <w:tc>
          <w:tcPr>
            <w:tcW w:w="400" w:type="dxa"/>
            <w:vAlign w:val="bottom"/>
            <w:gridSpan w:val="4"/>
          </w:tcPr>
          <w:p>
            <w:pPr>
              <w:spacing w:after="0"/>
              <w:rPr>
                <w:sz w:val="19"/>
                <w:szCs w:val="19"/>
                <w:color w:val="auto"/>
              </w:rPr>
            </w:pPr>
          </w:p>
        </w:tc>
        <w:tc>
          <w:tcPr>
            <w:tcW w:w="6360" w:type="dxa"/>
            <w:vAlign w:val="bottom"/>
            <w:gridSpan w:val="29"/>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Financial Statements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gridSpan w:val="28"/>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Unaudited Consolidated Statements of Operations and Comprehensive Income</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80" w:type="dxa"/>
            <w:vAlign w:val="bottom"/>
            <w:tcBorders>
              <w:top w:val="single" w:sz="8" w:color="0000FF"/>
            </w:tcBorders>
            <w:gridSpan w:val="27"/>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Unaudited Consolidated Balance Sheets</w:t>
              </w:r>
            </w:hyperlink>
          </w:p>
        </w:tc>
        <w:tc>
          <w:tcPr>
            <w:tcW w:w="44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gridSpan w:val="28"/>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Unaudited Consolidated Statements of Cash Flows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940" w:type="dxa"/>
            <w:vAlign w:val="bottom"/>
            <w:tcBorders>
              <w:bottom w:val="single" w:sz="8" w:color="0000FF"/>
            </w:tcBorders>
            <w:gridSpan w:val="23"/>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Unaudited Consolidated Notes to Financial Statements</w:t>
              </w:r>
            </w:hyperlink>
          </w:p>
        </w:tc>
        <w:tc>
          <w:tcPr>
            <w:tcW w:w="2180" w:type="dxa"/>
            <w:vAlign w:val="bottom"/>
            <w:gridSpan w:val="5"/>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tcBorders>
              <w:bottom w:val="single" w:sz="8" w:color="0000FF"/>
            </w:tcBorders>
            <w:gridSpan w:val="14"/>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 1: Basis of Presentation</w:t>
              </w:r>
            </w:hyperlink>
          </w:p>
        </w:tc>
        <w:tc>
          <w:tcPr>
            <w:tcW w:w="3800" w:type="dxa"/>
            <w:vAlign w:val="bottom"/>
            <w:gridSpan w:val="13"/>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7"/>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 2: Concentration Risk</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7"/>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 3: Fair Value Measurements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Borders>
              <w:top w:val="single" w:sz="8" w:color="0000FF"/>
              <w:bottom w:val="single" w:sz="8" w:color="0000FF"/>
            </w:tcBorders>
            <w:gridSpan w:val="7"/>
          </w:tcPr>
          <w:p>
            <w:pPr>
              <w:spacing w:after="0"/>
              <w:rPr>
                <w:rFonts w:ascii="Arial" w:cs="Arial" w:eastAsia="Arial" w:hAnsi="Arial"/>
                <w:sz w:val="16"/>
                <w:szCs w:val="16"/>
                <w:color w:val="0000FF"/>
                <w:w w:val="99"/>
              </w:rPr>
            </w:pPr>
            <w:hyperlink w:anchor="page9">
              <w:r>
                <w:rPr>
                  <w:rFonts w:ascii="Arial" w:cs="Arial" w:eastAsia="Arial" w:hAnsi="Arial"/>
                  <w:sz w:val="16"/>
                  <w:szCs w:val="16"/>
                  <w:color w:val="0000FF"/>
                  <w:w w:val="99"/>
                </w:rPr>
                <w:t>Note 4: Investments</w:t>
              </w:r>
            </w:hyperlink>
          </w:p>
        </w:tc>
        <w:tc>
          <w:tcPr>
            <w:tcW w:w="960" w:type="dxa"/>
            <w:vAlign w:val="bottom"/>
            <w:tcBorders>
              <w:top w:val="single" w:sz="8" w:color="0000FF"/>
            </w:tcBorders>
            <w:gridSpan w:val="8"/>
          </w:tcPr>
          <w:p>
            <w:pPr>
              <w:spacing w:after="0"/>
              <w:rPr>
                <w:sz w:val="21"/>
                <w:szCs w:val="21"/>
                <w:color w:val="auto"/>
              </w:rPr>
            </w:pPr>
          </w:p>
        </w:tc>
        <w:tc>
          <w:tcPr>
            <w:tcW w:w="3500" w:type="dxa"/>
            <w:vAlign w:val="bottom"/>
            <w:gridSpan w:val="1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bottom w:val="single" w:sz="8" w:color="0000FF"/>
            </w:tcBorders>
            <w:gridSpan w:val="6"/>
          </w:tcPr>
          <w:p>
            <w:pPr>
              <w:spacing w:after="0"/>
              <w:rPr>
                <w:rFonts w:ascii="Arial" w:cs="Arial" w:eastAsia="Arial" w:hAnsi="Arial"/>
                <w:sz w:val="16"/>
                <w:szCs w:val="16"/>
                <w:color w:val="0000FF"/>
                <w:w w:val="99"/>
              </w:rPr>
            </w:pPr>
            <w:hyperlink w:anchor="page9">
              <w:r>
                <w:rPr>
                  <w:rFonts w:ascii="Arial" w:cs="Arial" w:eastAsia="Arial" w:hAnsi="Arial"/>
                  <w:sz w:val="16"/>
                  <w:szCs w:val="16"/>
                  <w:color w:val="0000FF"/>
                  <w:w w:val="99"/>
                </w:rPr>
                <w:t>Note 5: Inventories</w:t>
              </w:r>
            </w:hyperlink>
          </w:p>
        </w:tc>
        <w:tc>
          <w:tcPr>
            <w:tcW w:w="4540" w:type="dxa"/>
            <w:vAlign w:val="bottom"/>
            <w:gridSpan w:val="21"/>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7"/>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 6: Property, Plant and Equipment and Assets Held for Sale</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580" w:type="dxa"/>
            <w:vAlign w:val="bottom"/>
            <w:tcBorders>
              <w:top w:val="single" w:sz="8" w:color="0000FF"/>
            </w:tcBorders>
            <w:gridSpan w:val="25"/>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 7: Goodwill and Other Intangible Assets</w:t>
              </w:r>
            </w:hyperlink>
          </w:p>
        </w:tc>
        <w:tc>
          <w:tcPr>
            <w:tcW w:w="1320" w:type="dxa"/>
            <w:vAlign w:val="bottom"/>
            <w:gridSpan w:val="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Borders>
              <w:top w:val="single" w:sz="8" w:color="0000FF"/>
              <w:bottom w:val="single" w:sz="8" w:color="0000FF"/>
            </w:tcBorders>
            <w:gridSpan w:val="10"/>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Note 8: Credit Facilities</w:t>
              </w:r>
            </w:hyperlink>
          </w:p>
        </w:tc>
        <w:tc>
          <w:tcPr>
            <w:tcW w:w="1540" w:type="dxa"/>
            <w:vAlign w:val="bottom"/>
            <w:tcBorders>
              <w:top w:val="single" w:sz="8" w:color="0000FF"/>
            </w:tcBorders>
            <w:gridSpan w:val="9"/>
          </w:tcPr>
          <w:p>
            <w:pPr>
              <w:spacing w:after="0"/>
              <w:rPr>
                <w:sz w:val="21"/>
                <w:szCs w:val="21"/>
                <w:color w:val="auto"/>
              </w:rPr>
            </w:pPr>
          </w:p>
        </w:tc>
        <w:tc>
          <w:tcPr>
            <w:tcW w:w="2680" w:type="dxa"/>
            <w:vAlign w:val="bottom"/>
            <w:gridSpan w:val="8"/>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bottom w:val="single" w:sz="8" w:color="0000FF"/>
            </w:tcBorders>
            <w:gridSpan w:val="3"/>
          </w:tcPr>
          <w:p>
            <w:pPr>
              <w:spacing w:after="0"/>
              <w:rPr>
                <w:rFonts w:ascii="Arial" w:cs="Arial" w:eastAsia="Arial" w:hAnsi="Arial"/>
                <w:sz w:val="16"/>
                <w:szCs w:val="16"/>
                <w:color w:val="0000FF"/>
                <w:w w:val="99"/>
              </w:rPr>
            </w:pPr>
            <w:hyperlink w:anchor="page11">
              <w:r>
                <w:rPr>
                  <w:rFonts w:ascii="Arial" w:cs="Arial" w:eastAsia="Arial" w:hAnsi="Arial"/>
                  <w:sz w:val="16"/>
                  <w:szCs w:val="16"/>
                  <w:color w:val="0000FF"/>
                  <w:w w:val="99"/>
                </w:rPr>
                <w:t>Note 9: Warranty</w:t>
              </w:r>
            </w:hyperlink>
          </w:p>
        </w:tc>
        <w:tc>
          <w:tcPr>
            <w:tcW w:w="4680" w:type="dxa"/>
            <w:vAlign w:val="bottom"/>
            <w:gridSpan w:val="24"/>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7"/>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Note 10: Employee and Retiree Benefits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7"/>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Note 11: Stock-Based Compensation Plans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7"/>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Note 12: Contingent Liabilities and Commitments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top w:val="single" w:sz="8" w:color="0000FF"/>
              <w:bottom w:val="single" w:sz="8" w:color="0000FF"/>
            </w:tcBorders>
            <w:gridSpan w:val="9"/>
          </w:tcPr>
          <w:p>
            <w:pPr>
              <w:spacing w:after="0"/>
              <w:rPr>
                <w:rFonts w:ascii="Arial" w:cs="Arial" w:eastAsia="Arial" w:hAnsi="Arial"/>
                <w:sz w:val="16"/>
                <w:szCs w:val="16"/>
                <w:color w:val="0000FF"/>
                <w:w w:val="99"/>
              </w:rPr>
            </w:pPr>
            <w:hyperlink w:anchor="page13">
              <w:r>
                <w:rPr>
                  <w:rFonts w:ascii="Arial" w:cs="Arial" w:eastAsia="Arial" w:hAnsi="Arial"/>
                  <w:sz w:val="16"/>
                  <w:szCs w:val="16"/>
                  <w:color w:val="0000FF"/>
                  <w:w w:val="99"/>
                </w:rPr>
                <w:t>Note 13: Income Taxes</w:t>
              </w:r>
            </w:hyperlink>
          </w:p>
        </w:tc>
        <w:tc>
          <w:tcPr>
            <w:tcW w:w="1840" w:type="dxa"/>
            <w:vAlign w:val="bottom"/>
            <w:tcBorders>
              <w:top w:val="single" w:sz="8" w:color="0000FF"/>
            </w:tcBorders>
            <w:gridSpan w:val="12"/>
          </w:tcPr>
          <w:p>
            <w:pPr>
              <w:spacing w:after="0"/>
              <w:rPr>
                <w:sz w:val="21"/>
                <w:szCs w:val="21"/>
                <w:color w:val="auto"/>
              </w:rPr>
            </w:pPr>
          </w:p>
        </w:tc>
        <w:tc>
          <w:tcPr>
            <w:tcW w:w="2400" w:type="dxa"/>
            <w:vAlign w:val="bottom"/>
            <w:gridSpan w:val="6"/>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7"/>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Note 14: Earnings Per Share</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Borders>
              <w:top w:val="single" w:sz="8" w:color="0000FF"/>
              <w:bottom w:val="single" w:sz="8" w:color="0000FF"/>
            </w:tcBorders>
            <w:gridSpan w:val="12"/>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Note 15: Subsequent Event</w:t>
              </w:r>
            </w:hyperlink>
          </w:p>
        </w:tc>
        <w:tc>
          <w:tcPr>
            <w:tcW w:w="80" w:type="dxa"/>
            <w:vAlign w:val="bottom"/>
            <w:tcBorders>
              <w:top w:val="single" w:sz="8" w:color="0000FF"/>
            </w:tcBorders>
          </w:tcPr>
          <w:p>
            <w:pPr>
              <w:spacing w:after="0"/>
              <w:rPr>
                <w:sz w:val="21"/>
                <w:szCs w:val="21"/>
                <w:color w:val="auto"/>
              </w:rPr>
            </w:pPr>
          </w:p>
        </w:tc>
        <w:tc>
          <w:tcPr>
            <w:tcW w:w="3840" w:type="dxa"/>
            <w:vAlign w:val="bottom"/>
            <w:gridSpan w:val="14"/>
          </w:tcPr>
          <w:p>
            <w:pPr>
              <w:spacing w:after="0"/>
              <w:rPr>
                <w:sz w:val="21"/>
                <w:szCs w:val="21"/>
                <w:color w:val="auto"/>
              </w:rPr>
            </w:pPr>
          </w:p>
        </w:tc>
      </w:tr>
      <w:tr>
        <w:trPr>
          <w:trHeight w:val="250"/>
        </w:trPr>
        <w:tc>
          <w:tcPr>
            <w:tcW w:w="920" w:type="dxa"/>
            <w:vAlign w:val="bottom"/>
            <w:gridSpan w:val="5"/>
          </w:tcPr>
          <w:p>
            <w:pPr>
              <w:spacing w:after="0"/>
              <w:rPr>
                <w:sz w:val="20"/>
                <w:szCs w:val="20"/>
                <w:color w:val="auto"/>
              </w:rPr>
            </w:pPr>
            <w:r>
              <w:rPr>
                <w:rFonts w:ascii="Arial" w:cs="Arial" w:eastAsia="Arial" w:hAnsi="Arial"/>
                <w:sz w:val="16"/>
                <w:szCs w:val="16"/>
                <w:color w:val="auto"/>
              </w:rPr>
              <w:t>Item 2.</w:t>
            </w:r>
          </w:p>
        </w:tc>
        <w:tc>
          <w:tcPr>
            <w:tcW w:w="6360" w:type="dxa"/>
            <w:vAlign w:val="bottom"/>
            <w:tcBorders>
              <w:bottom w:val="single" w:sz="8" w:color="0000FF"/>
            </w:tcBorders>
            <w:gridSpan w:val="29"/>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Management's Discussion and Analysis of Financial Condition and Results of Operations</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3.</w:t>
            </w:r>
          </w:p>
        </w:tc>
        <w:tc>
          <w:tcPr>
            <w:tcW w:w="4240" w:type="dxa"/>
            <w:vAlign w:val="bottom"/>
            <w:tcBorders>
              <w:bottom w:val="single" w:sz="8" w:color="0000FF"/>
            </w:tcBorders>
            <w:gridSpan w:val="25"/>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Quantitative and Qualitative Disclosures About Market Risk</w:t>
              </w:r>
            </w:hyperlink>
          </w:p>
        </w:tc>
        <w:tc>
          <w:tcPr>
            <w:tcW w:w="2120" w:type="dxa"/>
            <w:vAlign w:val="bottom"/>
            <w:gridSpan w:val="4"/>
          </w:tcPr>
          <w:p>
            <w:pPr>
              <w:spacing w:after="0"/>
              <w:rPr>
                <w:sz w:val="19"/>
                <w:szCs w:val="19"/>
                <w:color w:val="auto"/>
              </w:rPr>
            </w:pPr>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4.</w:t>
            </w:r>
          </w:p>
        </w:tc>
        <w:tc>
          <w:tcPr>
            <w:tcW w:w="6360" w:type="dxa"/>
            <w:vAlign w:val="bottom"/>
            <w:gridSpan w:val="29"/>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Controls and Procedures</w:t>
              </w:r>
            </w:hyperlink>
          </w:p>
        </w:tc>
      </w:tr>
      <w:tr>
        <w:trPr>
          <w:trHeight w:val="520"/>
        </w:trPr>
        <w:tc>
          <w:tcPr>
            <w:tcW w:w="560" w:type="dxa"/>
            <w:vAlign w:val="bottom"/>
            <w:tcBorders>
              <w:bottom w:val="single" w:sz="8" w:color="0000FF"/>
            </w:tcBorders>
            <w:gridSpan w:val="2"/>
          </w:tcPr>
          <w:p>
            <w:pPr>
              <w:spacing w:after="0"/>
              <w:rPr>
                <w:rFonts w:ascii="Arial" w:cs="Arial" w:eastAsia="Arial" w:hAnsi="Arial"/>
                <w:sz w:val="16"/>
                <w:szCs w:val="16"/>
                <w:b w:val="1"/>
                <w:bCs w:val="1"/>
                <w:color w:val="0000FF"/>
                <w:w w:val="94"/>
              </w:rPr>
            </w:pPr>
            <w:hyperlink w:anchor="page24">
              <w:r>
                <w:rPr>
                  <w:rFonts w:ascii="Arial" w:cs="Arial" w:eastAsia="Arial" w:hAnsi="Arial"/>
                  <w:sz w:val="16"/>
                  <w:szCs w:val="16"/>
                  <w:b w:val="1"/>
                  <w:bCs w:val="1"/>
                  <w:color w:val="0000FF"/>
                  <w:w w:val="94"/>
                </w:rPr>
                <w:t>PART II</w:t>
              </w:r>
            </w:hyperlink>
          </w:p>
        </w:tc>
        <w:tc>
          <w:tcPr>
            <w:tcW w:w="360" w:type="dxa"/>
            <w:vAlign w:val="bottom"/>
            <w:gridSpan w:val="3"/>
          </w:tcPr>
          <w:p>
            <w:pPr>
              <w:spacing w:after="0"/>
              <w:rPr>
                <w:sz w:val="24"/>
                <w:szCs w:val="24"/>
                <w:color w:val="auto"/>
              </w:rPr>
            </w:pPr>
          </w:p>
        </w:tc>
        <w:tc>
          <w:tcPr>
            <w:tcW w:w="1740" w:type="dxa"/>
            <w:vAlign w:val="bottom"/>
            <w:tcBorders>
              <w:top w:val="single" w:sz="8" w:color="0000FF"/>
              <w:bottom w:val="single" w:sz="8" w:color="0000FF"/>
            </w:tcBorders>
            <w:gridSpan w:val="6"/>
          </w:tcPr>
          <w:p>
            <w:pPr>
              <w:spacing w:after="0"/>
              <w:rPr>
                <w:rFonts w:ascii="Arial" w:cs="Arial" w:eastAsia="Arial" w:hAnsi="Arial"/>
                <w:sz w:val="16"/>
                <w:szCs w:val="16"/>
                <w:b w:val="1"/>
                <w:bCs w:val="1"/>
                <w:color w:val="0000FF"/>
                <w:w w:val="99"/>
              </w:rPr>
            </w:pPr>
            <w:hyperlink w:anchor="page24">
              <w:r>
                <w:rPr>
                  <w:rFonts w:ascii="Arial" w:cs="Arial" w:eastAsia="Arial" w:hAnsi="Arial"/>
                  <w:sz w:val="16"/>
                  <w:szCs w:val="16"/>
                  <w:b w:val="1"/>
                  <w:bCs w:val="1"/>
                  <w:color w:val="0000FF"/>
                  <w:w w:val="99"/>
                </w:rPr>
                <w:t>OTHER INFORMATION</w:t>
              </w:r>
            </w:hyperlink>
          </w:p>
        </w:tc>
        <w:tc>
          <w:tcPr>
            <w:tcW w:w="40" w:type="dxa"/>
            <w:vAlign w:val="bottom"/>
            <w:tcBorders>
              <w:top w:val="single" w:sz="8" w:color="0000FF"/>
            </w:tcBorders>
          </w:tcPr>
          <w:p>
            <w:pPr>
              <w:spacing w:after="0"/>
              <w:rPr>
                <w:sz w:val="24"/>
                <w:szCs w:val="24"/>
                <w:color w:val="auto"/>
              </w:rPr>
            </w:pPr>
          </w:p>
        </w:tc>
        <w:tc>
          <w:tcPr>
            <w:tcW w:w="4580" w:type="dxa"/>
            <w:vAlign w:val="bottom"/>
            <w:gridSpan w:val="22"/>
          </w:tcPr>
          <w:p>
            <w:pPr>
              <w:spacing w:after="0"/>
              <w:rPr>
                <w:sz w:val="24"/>
                <w:szCs w:val="24"/>
                <w:color w:val="auto"/>
              </w:rPr>
            </w:pPr>
          </w:p>
        </w:tc>
      </w:tr>
      <w:tr>
        <w:trPr>
          <w:trHeight w:val="250"/>
        </w:trPr>
        <w:tc>
          <w:tcPr>
            <w:tcW w:w="920" w:type="dxa"/>
            <w:vAlign w:val="bottom"/>
            <w:gridSpan w:val="5"/>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24">
              <w:r>
                <w:rPr>
                  <w:rFonts w:ascii="Arial" w:cs="Arial" w:eastAsia="Arial" w:hAnsi="Arial"/>
                  <w:sz w:val="16"/>
                  <w:szCs w:val="16"/>
                  <w:color w:val="0000FF"/>
                  <w:w w:val="99"/>
                </w:rPr>
                <w:t>Legal Proceedings</w:t>
              </w:r>
            </w:hyperlink>
          </w:p>
        </w:tc>
        <w:tc>
          <w:tcPr>
            <w:tcW w:w="5020" w:type="dxa"/>
            <w:vAlign w:val="bottom"/>
            <w:gridSpan w:val="25"/>
          </w:tcPr>
          <w:p>
            <w:pPr>
              <w:spacing w:after="0"/>
              <w:rPr>
                <w:sz w:val="21"/>
                <w:szCs w:val="21"/>
                <w:color w:val="auto"/>
              </w:rPr>
            </w:pPr>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2.</w:t>
            </w:r>
          </w:p>
        </w:tc>
        <w:tc>
          <w:tcPr>
            <w:tcW w:w="6360" w:type="dxa"/>
            <w:vAlign w:val="bottom"/>
            <w:gridSpan w:val="29"/>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Unregistered Sales of Equity Securities and Use of Proceeds</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6.</w:t>
            </w:r>
          </w:p>
        </w:tc>
        <w:tc>
          <w:tcPr>
            <w:tcW w:w="4360" w:type="dxa"/>
            <w:vAlign w:val="bottom"/>
            <w:tcBorders>
              <w:top w:val="single" w:sz="8" w:color="0000FF"/>
            </w:tcBorders>
            <w:gridSpan w:val="26"/>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Exhibits</w:t>
              </w:r>
            </w:hyperlink>
          </w:p>
        </w:tc>
        <w:tc>
          <w:tcPr>
            <w:tcW w:w="2000" w:type="dxa"/>
            <w:vAlign w:val="bottom"/>
            <w:gridSpan w:val="3"/>
          </w:tcPr>
          <w:p>
            <w:pPr>
              <w:spacing w:after="0"/>
              <w:rPr>
                <w:sz w:val="19"/>
                <w:szCs w:val="19"/>
                <w:color w:val="auto"/>
              </w:rPr>
            </w:pPr>
          </w:p>
        </w:tc>
      </w:tr>
      <w:tr>
        <w:trPr>
          <w:trHeight w:val="223"/>
        </w:trPr>
        <w:tc>
          <w:tcPr>
            <w:tcW w:w="920" w:type="dxa"/>
            <w:vAlign w:val="bottom"/>
            <w:gridSpan w:val="5"/>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Signatures</w:t>
              </w:r>
            </w:hyperlink>
          </w:p>
        </w:tc>
        <w:tc>
          <w:tcPr>
            <w:tcW w:w="2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1</w:t>
        </w:r>
      </w:hyperlink>
    </w:p>
    <w:p>
      <w:pPr>
        <w:spacing w:after="0" w:line="356" w:lineRule="exact"/>
        <w:rPr>
          <w:sz w:val="20"/>
          <w:szCs w:val="20"/>
          <w:color w:val="auto"/>
        </w:rPr>
      </w:pPr>
    </w:p>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2</w:t>
        </w:r>
      </w:hyperlink>
    </w:p>
    <w:p>
      <w:pPr>
        <w:spacing w:after="0" w:line="356" w:lineRule="exact"/>
        <w:rPr>
          <w:sz w:val="20"/>
          <w:szCs w:val="20"/>
          <w:color w:val="auto"/>
        </w:rPr>
      </w:pPr>
    </w:p>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2</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3</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4</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9</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9</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10</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10</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10</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3">
        <w:r>
          <w:rPr>
            <w:rFonts w:ascii="Arial" w:cs="Arial" w:eastAsia="Arial" w:hAnsi="Arial"/>
            <w:sz w:val="16"/>
            <w:szCs w:val="16"/>
            <w:u w:val="single" w:color="auto"/>
            <w:color w:val="0000FF"/>
          </w:rPr>
          <w:t>11</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12</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21</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21</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22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22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22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23</w:t>
        </w:r>
      </w:hyperlink>
    </w:p>
    <w:p>
      <w:pPr>
        <w:sectPr>
          <w:pgSz w:w="11900" w:h="16838" w:orient="portrait"/>
          <w:cols w:equalWidth="0" w:num="2">
            <w:col w:w="10460" w:space="720"/>
            <w:col w:w="18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AOCI</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Accumulated Other Comprehensive Income</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ARS</w:t>
            </w:r>
          </w:p>
        </w:tc>
        <w:tc>
          <w:tcPr>
            <w:tcW w:w="9640" w:type="dxa"/>
            <w:vAlign w:val="bottom"/>
          </w:tcPr>
          <w:p>
            <w:pPr>
              <w:ind w:left="480"/>
              <w:spacing w:after="0"/>
              <w:rPr>
                <w:sz w:val="20"/>
                <w:szCs w:val="20"/>
                <w:color w:val="auto"/>
              </w:rPr>
            </w:pPr>
            <w:r>
              <w:rPr>
                <w:rFonts w:ascii="Arial" w:cs="Arial" w:eastAsia="Arial" w:hAnsi="Arial"/>
                <w:sz w:val="16"/>
                <w:szCs w:val="16"/>
                <w:color w:val="auto"/>
              </w:rPr>
              <w:t>Auction Rate Securities</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ASC</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ASP</w:t>
            </w:r>
          </w:p>
        </w:tc>
        <w:tc>
          <w:tcPr>
            <w:tcW w:w="9640" w:type="dxa"/>
            <w:vAlign w:val="bottom"/>
          </w:tcPr>
          <w:p>
            <w:pPr>
              <w:ind w:left="48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ASU</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COLI</w:t>
            </w:r>
          </w:p>
        </w:tc>
        <w:tc>
          <w:tcPr>
            <w:tcW w:w="9640" w:type="dxa"/>
            <w:vAlign w:val="bottom"/>
          </w:tcPr>
          <w:p>
            <w:pPr>
              <w:ind w:left="480"/>
              <w:spacing w:after="0"/>
              <w:rPr>
                <w:sz w:val="20"/>
                <w:szCs w:val="20"/>
                <w:color w:val="auto"/>
              </w:rPr>
            </w:pPr>
            <w:r>
              <w:rPr>
                <w:rFonts w:ascii="Arial" w:cs="Arial" w:eastAsia="Arial" w:hAnsi="Arial"/>
                <w:sz w:val="16"/>
                <w:szCs w:val="16"/>
                <w:color w:val="auto"/>
              </w:rPr>
              <w:t>Company Owned Life Insurance</w:t>
            </w:r>
          </w:p>
        </w:tc>
        <w:tc>
          <w:tcPr>
            <w:tcW w:w="0" w:type="dxa"/>
            <w:vAlign w:val="bottom"/>
          </w:tcPr>
          <w:p>
            <w:pPr>
              <w:spacing w:after="0"/>
              <w:rPr>
                <w:sz w:val="1"/>
                <w:szCs w:val="1"/>
                <w:color w:val="auto"/>
              </w:rPr>
            </w:pPr>
          </w:p>
        </w:tc>
      </w:tr>
      <w:tr>
        <w:trPr>
          <w:trHeight w:val="228"/>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Agreement</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Credit Agreement dated as of October 31, 2012 by and between Winnebago Industries, Inc. and Winnebago of Indiana LLC, as</w:t>
            </w:r>
          </w:p>
        </w:tc>
        <w:tc>
          <w:tcPr>
            <w:tcW w:w="0" w:type="dxa"/>
            <w:vAlign w:val="bottom"/>
          </w:tcPr>
          <w:p>
            <w:pPr>
              <w:spacing w:after="0"/>
              <w:rPr>
                <w:sz w:val="1"/>
                <w:szCs w:val="1"/>
                <w:color w:val="auto"/>
              </w:rPr>
            </w:pPr>
          </w:p>
        </w:tc>
      </w:tr>
      <w:tr>
        <w:trPr>
          <w:trHeight w:val="214"/>
        </w:trPr>
        <w:tc>
          <w:tcPr>
            <w:tcW w:w="1780" w:type="dxa"/>
            <w:vAlign w:val="bottom"/>
            <w:shd w:val="clear" w:color="auto" w:fill="CCEEFF"/>
          </w:tcPr>
          <w:p>
            <w:pPr>
              <w:spacing w:after="0"/>
              <w:rPr>
                <w:sz w:val="18"/>
                <w:szCs w:val="18"/>
                <w:color w:val="auto"/>
              </w:rPr>
            </w:pP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borrowers, and General Electric Capital Corporation, as Agent</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DCF</w:t>
            </w:r>
          </w:p>
        </w:tc>
        <w:tc>
          <w:tcPr>
            <w:tcW w:w="9640" w:type="dxa"/>
            <w:vAlign w:val="bottom"/>
          </w:tcPr>
          <w:p>
            <w:pPr>
              <w:ind w:left="480"/>
              <w:spacing w:after="0"/>
              <w:rPr>
                <w:sz w:val="20"/>
                <w:szCs w:val="20"/>
                <w:color w:val="auto"/>
              </w:rPr>
            </w:pPr>
            <w:r>
              <w:rPr>
                <w:rFonts w:ascii="Arial" w:cs="Arial" w:eastAsia="Arial" w:hAnsi="Arial"/>
                <w:sz w:val="16"/>
                <w:szCs w:val="16"/>
                <w:color w:val="auto"/>
              </w:rPr>
              <w:t>Discounted Cash Flow</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FASB</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FIFO</w:t>
            </w:r>
          </w:p>
        </w:tc>
        <w:tc>
          <w:tcPr>
            <w:tcW w:w="9640" w:type="dxa"/>
            <w:vAlign w:val="bottom"/>
          </w:tcPr>
          <w:p>
            <w:pPr>
              <w:ind w:left="48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GAAP</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224"/>
        </w:trPr>
        <w:tc>
          <w:tcPr>
            <w:tcW w:w="1780" w:type="dxa"/>
            <w:vAlign w:val="bottom"/>
            <w:vMerge w:val="restart"/>
          </w:tcPr>
          <w:p>
            <w:pPr>
              <w:ind w:left="40"/>
              <w:spacing w:after="0"/>
              <w:rPr>
                <w:sz w:val="20"/>
                <w:szCs w:val="20"/>
                <w:color w:val="auto"/>
              </w:rPr>
            </w:pPr>
            <w:r>
              <w:rPr>
                <w:rFonts w:ascii="Arial" w:cs="Arial" w:eastAsia="Arial" w:hAnsi="Arial"/>
                <w:sz w:val="16"/>
                <w:szCs w:val="16"/>
                <w:color w:val="auto"/>
              </w:rPr>
              <w:t>GECC</w:t>
            </w:r>
          </w:p>
        </w:tc>
        <w:tc>
          <w:tcPr>
            <w:tcW w:w="9640" w:type="dxa"/>
            <w:vAlign w:val="bottom"/>
          </w:tcPr>
          <w:p>
            <w:pPr>
              <w:ind w:left="480"/>
              <w:spacing w:after="0"/>
              <w:rPr>
                <w:sz w:val="20"/>
                <w:szCs w:val="20"/>
                <w:color w:val="auto"/>
              </w:rPr>
            </w:pPr>
            <w:r>
              <w:rPr>
                <w:rFonts w:ascii="Arial" w:cs="Arial" w:eastAsia="Arial" w:hAnsi="Arial"/>
                <w:sz w:val="16"/>
                <w:szCs w:val="16"/>
                <w:color w:val="auto"/>
              </w:rPr>
              <w:t>General Electric Capital Corporation</w:t>
            </w:r>
          </w:p>
        </w:tc>
        <w:tc>
          <w:tcPr>
            <w:tcW w:w="0" w:type="dxa"/>
            <w:vAlign w:val="bottom"/>
          </w:tcPr>
          <w:p>
            <w:pPr>
              <w:spacing w:after="0"/>
              <w:rPr>
                <w:sz w:val="1"/>
                <w:szCs w:val="1"/>
                <w:color w:val="auto"/>
              </w:rPr>
            </w:pPr>
          </w:p>
        </w:tc>
      </w:tr>
      <w:tr>
        <w:trPr>
          <w:trHeight w:val="64"/>
        </w:trPr>
        <w:tc>
          <w:tcPr>
            <w:tcW w:w="1780" w:type="dxa"/>
            <w:vAlign w:val="bottom"/>
            <w:vMerge w:val="continue"/>
          </w:tcPr>
          <w:p>
            <w:pPr>
              <w:spacing w:after="0"/>
              <w:rPr>
                <w:sz w:val="5"/>
                <w:szCs w:val="5"/>
                <w:color w:val="auto"/>
              </w:rPr>
            </w:pPr>
          </w:p>
        </w:tc>
        <w:tc>
          <w:tcPr>
            <w:tcW w:w="9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IRS</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LIBOR</w:t>
            </w:r>
          </w:p>
        </w:tc>
        <w:tc>
          <w:tcPr>
            <w:tcW w:w="9640" w:type="dxa"/>
            <w:vAlign w:val="bottom"/>
          </w:tcPr>
          <w:p>
            <w:pPr>
              <w:ind w:left="48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218"/>
        </w:trPr>
        <w:tc>
          <w:tcPr>
            <w:tcW w:w="1780" w:type="dxa"/>
            <w:vAlign w:val="bottom"/>
          </w:tcPr>
          <w:p>
            <w:pPr>
              <w:ind w:left="40"/>
              <w:spacing w:after="0"/>
              <w:rPr>
                <w:sz w:val="20"/>
                <w:szCs w:val="20"/>
                <w:color w:val="auto"/>
              </w:rPr>
            </w:pPr>
            <w:r>
              <w:rPr>
                <w:rFonts w:ascii="Arial" w:cs="Arial" w:eastAsia="Arial" w:hAnsi="Arial"/>
                <w:sz w:val="16"/>
                <w:szCs w:val="16"/>
                <w:color w:val="auto"/>
              </w:rPr>
              <w:t>Loan Agreement</w:t>
            </w:r>
          </w:p>
        </w:tc>
        <w:tc>
          <w:tcPr>
            <w:tcW w:w="9640" w:type="dxa"/>
            <w:vAlign w:val="bottom"/>
          </w:tcPr>
          <w:p>
            <w:pPr>
              <w:ind w:left="480"/>
              <w:spacing w:after="0"/>
              <w:rPr>
                <w:sz w:val="20"/>
                <w:szCs w:val="20"/>
                <w:color w:val="auto"/>
              </w:rPr>
            </w:pPr>
            <w:r>
              <w:rPr>
                <w:rFonts w:ascii="Arial" w:cs="Arial" w:eastAsia="Arial" w:hAnsi="Arial"/>
                <w:sz w:val="16"/>
                <w:szCs w:val="16"/>
                <w:color w:val="auto"/>
              </w:rPr>
              <w:t>Loan and Security Agreement dated October 13, 2009 by and between Winnebago Industries, Inc. and Wells Fargo Bank,</w:t>
            </w: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9640" w:type="dxa"/>
            <w:vAlign w:val="bottom"/>
          </w:tcPr>
          <w:p>
            <w:pPr>
              <w:ind w:left="480"/>
              <w:spacing w:after="0"/>
              <w:rPr>
                <w:sz w:val="20"/>
                <w:szCs w:val="20"/>
                <w:color w:val="auto"/>
              </w:rPr>
            </w:pPr>
            <w:r>
              <w:rPr>
                <w:rFonts w:ascii="Arial" w:cs="Arial" w:eastAsia="Arial" w:hAnsi="Arial"/>
                <w:sz w:val="16"/>
                <w:szCs w:val="16"/>
                <w:color w:val="auto"/>
              </w:rPr>
              <w:t>National Association, as successor to Burdale Capital Finance, Inc., as Agent</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NMF</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Non-Meaningful Figure</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NYSE</w:t>
            </w:r>
          </w:p>
        </w:tc>
        <w:tc>
          <w:tcPr>
            <w:tcW w:w="9640" w:type="dxa"/>
            <w:vAlign w:val="bottom"/>
          </w:tcPr>
          <w:p>
            <w:pPr>
              <w:ind w:left="48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RV</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RVIA</w:t>
            </w:r>
          </w:p>
        </w:tc>
        <w:tc>
          <w:tcPr>
            <w:tcW w:w="9640" w:type="dxa"/>
            <w:vAlign w:val="bottom"/>
          </w:tcPr>
          <w:p>
            <w:pPr>
              <w:ind w:left="48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SERP</w:t>
            </w:r>
          </w:p>
        </w:tc>
        <w:tc>
          <w:tcPr>
            <w:tcW w:w="9640" w:type="dxa"/>
            <w:vAlign w:val="bottom"/>
          </w:tcPr>
          <w:p>
            <w:pPr>
              <w:ind w:left="48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 Surveys</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SunnyBrook</w:t>
            </w:r>
          </w:p>
        </w:tc>
        <w:tc>
          <w:tcPr>
            <w:tcW w:w="9640" w:type="dxa"/>
            <w:vAlign w:val="bottom"/>
          </w:tcPr>
          <w:p>
            <w:pPr>
              <w:ind w:left="480"/>
              <w:spacing w:after="0"/>
              <w:rPr>
                <w:sz w:val="20"/>
                <w:szCs w:val="20"/>
                <w:color w:val="auto"/>
              </w:rPr>
            </w:pPr>
            <w:r>
              <w:rPr>
                <w:rFonts w:ascii="Arial" w:cs="Arial" w:eastAsia="Arial" w:hAnsi="Arial"/>
                <w:sz w:val="16"/>
                <w:szCs w:val="16"/>
                <w:color w:val="auto"/>
              </w:rPr>
              <w:t>SunnyBrook RV, Inc.</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Winnebago of Indiana, LLC, a wholly-owned subsidiary of Winnebago Industries, Inc.</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US</w:t>
            </w:r>
          </w:p>
        </w:tc>
        <w:tc>
          <w:tcPr>
            <w:tcW w:w="9640" w:type="dxa"/>
            <w:vAlign w:val="bottom"/>
          </w:tcPr>
          <w:p>
            <w:pPr>
              <w:ind w:left="48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845"/>
        </w:trPr>
        <w:tc>
          <w:tcPr>
            <w:tcW w:w="1780" w:type="dxa"/>
            <w:vAlign w:val="bottom"/>
          </w:tcPr>
          <w:p>
            <w:pPr>
              <w:spacing w:after="0"/>
              <w:rPr>
                <w:sz w:val="24"/>
                <w:szCs w:val="24"/>
                <w:color w:val="auto"/>
              </w:rPr>
            </w:pPr>
          </w:p>
        </w:tc>
        <w:tc>
          <w:tcPr>
            <w:tcW w:w="9640" w:type="dxa"/>
            <w:vAlign w:val="bottom"/>
          </w:tcPr>
          <w:p>
            <w:pPr>
              <w:ind w:left="38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Consolidated Statements of Operations and Comprehensive Income</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w:t>
            </w:r>
          </w:p>
        </w:tc>
        <w:tc>
          <w:tcPr>
            <w:tcW w:w="220" w:type="dxa"/>
            <w:vAlign w:val="bottom"/>
          </w:tcPr>
          <w:p>
            <w:pPr>
              <w:spacing w:after="0"/>
              <w:rPr>
                <w:sz w:val="15"/>
                <w:szCs w:val="15"/>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25,</w:t>
            </w:r>
          </w:p>
        </w:tc>
        <w:tc>
          <w:tcPr>
            <w:tcW w:w="280" w:type="dxa"/>
            <w:vAlign w:val="bottom"/>
          </w:tcPr>
          <w:p>
            <w:pPr>
              <w:spacing w:after="0"/>
              <w:rPr>
                <w:sz w:val="15"/>
                <w:szCs w:val="15"/>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w:t>
            </w:r>
          </w:p>
        </w:tc>
        <w:tc>
          <w:tcPr>
            <w:tcW w:w="220" w:type="dxa"/>
            <w:vAlign w:val="bottom"/>
          </w:tcPr>
          <w:p>
            <w:pPr>
              <w:spacing w:after="0"/>
              <w:rPr>
                <w:sz w:val="15"/>
                <w:szCs w:val="15"/>
                <w:color w:val="auto"/>
              </w:rPr>
            </w:pPr>
          </w:p>
        </w:tc>
        <w:tc>
          <w:tcPr>
            <w:tcW w:w="1300" w:type="dxa"/>
            <w:vAlign w:val="bottom"/>
          </w:tcPr>
          <w:p>
            <w:pPr>
              <w:jc w:val="right"/>
              <w:ind w:right="260"/>
              <w:spacing w:after="0"/>
              <w:rPr>
                <w:sz w:val="20"/>
                <w:szCs w:val="20"/>
                <w:color w:val="auto"/>
              </w:rPr>
            </w:pPr>
            <w:r>
              <w:rPr>
                <w:rFonts w:ascii="Arial" w:cs="Arial" w:eastAsia="Arial" w:hAnsi="Arial"/>
                <w:sz w:val="14"/>
                <w:szCs w:val="14"/>
                <w:b w:val="1"/>
                <w:bCs w:val="1"/>
                <w:color w:val="auto"/>
              </w:rPr>
              <w:t>February 25,</w:t>
            </w:r>
          </w:p>
        </w:tc>
      </w:tr>
      <w:tr>
        <w:trPr>
          <w:trHeight w:val="196"/>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2012</w:t>
            </w:r>
          </w:p>
        </w:tc>
      </w:tr>
      <w:tr>
        <w:trPr>
          <w:trHeight w:val="256"/>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177,166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131,600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370,720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263,437</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159,975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124,754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332,782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248,095</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17,191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6,846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37,938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15,342</w:t>
            </w:r>
          </w:p>
        </w:tc>
      </w:tr>
      <w:tr>
        <w:trPr>
          <w:trHeight w:val="254"/>
        </w:trPr>
        <w:tc>
          <w:tcPr>
            <w:tcW w:w="50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3,831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3,992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8,792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8,154</w:t>
            </w:r>
          </w:p>
        </w:tc>
      </w:tr>
      <w:tr>
        <w:trPr>
          <w:trHeight w:val="260"/>
        </w:trPr>
        <w:tc>
          <w:tcPr>
            <w:tcW w:w="504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4,488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240"/>
              <w:spacing w:after="0"/>
              <w:rPr>
                <w:sz w:val="20"/>
                <w:szCs w:val="20"/>
                <w:color w:val="auto"/>
              </w:rPr>
            </w:pPr>
            <w:r>
              <w:rPr>
                <w:rFonts w:ascii="Arial" w:cs="Arial" w:eastAsia="Arial" w:hAnsi="Arial"/>
                <w:sz w:val="16"/>
                <w:szCs w:val="16"/>
                <w:color w:val="auto"/>
              </w:rPr>
              <w:t>4,018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10,300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240"/>
              <w:spacing w:after="0"/>
              <w:rPr>
                <w:sz w:val="20"/>
                <w:szCs w:val="20"/>
                <w:color w:val="auto"/>
              </w:rPr>
            </w:pPr>
            <w:r>
              <w:rPr>
                <w:rFonts w:ascii="Arial" w:cs="Arial" w:eastAsia="Arial" w:hAnsi="Arial"/>
                <w:sz w:val="16"/>
                <w:szCs w:val="16"/>
                <w:color w:val="auto"/>
              </w:rPr>
              <w:t>7,725</w:t>
            </w:r>
          </w:p>
        </w:tc>
      </w:tr>
      <w:tr>
        <w:trPr>
          <w:trHeight w:val="273"/>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on sale of asset held for sale</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r>
      <w:tr>
        <w:trPr>
          <w:trHeight w:val="250"/>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rPr>
              <w:t>8,319</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rPr>
              <w:t>8,010</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rPr>
              <w:t>19,120</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rPr>
              <w:t>15,879</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8,872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(1,164)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18,818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(537)</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Non-operating (expense) income</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147</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8,853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19,413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(390)</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(benefit) for taxes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2,568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5,737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(513)</w:t>
            </w: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6,285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(912)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13,676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123</w:t>
            </w: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7"/>
        </w:trPr>
        <w:tc>
          <w:tcPr>
            <w:tcW w:w="5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per common share:</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040" w:type="dxa"/>
            <w:vAlign w:val="bottom"/>
          </w:tcPr>
          <w:p>
            <w:pPr>
              <w:ind w:left="28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0"/>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40"/>
              <w:spacing w:after="0"/>
              <w:rPr>
                <w:sz w:val="20"/>
                <w:szCs w:val="20"/>
                <w:color w:val="auto"/>
              </w:rPr>
            </w:pPr>
            <w:r>
              <w:rPr>
                <w:rFonts w:ascii="Arial" w:cs="Arial" w:eastAsia="Arial" w:hAnsi="Arial"/>
                <w:sz w:val="16"/>
                <w:szCs w:val="16"/>
                <w:color w:val="auto"/>
              </w:rPr>
              <w:t>0.00</w:t>
            </w:r>
          </w:p>
        </w:tc>
      </w:tr>
      <w:tr>
        <w:trPr>
          <w:trHeight w:val="280"/>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0.48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0.00</w:t>
            </w:r>
          </w:p>
        </w:tc>
      </w:tr>
      <w:tr>
        <w:trPr>
          <w:trHeight w:val="284"/>
        </w:trPr>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040" w:type="dxa"/>
            <w:vAlign w:val="bottom"/>
          </w:tcPr>
          <w:p>
            <w:pPr>
              <w:ind w:left="28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28,084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240"/>
              <w:spacing w:after="0"/>
              <w:rPr>
                <w:sz w:val="20"/>
                <w:szCs w:val="20"/>
                <w:color w:val="auto"/>
              </w:rPr>
            </w:pPr>
            <w:r>
              <w:rPr>
                <w:rFonts w:ascii="Arial" w:cs="Arial" w:eastAsia="Arial" w:hAnsi="Arial"/>
                <w:sz w:val="16"/>
                <w:szCs w:val="16"/>
                <w:color w:val="auto"/>
              </w:rPr>
              <w:t>29,151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28,196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240"/>
              <w:spacing w:after="0"/>
              <w:rPr>
                <w:sz w:val="20"/>
                <w:szCs w:val="20"/>
                <w:color w:val="auto"/>
              </w:rPr>
            </w:pPr>
            <w:r>
              <w:rPr>
                <w:rFonts w:ascii="Arial" w:cs="Arial" w:eastAsia="Arial" w:hAnsi="Arial"/>
                <w:sz w:val="16"/>
                <w:szCs w:val="16"/>
                <w:color w:val="auto"/>
              </w:rPr>
              <w:t>29,145</w:t>
            </w:r>
          </w:p>
        </w:tc>
      </w:tr>
      <w:tr>
        <w:trPr>
          <w:trHeight w:val="280"/>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28,191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29,248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28,280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29,231</w:t>
            </w:r>
          </w:p>
        </w:tc>
      </w:tr>
      <w:tr>
        <w:trPr>
          <w:trHeight w:val="284"/>
        </w:trPr>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6,285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13,676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123</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8"/>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4"/>
        </w:trPr>
        <w:tc>
          <w:tcPr>
            <w:tcW w:w="5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of tax of $474, $423, $916 and $803)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(786)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(1,520)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(1,347)</w:t>
            </w:r>
          </w:p>
        </w:tc>
      </w:tr>
      <w:tr>
        <w:trPr>
          <w:trHeight w:val="218"/>
        </w:trPr>
        <w:tc>
          <w:tcPr>
            <w:tcW w:w="5040" w:type="dxa"/>
            <w:vAlign w:val="bottom"/>
          </w:tcPr>
          <w:p>
            <w:pPr>
              <w:ind w:left="280"/>
              <w:spacing w:after="0"/>
              <w:rPr>
                <w:sz w:val="20"/>
                <w:szCs w:val="20"/>
                <w:color w:val="auto"/>
              </w:rPr>
            </w:pPr>
            <w:r>
              <w:rPr>
                <w:rFonts w:ascii="Arial" w:cs="Arial" w:eastAsia="Arial" w:hAnsi="Arial"/>
                <w:sz w:val="16"/>
                <w:szCs w:val="16"/>
                <w:color w:val="auto"/>
              </w:rPr>
              <w:t>Amortization of net actuarial loss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4"/>
        </w:trPr>
        <w:tc>
          <w:tcPr>
            <w:tcW w:w="5040" w:type="dxa"/>
            <w:vAlign w:val="bottom"/>
          </w:tcPr>
          <w:p>
            <w:pPr>
              <w:ind w:left="360"/>
              <w:spacing w:after="0"/>
              <w:rPr>
                <w:sz w:val="20"/>
                <w:szCs w:val="20"/>
                <w:color w:val="auto"/>
              </w:rPr>
            </w:pPr>
            <w:r>
              <w:rPr>
                <w:rFonts w:ascii="Arial" w:cs="Arial" w:eastAsia="Arial" w:hAnsi="Arial"/>
                <w:sz w:val="16"/>
                <w:szCs w:val="16"/>
                <w:color w:val="auto"/>
              </w:rPr>
              <w:t>(net of tax of $147, $92, $296 and $185)</w:t>
            </w:r>
          </w:p>
        </w:tc>
        <w:tc>
          <w:tcPr>
            <w:tcW w:w="280" w:type="dxa"/>
            <w:vAlign w:val="bottom"/>
          </w:tcPr>
          <w:p>
            <w:pPr>
              <w:spacing w:after="0"/>
              <w:rPr>
                <w:sz w:val="17"/>
                <w:szCs w:val="17"/>
                <w:color w:val="auto"/>
              </w:rPr>
            </w:pP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240"/>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240"/>
              <w:spacing w:after="0"/>
              <w:rPr>
                <w:sz w:val="20"/>
                <w:szCs w:val="20"/>
                <w:color w:val="auto"/>
              </w:rPr>
            </w:pPr>
            <w:r>
              <w:rPr>
                <w:rFonts w:ascii="Arial" w:cs="Arial" w:eastAsia="Arial" w:hAnsi="Arial"/>
                <w:sz w:val="16"/>
                <w:szCs w:val="16"/>
                <w:color w:val="auto"/>
              </w:rPr>
              <w:t>320</w:t>
            </w:r>
          </w:p>
        </w:tc>
      </w:tr>
      <w:tr>
        <w:trPr>
          <w:trHeight w:val="228"/>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Plan amendment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4"/>
        </w:trPr>
        <w:tc>
          <w:tcPr>
            <w:tcW w:w="5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of tax of $1,613, $0, $1,613 and $0)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2,676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4,598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2,676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4,598</w:t>
            </w:r>
          </w:p>
        </w:tc>
      </w:tr>
      <w:tr>
        <w:trPr>
          <w:trHeight w:val="218"/>
        </w:trPr>
        <w:tc>
          <w:tcPr>
            <w:tcW w:w="5040" w:type="dxa"/>
            <w:vAlign w:val="bottom"/>
          </w:tcPr>
          <w:p>
            <w:pPr>
              <w:ind w:left="280"/>
              <w:spacing w:after="0"/>
              <w:rPr>
                <w:sz w:val="20"/>
                <w:szCs w:val="20"/>
                <w:color w:val="auto"/>
              </w:rPr>
            </w:pPr>
            <w:r>
              <w:rPr>
                <w:rFonts w:ascii="Arial" w:cs="Arial" w:eastAsia="Arial" w:hAnsi="Arial"/>
                <w:sz w:val="16"/>
                <w:szCs w:val="16"/>
                <w:color w:val="auto"/>
              </w:rPr>
              <w:t>Unrealized (depreciation) appreciation of investments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of tax of $33, $57, $33 and $10)</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16</w:t>
            </w:r>
          </w:p>
        </w:tc>
      </w:tr>
      <w:tr>
        <w:trPr>
          <w:trHeight w:val="250"/>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w:t>
            </w: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2,085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4,141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1,603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3,587</w:t>
            </w:r>
          </w:p>
        </w:tc>
      </w:tr>
      <w:tr>
        <w:trPr>
          <w:trHeight w:val="240"/>
        </w:trPr>
        <w:tc>
          <w:tcPr>
            <w:tcW w:w="50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8,370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3,229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15,279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3,710</w:t>
            </w: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1"/>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 Consolidated Balance Sheets</w:t>
            </w: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2,</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2012</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26,235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62,683</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Receivables, less allowance for doubtful accounts ($180 and $175)</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26,906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22,726</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123,944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87,094</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6,689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4,509</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1,278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1,603</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9,419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8,453</w:t>
            </w:r>
          </w:p>
        </w:tc>
      </w:tr>
      <w:tr>
        <w:trPr>
          <w:trHeight w:val="250"/>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194,471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187,068</w:t>
            </w:r>
          </w:p>
        </w:tc>
      </w:tr>
      <w:tr>
        <w:trPr>
          <w:trHeight w:val="24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Pr>
          <w:p>
            <w:pPr>
              <w:spacing w:after="0"/>
              <w:rPr>
                <w:sz w:val="21"/>
                <w:szCs w:val="21"/>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20,260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19,978</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36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550</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Long-term investments</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8,735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9,074</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24,515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23,127</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29,518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30,520</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1,228</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Amortizable intangible assets</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641</w:t>
            </w:r>
          </w:p>
        </w:tc>
      </w:tr>
      <w:tr>
        <w:trPr>
          <w:trHeight w:val="273"/>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12,831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13,886</w:t>
            </w:r>
          </w:p>
        </w:tc>
      </w:tr>
      <w:tr>
        <w:trPr>
          <w:trHeight w:val="28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292,157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286,072</w:t>
            </w:r>
          </w:p>
        </w:tc>
      </w:tr>
      <w:tr>
        <w:trPr>
          <w:trHeight w:val="267"/>
        </w:trPr>
        <w:tc>
          <w:tcPr>
            <w:tcW w:w="1260" w:type="dxa"/>
            <w:vAlign w:val="bottom"/>
            <w:shd w:val="clear" w:color="auto" w:fill="CCEEFF"/>
          </w:tcPr>
          <w:p>
            <w:pPr>
              <w:spacing w:after="0"/>
              <w:rPr>
                <w:sz w:val="23"/>
                <w:szCs w:val="23"/>
                <w:color w:val="auto"/>
              </w:rPr>
            </w:pPr>
          </w:p>
        </w:tc>
        <w:tc>
          <w:tcPr>
            <w:tcW w:w="6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26,083</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24,920</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348</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compensation</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16,652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16,038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Product warranties</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8,065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6,990</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Self-insurance</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4,409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4,137</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Accrued loss on repurchases</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627</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Promotional</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2,437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2,661</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4,096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5,297</w:t>
            </w:r>
          </w:p>
        </w:tc>
      </w:tr>
      <w:tr>
        <w:trPr>
          <w:trHeight w:val="257"/>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64,002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61,018</w:t>
            </w:r>
          </w:p>
        </w:tc>
      </w:tr>
      <w:tr>
        <w:trPr>
          <w:trHeight w:val="254"/>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Total long-term liabilities:</w:t>
            </w: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5,096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5,228</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Postretirement health care and deferred compensations benefits</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70,027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75,135</w:t>
            </w:r>
          </w:p>
        </w:tc>
      </w:tr>
      <w:tr>
        <w:trPr>
          <w:trHeight w:val="257"/>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long-term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75,123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80,363</w:t>
            </w:r>
          </w:p>
        </w:tc>
      </w:tr>
      <w:tr>
        <w:trPr>
          <w:trHeight w:val="24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Contingent liabilities and commitments</w:t>
            </w: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18"/>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Capital stock common, par value $0.50;</w:t>
            </w: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4"/>
        </w:trPr>
        <w:tc>
          <w:tcPr>
            <w:tcW w:w="7280" w:type="dxa"/>
            <w:vAlign w:val="bottom"/>
            <w:gridSpan w:val="2"/>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360" w:type="dxa"/>
            <w:vAlign w:val="bottom"/>
          </w:tcPr>
          <w:p>
            <w:pPr>
              <w:spacing w:after="0"/>
              <w:rPr>
                <w:sz w:val="17"/>
                <w:szCs w:val="17"/>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25,888</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29,142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28,496</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Retained earnings</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491,166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477,490</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(2,083)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(3,686)</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Treasury stock, at cost (23,733 and 23,122 shares)</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(391,081)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(383,497)</w:t>
            </w:r>
          </w:p>
        </w:tc>
      </w:tr>
      <w:tr>
        <w:trPr>
          <w:trHeight w:val="250"/>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153,032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144,691</w:t>
            </w:r>
          </w:p>
        </w:tc>
      </w:tr>
      <w:tr>
        <w:trPr>
          <w:trHeight w:val="240"/>
        </w:trPr>
        <w:tc>
          <w:tcPr>
            <w:tcW w:w="7280" w:type="dxa"/>
            <w:vAlign w:val="bottom"/>
            <w:gridSpan w:val="2"/>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292,157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286,072</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4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21"/>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5"/>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Unaudited Consolidated Statements of Cash Flows</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126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2,</w:t>
            </w:r>
          </w:p>
        </w:tc>
        <w:tc>
          <w:tcPr>
            <w:tcW w:w="260" w:type="dxa"/>
            <w:vAlign w:val="bottom"/>
          </w:tcPr>
          <w:p>
            <w:pPr>
              <w:spacing w:after="0"/>
              <w:rPr>
                <w:sz w:val="17"/>
                <w:szCs w:val="17"/>
                <w:color w:val="auto"/>
              </w:rPr>
            </w:pPr>
          </w:p>
        </w:tc>
        <w:tc>
          <w:tcPr>
            <w:tcW w:w="1540" w:type="dxa"/>
            <w:vAlign w:val="bottom"/>
          </w:tcPr>
          <w:p>
            <w:pPr>
              <w:jc w:val="right"/>
              <w:ind w:right="35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77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2012</w:t>
            </w:r>
          </w:p>
        </w:tc>
      </w:tr>
      <w:tr>
        <w:trPr>
          <w:trHeight w:val="27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13,676</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123</w:t>
            </w:r>
          </w:p>
        </w:tc>
      </w:tr>
      <w:tr>
        <w:trPr>
          <w:trHeight w:val="28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2,178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2,590</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529</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749</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 including valuation allowance</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(320)</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448</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doubtful accounts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(Gain) loss on disposal of property</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21</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Gain on life insurance</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(195)</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(221)</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311</w:t>
            </w:r>
          </w:p>
        </w:tc>
      </w:tr>
      <w:tr>
        <w:trPr>
          <w:trHeight w:val="260"/>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(37,401)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8,453</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Receivables, prepaid and other assets</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(6,334)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1,222</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1,618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(248)</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3,052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(207)</w:t>
            </w:r>
          </w:p>
        </w:tc>
      </w:tr>
      <w:tr>
        <w:trPr>
          <w:trHeight w:val="273"/>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3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(2,136)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(1,877)</w:t>
            </w:r>
          </w:p>
        </w:tc>
      </w:tr>
      <w:tr>
        <w:trPr>
          <w:trHeight w:val="250"/>
        </w:trPr>
        <w:tc>
          <w:tcPr>
            <w:tcW w:w="7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(26,142)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11,398</w:t>
            </w:r>
          </w:p>
        </w:tc>
      </w:tr>
      <w:tr>
        <w:trPr>
          <w:trHeight w:val="284"/>
        </w:trPr>
        <w:tc>
          <w:tcPr>
            <w:tcW w:w="1260" w:type="dxa"/>
            <w:vAlign w:val="bottom"/>
            <w:shd w:val="clear" w:color="auto" w:fill="CCEEFF"/>
          </w:tcPr>
          <w:p>
            <w:pPr>
              <w:spacing w:after="0"/>
              <w:rPr>
                <w:sz w:val="24"/>
                <w:szCs w:val="24"/>
                <w:color w:val="auto"/>
              </w:rPr>
            </w:pPr>
          </w:p>
        </w:tc>
        <w:tc>
          <w:tcPr>
            <w:tcW w:w="6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Investing activities:</w:t>
            </w: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the sale of investments, at par</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750</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Proceeds from life insurance</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643</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(1,168)</w:t>
            </w: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property</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7</w:t>
            </w: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Repayments of COLI borrowings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7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65</w:t>
            </w:r>
          </w:p>
        </w:tc>
      </w:tr>
      <w:tr>
        <w:trPr>
          <w:trHeight w:val="25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(1,825)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297</w:t>
            </w:r>
          </w:p>
        </w:tc>
      </w:tr>
      <w:tr>
        <w:trPr>
          <w:trHeight w:val="284"/>
        </w:trPr>
        <w:tc>
          <w:tcPr>
            <w:tcW w:w="12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(8,367)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(235)</w:t>
            </w:r>
          </w:p>
        </w:tc>
      </w:tr>
      <w:tr>
        <w:trPr>
          <w:trHeight w:val="273"/>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33</w:t>
            </w:r>
          </w:p>
        </w:tc>
      </w:tr>
      <w:tr>
        <w:trPr>
          <w:trHeight w:val="250"/>
        </w:trPr>
        <w:tc>
          <w:tcPr>
            <w:tcW w:w="7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(8,481)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w:t>
            </w:r>
          </w:p>
        </w:tc>
      </w:tr>
      <w:tr>
        <w:trPr>
          <w:trHeight w:val="284"/>
        </w:trPr>
        <w:tc>
          <w:tcPr>
            <w:tcW w:w="1260" w:type="dxa"/>
            <w:vAlign w:val="bottom"/>
            <w:shd w:val="clear" w:color="auto" w:fill="CCEEFF"/>
          </w:tcPr>
          <w:p>
            <w:pPr>
              <w:spacing w:after="0"/>
              <w:rPr>
                <w:sz w:val="24"/>
                <w:szCs w:val="24"/>
                <w:color w:val="auto"/>
              </w:rPr>
            </w:pPr>
          </w:p>
        </w:tc>
        <w:tc>
          <w:tcPr>
            <w:tcW w:w="6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(36,448)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11,493</w:t>
            </w:r>
          </w:p>
        </w:tc>
      </w:tr>
      <w:tr>
        <w:trPr>
          <w:trHeight w:val="273"/>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62,683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69,307</w:t>
            </w:r>
          </w:p>
        </w:tc>
      </w:tr>
      <w:tr>
        <w:trPr>
          <w:trHeight w:val="280"/>
        </w:trPr>
        <w:tc>
          <w:tcPr>
            <w:tcW w:w="7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26,235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80,800</w:t>
            </w:r>
          </w:p>
        </w:tc>
      </w:tr>
      <w:tr>
        <w:trPr>
          <w:trHeight w:val="267"/>
        </w:trPr>
        <w:tc>
          <w:tcPr>
            <w:tcW w:w="1260" w:type="dxa"/>
            <w:vAlign w:val="bottom"/>
            <w:shd w:val="clear" w:color="auto" w:fill="CCEEFF"/>
          </w:tcPr>
          <w:p>
            <w:pPr>
              <w:spacing w:after="0"/>
              <w:rPr>
                <w:sz w:val="23"/>
                <w:szCs w:val="23"/>
                <w:color w:val="auto"/>
              </w:rPr>
            </w:pPr>
          </w:p>
        </w:tc>
        <w:tc>
          <w:tcPr>
            <w:tcW w:w="64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Supplement cash flow disclosure:</w:t>
            </w: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paid, net of refunds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55</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87"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subsidiary, Winnebago of Indiana, LLC, as appropriate in the context.</w:t>
      </w:r>
    </w:p>
    <w:p>
      <w:pPr>
        <w:spacing w:after="0" w:line="169"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 our website is www.winnebagoind.com. Our common stock trades on the NYSE under the symbol “WGO”.</w:t>
      </w:r>
    </w:p>
    <w:p>
      <w:pPr>
        <w:spacing w:after="0" w:line="17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our opinion, the accompanying condensed unaudited consolidated financial statements contain all adjustments, consisting of normal recurring accruals, necessary to present fairly our consolidated financial position as of March 2, 2013 and the consolidated results of operations and comprehensive income and consolidated cash flows for the first six months of Fiscal 2013 and 2012. The consolidated statement of operations and comprehensive income for the first six months of Fiscal 2013 is not necessarily indicative of the results to be expected for the full year. The consolidated balance sheet data as of August 25, 2012 was derived from audited financial statements, but does not include all of the information and footnotes required by GAAP for complete financial statements. These interim financial statements should be read in conjunction with the audited consolidated financial statements and notes thereto appearing in our Annual Report on Form 10-K for the fiscal year ended August 25, 2012.</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We follow a 52-/53-week fiscal year, ending the last Saturday in August. Fiscal 2013 is a 53-week fiscal year; the first quarter ending December 1, 2012 was a 14-week quarter, and the six months ending March 2, 2013 had 27 weeks. Fiscal 2012 was a 52-week year; the first quarter ending November 26, 2011 was a 13-week quarter, and the six months ending February 25, 2012 had 26 weeks.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In June 2011, the FASB issued ASU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which revised the manner in which entities present comprehensive income in their financial statements. Specifically, the new guidance requires an entity to present components of net income and other comprehensive income in one continuous statement, referred to as the statement of comprehensive income, or in two separate but consecutive statements. While the new guidance changed the presentation of comprehensive income, there are no changes to the components that are recognized in net income or other comprehensive income. ASU 2011-05 is effective for fiscal years beginning after December 15, 2011 (our Fiscal 2013). We adopted this guidance as of August 26, 2012, and have presented total comprehensive income in our Unaudited Consolidated Statements of Operations and Comprehensive Income.</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In September 2011, the FASB issued ASU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xml:space="preserve"> which simplified the manner in which entities test goodwill for impairment. After assessment of certain qualitative factors, if it is determined to be more likely than not that the fair value of a reporting unit is less than its carrying amount, entities must perform a quantitative analysis of the goodwill impairment test. Otherwise, the quantitative test becomes optional. ASU 2011-08 is effective for fiscal years beginning after December 15, 2011 (our Fiscal 2013). We do not believe that the adoption of this ASU will have a significant impact on our consolidated financial statements.</w:t>
      </w:r>
    </w:p>
    <w:p>
      <w:pPr>
        <w:spacing w:after="0" w:line="157"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 xml:space="preserve">In February 2013, the FASB issued ASU 2013-02, </w:t>
      </w:r>
      <w:r>
        <w:rPr>
          <w:rFonts w:ascii="Arial" w:cs="Arial" w:eastAsia="Arial" w:hAnsi="Arial"/>
          <w:sz w:val="16"/>
          <w:szCs w:val="16"/>
          <w:i w:val="1"/>
          <w:iCs w:val="1"/>
          <w:color w:val="auto"/>
        </w:rPr>
        <w:t>Reporting of Amounts Reclassified Out of Accumulated Other Comprehensive Income</w:t>
      </w:r>
      <w:r>
        <w:rPr>
          <w:rFonts w:ascii="Arial" w:cs="Arial" w:eastAsia="Arial" w:hAnsi="Arial"/>
          <w:sz w:val="16"/>
          <w:szCs w:val="16"/>
          <w:color w:val="auto"/>
        </w:rPr>
        <w:t>, which expands the presentation of changes in AOCI. The new guidance requires an entity to disaggregate the total change of each component of other comprehensive income either on the face of the net income statement or as a separate disclosure in the notes. ASU 2013-02 is effective for fiscal years beginning after December 15, 2012 (our Fiscal 2014). We do not believe that the adoption of this ASU will have a significant impact on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w:t>
      </w:r>
      <w:r>
        <w:rPr>
          <w:rFonts w:ascii="Arial" w:cs="Arial" w:eastAsia="Arial" w:hAnsi="Arial"/>
          <w:sz w:val="18"/>
          <w:szCs w:val="18"/>
          <w:color w:val="auto"/>
        </w:rPr>
        <w:t>:</w:t>
      </w:r>
      <w:r>
        <w:rPr>
          <w:rFonts w:ascii="Arial" w:cs="Arial" w:eastAsia="Arial" w:hAnsi="Arial"/>
          <w:sz w:val="16"/>
          <w:szCs w:val="16"/>
          <w:b w:val="1"/>
          <w:bCs w:val="1"/>
          <w:color w:val="auto"/>
        </w:rPr>
        <w:t xml:space="preserve"> Concentration Risk</w:t>
      </w:r>
    </w:p>
    <w:p>
      <w:pPr>
        <w:spacing w:after="0" w:line="214"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One of our dealer organizations accounted for 26.2% and 25.7% of our consolidated net revenue for the first six months of Fiscal 2013 and Fiscal 2012, respectively. A second dealer organization, accounted for 13.4% and 7.7% of our consolidated net revenue for the first six months of Fiscal 2013 and Fiscal 2012, respectively. The loss of these dealer organizations could have a significant adverse effect on our business. In addition, deterioration in the liquidity or creditworthiness of these dealers could negatively impact our sales and could trigger repurchase obligations under our repurchase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141" w:right="25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carrying value of cash equivalents approximates fair value as original maturities are less than three months. Our cash equivalents are comprised of money market funds traded in an active market with no restrictions.</w:t>
      </w:r>
    </w:p>
    <w:p>
      <w:pPr>
        <w:spacing w:after="0" w:line="182"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 March 2, 2013 and August 25, 2012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16"/>
                <w:szCs w:val="16"/>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March 2,</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Student loan ARS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8,735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8,735</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2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6,815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6,815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16,718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8,735</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0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24"/>
                <w:szCs w:val="24"/>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25,</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Student loan ARS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9,074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9,074</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2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7,924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7,924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18,442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9,368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9,074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table above that used significant unobservable inputs (Level 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Quarter Ended</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w:t>
            </w: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25,</w:t>
            </w:r>
          </w:p>
        </w:tc>
        <w:tc>
          <w:tcPr>
            <w:tcW w:w="28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w:t>
            </w:r>
          </w:p>
        </w:tc>
        <w:tc>
          <w:tcPr>
            <w:tcW w:w="220" w:type="dxa"/>
            <w:vAlign w:val="bottom"/>
          </w:tcPr>
          <w:p>
            <w:pPr>
              <w:spacing w:after="0"/>
              <w:rPr>
                <w:sz w:val="17"/>
                <w:szCs w:val="17"/>
                <w:color w:val="auto"/>
              </w:rPr>
            </w:pPr>
          </w:p>
        </w:tc>
        <w:tc>
          <w:tcPr>
            <w:tcW w:w="144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2012</w:t>
            </w:r>
          </w:p>
        </w:tc>
      </w:tr>
      <w:tr>
        <w:trPr>
          <w:trHeight w:val="257"/>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8,823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9,753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9,074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10,627</w:t>
            </w:r>
          </w:p>
        </w:tc>
      </w:tr>
      <w:tr>
        <w:trPr>
          <w:trHeight w:val="260"/>
        </w:trPr>
        <w:tc>
          <w:tcPr>
            <w:tcW w:w="4740" w:type="dxa"/>
            <w:vAlign w:val="bottom"/>
            <w:gridSpan w:val="2"/>
          </w:tcPr>
          <w:p>
            <w:pPr>
              <w:ind w:left="40"/>
              <w:spacing w:after="0"/>
              <w:rPr>
                <w:sz w:val="20"/>
                <w:szCs w:val="20"/>
                <w:color w:val="auto"/>
              </w:rPr>
            </w:pPr>
            <w:r>
              <w:rPr>
                <w:rFonts w:ascii="Arial" w:cs="Arial" w:eastAsia="Arial" w:hAnsi="Arial"/>
                <w:sz w:val="16"/>
                <w:szCs w:val="16"/>
                <w:color w:val="auto"/>
              </w:rPr>
              <w:t>Transfer to Level 2</w:t>
            </w:r>
          </w:p>
        </w:tc>
        <w:tc>
          <w:tcPr>
            <w:tcW w:w="300" w:type="dxa"/>
            <w:vAlign w:val="bottom"/>
          </w:tcPr>
          <w:p>
            <w:pPr>
              <w:spacing w:after="0"/>
              <w:rPr>
                <w:sz w:val="22"/>
                <w:szCs w:val="22"/>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(250)</w:t>
            </w:r>
          </w:p>
        </w:tc>
      </w:tr>
      <w:tr>
        <w:trPr>
          <w:trHeight w:val="280"/>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w:t>
            </w:r>
          </w:p>
        </w:tc>
      </w:tr>
      <w:tr>
        <w:trPr>
          <w:trHeight w:val="264"/>
        </w:trPr>
        <w:tc>
          <w:tcPr>
            <w:tcW w:w="4740" w:type="dxa"/>
            <w:vAlign w:val="bottom"/>
            <w:gridSpan w:val="2"/>
          </w:tcPr>
          <w:p>
            <w:pPr>
              <w:ind w:left="40"/>
              <w:spacing w:after="0"/>
              <w:rPr>
                <w:sz w:val="20"/>
                <w:szCs w:val="20"/>
                <w:color w:val="auto"/>
              </w:rPr>
            </w:pPr>
            <w:r>
              <w:rPr>
                <w:rFonts w:ascii="Arial" w:cs="Arial" w:eastAsia="Arial" w:hAnsi="Arial"/>
                <w:sz w:val="16"/>
                <w:szCs w:val="16"/>
                <w:color w:val="auto"/>
              </w:rPr>
              <w:t>Sales</w:t>
            </w:r>
          </w:p>
        </w:tc>
        <w:tc>
          <w:tcPr>
            <w:tcW w:w="300" w:type="dxa"/>
            <w:vAlign w:val="bottom"/>
          </w:tcPr>
          <w:p>
            <w:pPr>
              <w:spacing w:after="0"/>
              <w:rPr>
                <w:sz w:val="22"/>
                <w:szCs w:val="22"/>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(500)</w:t>
            </w:r>
          </w:p>
        </w:tc>
      </w:tr>
      <w:tr>
        <w:trPr>
          <w:trHeight w:val="240"/>
        </w:trPr>
        <w:tc>
          <w:tcPr>
            <w:tcW w:w="47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8,735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8,735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9,903</w:t>
            </w: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following table presents quantitative information regarding unobservable inputs that were significant to the valuation of assets measured at fair value on a recurring basis at March 2, 2013 using Level 3 inputs: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Range</w:t>
            </w: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Valuation Technique</w:t>
            </w:r>
          </w:p>
        </w:tc>
        <w:tc>
          <w:tcPr>
            <w:tcW w:w="100" w:type="dxa"/>
            <w:vAlign w:val="bottom"/>
            <w:tcBorders>
              <w:bottom w:val="single" w:sz="8" w:color="CCEEFF"/>
            </w:tcBorders>
          </w:tcPr>
          <w:p>
            <w:pPr>
              <w:spacing w:after="0"/>
              <w:rPr>
                <w:sz w:val="22"/>
                <w:szCs w:val="22"/>
                <w:color w:val="auto"/>
              </w:rPr>
            </w:pP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Unobservable Input</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Low</w:t>
            </w: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High</w:t>
            </w:r>
          </w:p>
        </w:tc>
      </w:tr>
      <w:tr>
        <w:trPr>
          <w:trHeight w:val="25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Student loan 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8,735</w:t>
            </w:r>
          </w:p>
        </w:tc>
        <w:tc>
          <w:tcPr>
            <w:tcW w:w="12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DCF</w:t>
            </w:r>
          </w:p>
        </w:tc>
        <w:tc>
          <w:tcPr>
            <w:tcW w:w="3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Projected ARS yield</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60" w:type="dxa"/>
            <w:vAlign w:val="bottom"/>
            <w:gridSpan w:val="3"/>
            <w:shd w:val="clear" w:color="auto" w:fill="CCEEFF"/>
          </w:tcPr>
          <w:p>
            <w:pPr>
              <w:jc w:val="center"/>
              <w:ind w:left="279"/>
              <w:spacing w:after="0"/>
              <w:rPr>
                <w:sz w:val="20"/>
                <w:szCs w:val="20"/>
                <w:color w:val="auto"/>
              </w:rPr>
            </w:pPr>
            <w:r>
              <w:rPr>
                <w:rFonts w:ascii="Arial" w:cs="Arial" w:eastAsia="Arial" w:hAnsi="Arial"/>
                <w:sz w:val="16"/>
                <w:szCs w:val="16"/>
                <w:color w:val="auto"/>
              </w:rPr>
              <w:t>2.06%</w:t>
            </w:r>
          </w:p>
        </w:tc>
      </w:tr>
      <w:tr>
        <w:trPr>
          <w:trHeight w:val="251"/>
        </w:trPr>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00" w:type="dxa"/>
            <w:vAlign w:val="bottom"/>
            <w:gridSpan w:val="2"/>
          </w:tcPr>
          <w:p>
            <w:pPr>
              <w:ind w:left="40"/>
              <w:spacing w:after="0"/>
              <w:rPr>
                <w:sz w:val="20"/>
                <w:szCs w:val="20"/>
                <w:color w:val="auto"/>
              </w:rPr>
            </w:pPr>
            <w:r>
              <w:rPr>
                <w:rFonts w:ascii="Arial" w:cs="Arial" w:eastAsia="Arial" w:hAnsi="Arial"/>
                <w:sz w:val="16"/>
                <w:szCs w:val="16"/>
                <w:color w:val="auto"/>
              </w:rPr>
              <w:t>Discount for lack of marketability</w:t>
            </w:r>
          </w:p>
        </w:tc>
        <w:tc>
          <w:tcPr>
            <w:tcW w:w="660" w:type="dxa"/>
            <w:vAlign w:val="bottom"/>
          </w:tcPr>
          <w:p>
            <w:pPr>
              <w:jc w:val="right"/>
              <w:spacing w:after="0"/>
              <w:rPr>
                <w:sz w:val="20"/>
                <w:szCs w:val="20"/>
                <w:color w:val="auto"/>
              </w:rPr>
            </w:pPr>
            <w:r>
              <w:rPr>
                <w:rFonts w:ascii="Arial" w:cs="Arial" w:eastAsia="Arial" w:hAnsi="Arial"/>
                <w:sz w:val="16"/>
                <w:szCs w:val="16"/>
                <w:color w:val="auto"/>
              </w:rPr>
              <w:t>2.94%</w:t>
            </w:r>
          </w:p>
        </w:tc>
        <w:tc>
          <w:tcPr>
            <w:tcW w:w="1260" w:type="dxa"/>
            <w:vAlign w:val="bottom"/>
            <w:gridSpan w:val="3"/>
          </w:tcPr>
          <w:p>
            <w:pPr>
              <w:jc w:val="center"/>
              <w:ind w:left="279"/>
              <w:spacing w:after="0"/>
              <w:rPr>
                <w:sz w:val="20"/>
                <w:szCs w:val="20"/>
                <w:color w:val="auto"/>
              </w:rPr>
            </w:pPr>
            <w:r>
              <w:rPr>
                <w:rFonts w:ascii="Arial" w:cs="Arial" w:eastAsia="Arial" w:hAnsi="Arial"/>
                <w:sz w:val="16"/>
                <w:szCs w:val="16"/>
                <w:color w:val="auto"/>
              </w:rPr>
              <w:t>3.62%</w:t>
            </w: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Investments</w:t>
      </w:r>
    </w:p>
    <w:p>
      <w:pPr>
        <w:spacing w:after="0" w:line="25" w:lineRule="exact"/>
        <w:rPr>
          <w:sz w:val="20"/>
          <w:szCs w:val="20"/>
          <w:color w:val="auto"/>
        </w:rPr>
      </w:pPr>
    </w:p>
    <w:p>
      <w:pPr>
        <w:ind w:right="340"/>
        <w:spacing w:after="0" w:line="250" w:lineRule="auto"/>
        <w:rPr>
          <w:sz w:val="20"/>
          <w:szCs w:val="20"/>
          <w:color w:val="auto"/>
        </w:rPr>
      </w:pPr>
      <w:r>
        <w:rPr>
          <w:rFonts w:ascii="Arial" w:cs="Arial" w:eastAsia="Arial" w:hAnsi="Arial"/>
          <w:sz w:val="16"/>
          <w:szCs w:val="16"/>
          <w:color w:val="auto"/>
        </w:rPr>
        <w:t>Our long-term investments are ARS and classified as Level 3, as quoted prices were unavailable due to events described in Note 4. Due to limited market information, we utilized a DCF model to derive an estimate of fair value for the ARS at March 2, 2013.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They are classified as Level 1 as they are traded in an active market for which closing stock prices are readily available. These securities fund the Executive Share Option Plan (see Note 10), a deferred compensation program, and are presented as other assets in the accompanying balance sheets.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non-financial assets, which include goodwill, intangible assets and property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six months of Fiscal 2013, no impairments were recorded for non-financial assets.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Investments</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 xml:space="preserve">We own investments in marketable securities that have been designated as "available for sale" in accordance with ASC 320, </w:t>
      </w:r>
      <w:r>
        <w:rPr>
          <w:rFonts w:ascii="Arial" w:cs="Arial" w:eastAsia="Arial" w:hAnsi="Arial"/>
          <w:sz w:val="16"/>
          <w:szCs w:val="16"/>
          <w:i w:val="1"/>
          <w:iCs w:val="1"/>
          <w:color w:val="auto"/>
        </w:rPr>
        <w:t>Investments -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Available for sale securities are carried at fair value with the unrealized gains and losses reported in "Accumulated Other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 component of stockholders' equity.</w:t>
      </w:r>
    </w:p>
    <w:p>
      <w:pPr>
        <w:spacing w:after="0" w:line="16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At March 2, 2013, we held $9.4 million (par value) of tax-exempt ARS, which are variable-rate debt securities and have a long-term maturity with the interest rate being reset through Dutch auctions that are typically held every 7, 28 or 35 days. Prior to February 2008, these securities traded at par and are callable at par at the option of the issuer. Interest is typically paid at the end of each auction period or semiannually. The ARS we hold are rated AAA by Standard &amp; Poor's Ratings Services and AAA to A by Fitch Ratings, and are collateralized by student loans guaranteed by the US Government under the Federal Family Education Loan Program.</w:t>
      </w:r>
    </w:p>
    <w:p>
      <w:pPr>
        <w:spacing w:after="0" w:line="17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Since February 2008, most ARS auctions have failed and there is no assurance that future auctions for our ARS will succeed and, as a result, our ability to liquidate our investment and fully recover the par value in the near term may be limited or nonexistent. We have no reason to believe that any of the underlying issuers of our ARS are presently at risk of default. We have continued to receive interest payments on the ARS in accordance with their terms. We believe we will ultimately be able to liquidate our ARS related investments without significant loss primarily due to the collateral securing the ARS, but also due to the partial redemptions we have received over the last five fiscal years at par value. However, redemption could take until final maturity of the ARS (up to 29 years) to realize the par value of our investments. Due to the changes and uncertainty in the ARS market, we believe the recovery period for these investments is likely to be longer than 12 months and as a result, we have classified our $9.4 million (par value) of these investments as long-term as of March 2, 2013.</w:t>
      </w:r>
    </w:p>
    <w:p>
      <w:pPr>
        <w:spacing w:after="0" w:line="18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At March 2, 2013, there was insufficient observable ARS market information available to determine the fair value of our ARS investments.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we recorded an unrealized temporary impairment of $665,000 in AOCI before tax considerations related to our long-term ARS investments of $9.4 million (par value) at March 2, 2013.</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141"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678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4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47"/>
        </w:trPr>
        <w:tc>
          <w:tcPr>
            <w:tcW w:w="6780" w:type="dxa"/>
            <w:vAlign w:val="bottom"/>
            <w:gridSpan w:val="3"/>
          </w:tcPr>
          <w:p>
            <w:pPr>
              <w:spacing w:after="0"/>
              <w:rPr>
                <w:sz w:val="20"/>
                <w:szCs w:val="20"/>
                <w:color w:val="auto"/>
              </w:rPr>
            </w:pPr>
            <w:r>
              <w:rPr>
                <w:rFonts w:ascii="Arial" w:cs="Arial" w:eastAsia="Arial" w:hAnsi="Arial"/>
                <w:sz w:val="16"/>
                <w:szCs w:val="16"/>
                <w:b w:val="1"/>
                <w:bCs w:val="1"/>
                <w:color w:val="auto"/>
              </w:rPr>
              <w:t>Note 5: Inventories</w:t>
            </w: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51"/>
        </w:trPr>
        <w:tc>
          <w:tcPr>
            <w:tcW w:w="6780" w:type="dxa"/>
            <w:vAlign w:val="bottom"/>
            <w:gridSpan w:val="3"/>
          </w:tcPr>
          <w:p>
            <w:pPr>
              <w:spacing w:after="0"/>
              <w:rPr>
                <w:sz w:val="20"/>
                <w:szCs w:val="20"/>
                <w:color w:val="auto"/>
              </w:rPr>
            </w:pPr>
            <w:r>
              <w:rPr>
                <w:rFonts w:ascii="Arial" w:cs="Arial" w:eastAsia="Arial" w:hAnsi="Arial"/>
                <w:sz w:val="16"/>
                <w:szCs w:val="16"/>
                <w:color w:val="auto"/>
              </w:rPr>
              <w:t>Inventories consist of the following:</w:t>
            </w: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6"/>
        </w:trPr>
        <w:tc>
          <w:tcPr>
            <w:tcW w:w="12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gridSpan w:val="2"/>
          </w:tcPr>
          <w:p>
            <w:pPr>
              <w:ind w:left="340"/>
              <w:spacing w:after="0"/>
              <w:rPr>
                <w:sz w:val="20"/>
                <w:szCs w:val="20"/>
                <w:color w:val="auto"/>
              </w:rPr>
            </w:pPr>
            <w:r>
              <w:rPr>
                <w:rFonts w:ascii="Arial" w:cs="Arial" w:eastAsia="Arial" w:hAnsi="Arial"/>
                <w:sz w:val="16"/>
                <w:szCs w:val="16"/>
                <w:b w:val="1"/>
                <w:bCs w:val="1"/>
                <w:color w:val="auto"/>
              </w:rPr>
              <w:t>March 2,</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6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2012</w:t>
            </w:r>
          </w:p>
        </w:tc>
      </w:tr>
      <w:tr>
        <w:trPr>
          <w:trHeight w:val="257"/>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56,961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30,054</w:t>
            </w:r>
          </w:p>
        </w:tc>
      </w:tr>
      <w:tr>
        <w:trPr>
          <w:trHeight w:val="260"/>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Work-in-process</w:t>
            </w:r>
          </w:p>
        </w:tc>
        <w:tc>
          <w:tcPr>
            <w:tcW w:w="460" w:type="dxa"/>
            <w:vAlign w:val="bottom"/>
          </w:tcPr>
          <w:p>
            <w:pPr>
              <w:spacing w:after="0"/>
              <w:rPr>
                <w:sz w:val="22"/>
                <w:szCs w:val="22"/>
                <w:color w:val="auto"/>
              </w:rPr>
            </w:pPr>
          </w:p>
        </w:tc>
        <w:tc>
          <w:tcPr>
            <w:tcW w:w="1820" w:type="dxa"/>
            <w:vAlign w:val="bottom"/>
          </w:tcPr>
          <w:p>
            <w:pPr>
              <w:jc w:val="right"/>
              <w:ind w:right="459"/>
              <w:spacing w:after="0"/>
              <w:rPr>
                <w:sz w:val="20"/>
                <w:szCs w:val="20"/>
                <w:color w:val="auto"/>
              </w:rPr>
            </w:pPr>
            <w:r>
              <w:rPr>
                <w:rFonts w:ascii="Arial" w:cs="Arial" w:eastAsia="Arial" w:hAnsi="Arial"/>
                <w:sz w:val="16"/>
                <w:szCs w:val="16"/>
                <w:color w:val="auto"/>
              </w:rPr>
              <w:t>45,489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45,240</w:t>
            </w:r>
          </w:p>
        </w:tc>
      </w:tr>
      <w:tr>
        <w:trPr>
          <w:trHeight w:val="273"/>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46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53,069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42,824</w:t>
            </w:r>
          </w:p>
        </w:tc>
      </w:tr>
      <w:tr>
        <w:trPr>
          <w:trHeight w:val="247"/>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460" w:type="dxa"/>
            <w:vAlign w:val="bottom"/>
          </w:tcPr>
          <w:p>
            <w:pPr>
              <w:spacing w:after="0"/>
              <w:rPr>
                <w:sz w:val="21"/>
                <w:szCs w:val="21"/>
                <w:color w:val="auto"/>
              </w:rPr>
            </w:pPr>
          </w:p>
        </w:tc>
        <w:tc>
          <w:tcPr>
            <w:tcW w:w="1820" w:type="dxa"/>
            <w:vAlign w:val="bottom"/>
          </w:tcPr>
          <w:p>
            <w:pPr>
              <w:jc w:val="right"/>
              <w:ind w:right="459"/>
              <w:spacing w:after="0"/>
              <w:rPr>
                <w:sz w:val="20"/>
                <w:szCs w:val="20"/>
                <w:color w:val="auto"/>
              </w:rPr>
            </w:pPr>
            <w:r>
              <w:rPr>
                <w:rFonts w:ascii="Arial" w:cs="Arial" w:eastAsia="Arial" w:hAnsi="Arial"/>
                <w:sz w:val="16"/>
                <w:szCs w:val="16"/>
                <w:color w:val="auto"/>
              </w:rPr>
              <w:t>155,519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118,118</w:t>
            </w:r>
          </w:p>
        </w:tc>
      </w:tr>
      <w:tr>
        <w:trPr>
          <w:trHeight w:val="273"/>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46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(31,575)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(31,024)</w:t>
            </w:r>
          </w:p>
        </w:tc>
      </w:tr>
      <w:tr>
        <w:trPr>
          <w:trHeight w:val="240"/>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 inventories</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123,944</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87,094</w:t>
            </w:r>
          </w:p>
        </w:tc>
      </w:tr>
      <w:tr>
        <w:trPr>
          <w:trHeight w:val="20"/>
        </w:trPr>
        <w:tc>
          <w:tcPr>
            <w:tcW w:w="12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Of the $155.5 million and $118.1 million inventory at March 2, 2013 and August 25, 2012, respectively, $144.5 million and $110.1 million is valued on a LIFO basis. Towables inventory of $11.0 million and $8.0 million at March 2, 2013 and August 25, 2012, respectively, is valued on a FIFO basis.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Property, Plant and Equipment and Assets Held for Sale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20" w:type="dxa"/>
            <w:vAlign w:val="bottom"/>
            <w:gridSpan w:val="2"/>
          </w:tcPr>
          <w:p>
            <w:pPr>
              <w:ind w:left="320"/>
              <w:spacing w:after="0"/>
              <w:rPr>
                <w:sz w:val="20"/>
                <w:szCs w:val="20"/>
                <w:color w:val="auto"/>
              </w:rPr>
            </w:pPr>
            <w:r>
              <w:rPr>
                <w:rFonts w:ascii="Arial" w:cs="Arial" w:eastAsia="Arial" w:hAnsi="Arial"/>
                <w:sz w:val="16"/>
                <w:szCs w:val="16"/>
                <w:b w:val="1"/>
                <w:bCs w:val="1"/>
                <w:color w:val="auto"/>
              </w:rPr>
              <w:t>March 2,</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2012</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757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757</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Buildings and building improvements</w:t>
            </w:r>
          </w:p>
        </w:tc>
        <w:tc>
          <w:tcPr>
            <w:tcW w:w="460" w:type="dxa"/>
            <w:vAlign w:val="bottom"/>
          </w:tcPr>
          <w:p>
            <w:pPr>
              <w:spacing w:after="0"/>
              <w:rPr>
                <w:sz w:val="22"/>
                <w:szCs w:val="22"/>
                <w:color w:val="auto"/>
              </w:rPr>
            </w:pPr>
          </w:p>
        </w:tc>
        <w:tc>
          <w:tcPr>
            <w:tcW w:w="1800" w:type="dxa"/>
            <w:vAlign w:val="bottom"/>
          </w:tcPr>
          <w:p>
            <w:pPr>
              <w:jc w:val="right"/>
              <w:ind w:right="459"/>
              <w:spacing w:after="0"/>
              <w:rPr>
                <w:sz w:val="20"/>
                <w:szCs w:val="20"/>
                <w:color w:val="auto"/>
              </w:rPr>
            </w:pPr>
            <w:r>
              <w:rPr>
                <w:rFonts w:ascii="Arial" w:cs="Arial" w:eastAsia="Arial" w:hAnsi="Arial"/>
                <w:sz w:val="16"/>
                <w:szCs w:val="16"/>
                <w:color w:val="auto"/>
              </w:rPr>
              <w:t>50,308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49,641</w:t>
            </w:r>
          </w:p>
        </w:tc>
      </w:tr>
      <w:tr>
        <w:trPr>
          <w:trHeight w:val="280"/>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46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91,194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90,775</w:t>
            </w:r>
          </w:p>
        </w:tc>
      </w:tr>
      <w:tr>
        <w:trPr>
          <w:trHeight w:val="264"/>
        </w:trPr>
        <w:tc>
          <w:tcPr>
            <w:tcW w:w="6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Transportation</w:t>
            </w:r>
          </w:p>
        </w:tc>
        <w:tc>
          <w:tcPr>
            <w:tcW w:w="4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8,864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8,858</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46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151,123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150,031</w:t>
            </w:r>
          </w:p>
        </w:tc>
      </w:tr>
      <w:tr>
        <w:trPr>
          <w:trHeight w:val="264"/>
        </w:trPr>
        <w:tc>
          <w:tcPr>
            <w:tcW w:w="6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accumulated depreciation</w:t>
            </w:r>
          </w:p>
        </w:tc>
        <w:tc>
          <w:tcPr>
            <w:tcW w:w="4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(130,863)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(130,053)</w:t>
            </w:r>
          </w:p>
        </w:tc>
      </w:tr>
      <w:tr>
        <w:trPr>
          <w:trHeight w:val="24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20,260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19,978</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Held for Sale</w:t>
      </w:r>
    </w:p>
    <w:p>
      <w:pPr>
        <w:spacing w:after="0" w:line="2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During the first quarter of Fiscal 2013, an idled fiberglass facility in Hampton, Iowa classified as held for sale, was sold. The sale was finalized on August 30, 2012 and generated $550,000 in gross proceeds, selling costs of $28,000 and a loss of $28,000.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Goodwill and Amortizable Intangible Assets</w:t>
      </w:r>
    </w:p>
    <w:p>
      <w:pPr>
        <w:spacing w:after="0" w:line="214" w:lineRule="exact"/>
        <w:rPr>
          <w:sz w:val="20"/>
          <w:szCs w:val="20"/>
          <w:color w:val="auto"/>
        </w:rPr>
      </w:pPr>
    </w:p>
    <w:p>
      <w:pPr>
        <w:jc w:val="both"/>
        <w:ind w:right="360"/>
        <w:spacing w:after="0" w:line="253" w:lineRule="auto"/>
        <w:rPr>
          <w:sz w:val="20"/>
          <w:szCs w:val="20"/>
          <w:color w:val="auto"/>
        </w:rPr>
      </w:pPr>
      <w:r>
        <w:rPr>
          <w:rFonts w:ascii="Arial" w:cs="Arial" w:eastAsia="Arial" w:hAnsi="Arial"/>
          <w:sz w:val="16"/>
          <w:szCs w:val="16"/>
          <w:color w:val="auto"/>
        </w:rPr>
        <w:t>Goodwill and intangible assets are the result of the acquisition of SunnyBrook during Fiscal 2011. Goodwill of $1.2 million is not subject to amortization for financial statement purposes, but is amortizable for tax return purposes. Amortizable intangible assets are amortized on a straight-line basis. The weighted average remaining amortization period at March 2, 2013 is 7.6 years.</w:t>
      </w:r>
    </w:p>
    <w:p>
      <w:pPr>
        <w:spacing w:after="0" w:line="17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Goodwill is reviewed for impairment annually or whenever events or circumstances indicate a potential impairment. Intangible assets are also subject to impairment tests whenever events or circumstances indicate that the asset's carrying value may exceed its estimated fair value, at which time an impairment would be recorded.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gridSpan w:val="2"/>
          </w:tcPr>
          <w:p>
            <w:pPr>
              <w:spacing w:after="0"/>
              <w:rPr>
                <w:sz w:val="20"/>
                <w:szCs w:val="20"/>
                <w:color w:val="auto"/>
              </w:rPr>
            </w:pPr>
            <w:r>
              <w:rPr>
                <w:rFonts w:ascii="Arial" w:cs="Arial" w:eastAsia="Arial" w:hAnsi="Arial"/>
                <w:sz w:val="16"/>
                <w:szCs w:val="16"/>
                <w:color w:val="auto"/>
              </w:rPr>
              <w:t>Amortizable intangible assets consist of the following:</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1"/>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March 2, 2013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August 25, 2012</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Accumulated</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Cost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Amortization</w:t>
            </w: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Dealer network</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Trademarks</w:t>
            </w:r>
          </w:p>
        </w:tc>
        <w:tc>
          <w:tcPr>
            <w:tcW w:w="30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27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Non-compete agreement</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4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1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8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FF"/>
            </w:tcBorders>
          </w:tcPr>
          <w:p>
            <w:pPr>
              <w:spacing w:after="0"/>
              <w:rPr>
                <w:rFonts w:ascii="Arial" w:cs="Arial" w:eastAsia="Arial" w:hAnsi="Arial"/>
                <w:sz w:val="16"/>
                <w:szCs w:val="16"/>
                <w:color w:val="0000FF"/>
                <w:w w:val="98"/>
              </w:rPr>
            </w:pPr>
            <w:hyperlink w:anchor="page1">
              <w:r>
                <w:rPr>
                  <w:rFonts w:ascii="Arial" w:cs="Arial" w:eastAsia="Arial" w:hAnsi="Arial"/>
                  <w:sz w:val="16"/>
                  <w:szCs w:val="16"/>
                  <w:color w:val="0000FF"/>
                  <w:w w:val="98"/>
                </w:rPr>
                <w:t>Table of Contents</w:t>
              </w:r>
            </w:hyperlink>
          </w:p>
        </w:tc>
        <w:tc>
          <w:tcPr>
            <w:tcW w:w="9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447"/>
        </w:trPr>
        <w:tc>
          <w:tcPr>
            <w:tcW w:w="10400" w:type="dxa"/>
            <w:vAlign w:val="bottom"/>
            <w:gridSpan w:val="3"/>
          </w:tcPr>
          <w:p>
            <w:pPr>
              <w:spacing w:after="0"/>
              <w:rPr>
                <w:sz w:val="20"/>
                <w:szCs w:val="20"/>
                <w:color w:val="auto"/>
              </w:rPr>
            </w:pPr>
            <w:r>
              <w:rPr>
                <w:rFonts w:ascii="Arial" w:cs="Arial" w:eastAsia="Arial" w:hAnsi="Arial"/>
                <w:sz w:val="16"/>
                <w:szCs w:val="16"/>
                <w:color w:val="auto"/>
              </w:rPr>
              <w:t>Estimated amortization expense of intangible assets for next five fiscal years is as follows: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1"/>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90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Amount</w:t>
            </w:r>
          </w:p>
        </w:tc>
      </w:tr>
      <w:tr>
        <w:trPr>
          <w:trHeight w:val="257"/>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9020" w:type="dxa"/>
            <w:vAlign w:val="bottom"/>
            <w:shd w:val="clear" w:color="auto" w:fill="CCEEFF"/>
          </w:tcPr>
          <w:p>
            <w:pPr>
              <w:jc w:val="right"/>
              <w:ind w:right="8079"/>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r>
      <w:tr>
        <w:trPr>
          <w:trHeight w:val="260"/>
        </w:trPr>
        <w:tc>
          <w:tcPr>
            <w:tcW w:w="1260" w:type="dxa"/>
            <w:vAlign w:val="bottom"/>
          </w:tcPr>
          <w:p>
            <w:pPr>
              <w:spacing w:after="0"/>
              <w:rPr>
                <w:sz w:val="22"/>
                <w:szCs w:val="22"/>
                <w:color w:val="auto"/>
              </w:rPr>
            </w:pPr>
          </w:p>
        </w:tc>
        <w:tc>
          <w:tcPr>
            <w:tcW w:w="9020" w:type="dxa"/>
            <w:vAlign w:val="bottom"/>
          </w:tcPr>
          <w:p>
            <w:pPr>
              <w:jc w:val="right"/>
              <w:ind w:right="8079"/>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280"/>
        </w:trPr>
        <w:tc>
          <w:tcPr>
            <w:tcW w:w="1260" w:type="dxa"/>
            <w:vAlign w:val="bottom"/>
            <w:shd w:val="clear" w:color="auto" w:fill="CCEEFF"/>
          </w:tcPr>
          <w:p>
            <w:pPr>
              <w:spacing w:after="0"/>
              <w:rPr>
                <w:sz w:val="24"/>
                <w:szCs w:val="24"/>
                <w:color w:val="auto"/>
              </w:rPr>
            </w:pPr>
          </w:p>
        </w:tc>
        <w:tc>
          <w:tcPr>
            <w:tcW w:w="9020" w:type="dxa"/>
            <w:vAlign w:val="bottom"/>
            <w:shd w:val="clear" w:color="auto" w:fill="CCEEFF"/>
          </w:tcPr>
          <w:p>
            <w:pPr>
              <w:jc w:val="right"/>
              <w:ind w:right="8079"/>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r>
      <w:tr>
        <w:trPr>
          <w:trHeight w:val="260"/>
        </w:trPr>
        <w:tc>
          <w:tcPr>
            <w:tcW w:w="1260" w:type="dxa"/>
            <w:vAlign w:val="bottom"/>
          </w:tcPr>
          <w:p>
            <w:pPr>
              <w:spacing w:after="0"/>
              <w:rPr>
                <w:sz w:val="22"/>
                <w:szCs w:val="22"/>
                <w:color w:val="auto"/>
              </w:rPr>
            </w:pPr>
          </w:p>
        </w:tc>
        <w:tc>
          <w:tcPr>
            <w:tcW w:w="9020" w:type="dxa"/>
            <w:vAlign w:val="bottom"/>
          </w:tcPr>
          <w:p>
            <w:pPr>
              <w:jc w:val="right"/>
              <w:ind w:right="807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w:t>
            </w:r>
          </w:p>
        </w:tc>
      </w:tr>
      <w:tr>
        <w:trPr>
          <w:trHeight w:val="280"/>
        </w:trPr>
        <w:tc>
          <w:tcPr>
            <w:tcW w:w="1260" w:type="dxa"/>
            <w:vAlign w:val="bottom"/>
            <w:shd w:val="clear" w:color="auto" w:fill="CCEEFF"/>
          </w:tcPr>
          <w:p>
            <w:pPr>
              <w:spacing w:after="0"/>
              <w:rPr>
                <w:sz w:val="24"/>
                <w:szCs w:val="24"/>
                <w:color w:val="auto"/>
              </w:rPr>
            </w:pPr>
          </w:p>
        </w:tc>
        <w:tc>
          <w:tcPr>
            <w:tcW w:w="9020" w:type="dxa"/>
            <w:vAlign w:val="bottom"/>
            <w:shd w:val="clear" w:color="auto" w:fill="CCEEFF"/>
          </w:tcPr>
          <w:p>
            <w:pPr>
              <w:jc w:val="right"/>
              <w:ind w:right="8079"/>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Credit Facilities</w:t>
      </w:r>
    </w:p>
    <w:p>
      <w:pPr>
        <w:spacing w:after="0" w:line="187"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On October 13, 2012, we terminated our Loan Agreement with Wells Fargo Bank, National Association in accordance with its terms. There was no termination fee associated with this agreement, and no borrowings had been made.</w:t>
      </w:r>
    </w:p>
    <w:p>
      <w:pPr>
        <w:spacing w:after="0" w:line="22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On October 31, 2012, we entered into the Credit Agreement with GECC. The Credit Agreement provides for an initial $35.0 million revolving credit facility based on the Company's eligible inventory and expires on October 31, 2015, unless terminated earlier in accordance with its terms. There is no termination fee associated with the Credit Agreement.</w:t>
      </w:r>
    </w:p>
    <w:p>
      <w:pPr>
        <w:spacing w:after="0" w:line="228"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or if we repurchase more than $25.0 million of company stock within the first twelve months of the date of the Credit Agreement. In addition the Credit Agreement also includes a framework to expand the size of the facility up to $50.0 million, based on mutually agreeable terms at the time of the expansion. Interest on loans made under the new facility will be based on LIBOR plus a margin of 3.0%. The initial unused line fee associated with the Credit Agreement is 0.5% per annum and has the ability to be lowered based upon facility usage.</w:t>
      </w:r>
    </w:p>
    <w:p>
      <w:pPr>
        <w:spacing w:after="0" w:line="232"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The Credit Agreement contains typical affirmative representations and covenants for a credit agreement of this size and nature. Additionally, the Credit Agreement contains negative covenants limiting our ability, among other things, to incur debt, grant liens, make acquisitions, make certain investments, pay certain dividends and distributions, engage in mergers, consolidations or acquisitions and sell certain assets. Obligations under the Credit Agreement are secured by a security interest in all of our 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230" w:lineRule="exact"/>
        <w:rPr>
          <w:sz w:val="20"/>
          <w:szCs w:val="20"/>
          <w:color w:val="auto"/>
        </w:rPr>
      </w:pPr>
    </w:p>
    <w:p>
      <w:pPr>
        <w:ind w:right="1560"/>
        <w:spacing w:after="0" w:line="471" w:lineRule="auto"/>
        <w:rPr>
          <w:sz w:val="20"/>
          <w:szCs w:val="20"/>
          <w:color w:val="auto"/>
        </w:rPr>
      </w:pPr>
      <w:r>
        <w:rPr>
          <w:rFonts w:ascii="Arial" w:cs="Arial" w:eastAsia="Arial" w:hAnsi="Arial"/>
          <w:sz w:val="16"/>
          <w:szCs w:val="16"/>
          <w:color w:val="auto"/>
        </w:rPr>
        <w:t xml:space="preserve">As of the date of this report, we are in compliance with all terms of the Credit Agreement, and no borrowings have been made thereunder. </w:t>
      </w:r>
      <w:r>
        <w:rPr>
          <w:rFonts w:ascii="Arial" w:cs="Arial" w:eastAsia="Arial" w:hAnsi="Arial"/>
          <w:sz w:val="16"/>
          <w:szCs w:val="16"/>
          <w:b w:val="1"/>
          <w:bCs w:val="1"/>
          <w:color w:val="auto"/>
        </w:rPr>
        <w:t>Note 9: Warranty</w:t>
      </w:r>
    </w:p>
    <w:p>
      <w:pPr>
        <w:spacing w:after="0" w:line="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We have also incurred costs for certain warranty-type expenses which occurred after the normal warranty period. We have voluntarily agreed to pay such costs to help protect the reputation of our products and the goodwill of our customers.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40" w:type="dxa"/>
            <w:vAlign w:val="bottom"/>
            <w:gridSpan w:val="2"/>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405"/>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ind w:right="1079"/>
              <w:spacing w:after="0"/>
              <w:rPr>
                <w:sz w:val="20"/>
                <w:szCs w:val="20"/>
                <w:color w:val="auto"/>
              </w:rPr>
            </w:pPr>
            <w:r>
              <w:rPr>
                <w:rFonts w:ascii="Arial" w:cs="Arial" w:eastAsia="Arial" w:hAnsi="Arial"/>
                <w:sz w:val="16"/>
                <w:szCs w:val="16"/>
                <w:b w:val="1"/>
                <w:bCs w:val="1"/>
                <w:color w:val="auto"/>
              </w:rPr>
              <w:t>Quarter Ended</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25,</w:t>
            </w:r>
          </w:p>
        </w:tc>
        <w:tc>
          <w:tcPr>
            <w:tcW w:w="300" w:type="dxa"/>
            <w:vAlign w:val="bottom"/>
          </w:tcPr>
          <w:p>
            <w:pPr>
              <w:spacing w:after="0"/>
              <w:rPr>
                <w:sz w:val="17"/>
                <w:szCs w:val="17"/>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w:t>
            </w:r>
          </w:p>
        </w:tc>
        <w:tc>
          <w:tcPr>
            <w:tcW w:w="220" w:type="dxa"/>
            <w:vAlign w:val="bottom"/>
          </w:tcPr>
          <w:p>
            <w:pPr>
              <w:spacing w:after="0"/>
              <w:rPr>
                <w:sz w:val="17"/>
                <w:szCs w:val="17"/>
                <w:color w:val="auto"/>
              </w:rPr>
            </w:pPr>
          </w:p>
        </w:tc>
        <w:tc>
          <w:tcPr>
            <w:tcW w:w="1500" w:type="dxa"/>
            <w:vAlign w:val="bottom"/>
          </w:tcPr>
          <w:p>
            <w:pPr>
              <w:jc w:val="right"/>
              <w:ind w:right="31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2012</w:t>
            </w:r>
          </w:p>
        </w:tc>
      </w:tr>
      <w:tr>
        <w:trPr>
          <w:trHeight w:val="257"/>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7,549</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7,022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6,990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7,335</w:t>
            </w:r>
          </w:p>
        </w:tc>
      </w:tr>
      <w:tr>
        <w:trPr>
          <w:trHeight w:val="260"/>
        </w:trPr>
        <w:tc>
          <w:tcPr>
            <w:tcW w:w="434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color w:val="auto"/>
              </w:rPr>
              <w:t>918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4,949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color w:val="auto"/>
              </w:rPr>
              <w:t>2,286</w:t>
            </w:r>
          </w:p>
        </w:tc>
      </w:tr>
      <w:tr>
        <w:trPr>
          <w:trHeight w:val="273"/>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(1,947)</w:t>
            </w:r>
          </w:p>
        </w:tc>
        <w:tc>
          <w:tcPr>
            <w:tcW w:w="3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(1,410)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(3,874)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(3,091)</w:t>
            </w:r>
          </w:p>
        </w:tc>
      </w:tr>
      <w:tr>
        <w:trPr>
          <w:trHeight w:val="240"/>
        </w:trPr>
        <w:tc>
          <w:tcPr>
            <w:tcW w:w="4340" w:type="dxa"/>
            <w:vAlign w:val="bottom"/>
            <w:gridSpan w:val="2"/>
          </w:tcPr>
          <w:p>
            <w:pPr>
              <w:ind w:left="40"/>
              <w:spacing w:after="0"/>
              <w:rPr>
                <w:sz w:val="20"/>
                <w:szCs w:val="20"/>
                <w:color w:val="auto"/>
              </w:rPr>
            </w:pPr>
            <w:r>
              <w:rPr>
                <w:rFonts w:ascii="Arial" w:cs="Arial" w:eastAsia="Arial" w:hAnsi="Arial"/>
                <w:sz w:val="16"/>
                <w:szCs w:val="16"/>
                <w:color w:val="auto"/>
              </w:rPr>
              <w:t>Balance at end of period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8,065</w:t>
            </w: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39"/>
              <w:spacing w:after="0"/>
              <w:rPr>
                <w:sz w:val="20"/>
                <w:szCs w:val="20"/>
                <w:color w:val="auto"/>
              </w:rPr>
            </w:pPr>
            <w:r>
              <w:rPr>
                <w:rFonts w:ascii="Arial" w:cs="Arial" w:eastAsia="Arial" w:hAnsi="Arial"/>
                <w:sz w:val="16"/>
                <w:szCs w:val="16"/>
                <w:color w:val="auto"/>
              </w:rPr>
              <w:t>6,530</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8,065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359"/>
              <w:spacing w:after="0"/>
              <w:rPr>
                <w:sz w:val="20"/>
                <w:szCs w:val="20"/>
                <w:color w:val="auto"/>
              </w:rPr>
            </w:pPr>
            <w:r>
              <w:rPr>
                <w:rFonts w:ascii="Arial" w:cs="Arial" w:eastAsia="Arial" w:hAnsi="Arial"/>
                <w:sz w:val="16"/>
                <w:szCs w:val="16"/>
                <w:color w:val="auto"/>
              </w:rPr>
              <w:t>6,530</w:t>
            </w: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612"/>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47"/>
        </w:trPr>
        <w:tc>
          <w:tcPr>
            <w:tcW w:w="7400" w:type="dxa"/>
            <w:vAlign w:val="bottom"/>
            <w:gridSpan w:val="3"/>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1"/>
        </w:trPr>
        <w:tc>
          <w:tcPr>
            <w:tcW w:w="7400" w:type="dxa"/>
            <w:vAlign w:val="bottom"/>
            <w:gridSpan w:val="3"/>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2,</w:t>
            </w:r>
          </w:p>
        </w:tc>
        <w:tc>
          <w:tcPr>
            <w:tcW w:w="340" w:type="dxa"/>
            <w:vAlign w:val="bottom"/>
          </w:tcPr>
          <w:p>
            <w:pPr>
              <w:spacing w:after="0"/>
              <w:rPr>
                <w:sz w:val="24"/>
                <w:szCs w:val="24"/>
                <w:color w:val="auto"/>
              </w:rPr>
            </w:pPr>
          </w:p>
        </w:tc>
        <w:tc>
          <w:tcPr>
            <w:tcW w:w="162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2012</w:t>
            </w:r>
          </w:p>
        </w:tc>
      </w:tr>
      <w:tr>
        <w:trPr>
          <w:trHeight w:val="257"/>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41,335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45,132</w:t>
            </w:r>
          </w:p>
        </w:tc>
      </w:tr>
      <w:tr>
        <w:trPr>
          <w:trHeight w:val="260"/>
        </w:trPr>
        <w:tc>
          <w:tcPr>
            <w:tcW w:w="7400" w:type="dxa"/>
            <w:vAlign w:val="bottom"/>
            <w:gridSpan w:val="3"/>
          </w:tcPr>
          <w:p>
            <w:pPr>
              <w:ind w:left="40"/>
              <w:spacing w:after="0"/>
              <w:rPr>
                <w:sz w:val="20"/>
                <w:szCs w:val="20"/>
                <w:color w:val="auto"/>
              </w:rPr>
            </w:pPr>
            <w:r>
              <w:rPr>
                <w:rFonts w:ascii="Arial" w:cs="Arial" w:eastAsia="Arial" w:hAnsi="Arial"/>
                <w:sz w:val="16"/>
                <w:szCs w:val="16"/>
                <w:color w:val="auto"/>
              </w:rPr>
              <w:t>Non-qualified deferred compensation</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23,008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23,630</w:t>
            </w:r>
          </w:p>
        </w:tc>
      </w:tr>
      <w:tr>
        <w:trPr>
          <w:trHeight w:val="280"/>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6,747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7,798</w:t>
            </w:r>
          </w:p>
        </w:tc>
      </w:tr>
      <w:tr>
        <w:trPr>
          <w:trHeight w:val="260"/>
        </w:trPr>
        <w:tc>
          <w:tcPr>
            <w:tcW w:w="7400" w:type="dxa"/>
            <w:vAlign w:val="bottom"/>
            <w:gridSpan w:val="3"/>
          </w:tcPr>
          <w:p>
            <w:pPr>
              <w:ind w:left="40"/>
              <w:spacing w:after="0"/>
              <w:rPr>
                <w:sz w:val="20"/>
                <w:szCs w:val="20"/>
                <w:color w:val="auto"/>
              </w:rPr>
            </w:pPr>
            <w:r>
              <w:rPr>
                <w:rFonts w:ascii="Arial" w:cs="Arial" w:eastAsia="Arial" w:hAnsi="Arial"/>
                <w:sz w:val="16"/>
                <w:szCs w:val="16"/>
                <w:color w:val="auto"/>
              </w:rPr>
              <w:t>SERP benefit liability</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3,257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3,342</w:t>
            </w:r>
          </w:p>
        </w:tc>
      </w:tr>
      <w:tr>
        <w:trPr>
          <w:trHeight w:val="280"/>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102</w:t>
            </w:r>
          </w:p>
        </w:tc>
      </w:tr>
      <w:tr>
        <w:trPr>
          <w:trHeight w:val="264"/>
        </w:trPr>
        <w:tc>
          <w:tcPr>
            <w:tcW w:w="74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Officer stock-based compensation</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r>
      <w:tr>
        <w:trPr>
          <w:trHeight w:val="257"/>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3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74,595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80,004</w:t>
            </w:r>
          </w:p>
        </w:tc>
      </w:tr>
      <w:tr>
        <w:trPr>
          <w:trHeight w:val="264"/>
        </w:trPr>
        <w:tc>
          <w:tcPr>
            <w:tcW w:w="74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Less current portion</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(4,568)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(4,869)</w:t>
            </w:r>
          </w:p>
        </w:tc>
      </w:tr>
      <w:tr>
        <w:trPr>
          <w:trHeight w:val="240"/>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70,027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75,135</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 Changes in the postretirement benefit plan include:</w:t>
      </w:r>
    </w:p>
    <w:p>
      <w:pPr>
        <w:spacing w:after="0" w:line="1" w:lineRule="exact"/>
        <w:rPr>
          <w:sz w:val="20"/>
          <w:szCs w:val="20"/>
          <w:color w:val="auto"/>
        </w:rPr>
      </w:pPr>
    </w:p>
    <w:p>
      <w:pPr>
        <w:ind w:left="340" w:right="12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Fiscal 2005,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w:t>
      </w:r>
    </w:p>
    <w:p>
      <w:pPr>
        <w:spacing w:after="0" w:line="1"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January 2012 the employer established dollar caps were reduced by 10%, which reduced our liability for postretirement health care by $4.6 million and is being amortized as prior service credit over 7.8 years.</w:t>
      </w:r>
    </w:p>
    <w:p>
      <w:pPr>
        <w:ind w:left="340" w:right="800" w:hanging="332"/>
        <w:spacing w:after="0" w:line="260"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January 2013 the employer established dollar caps were further reduced by 10%, which reduced our liability for postretirement health care by approximately $4.3 million and is being amortized as prior service credit over 7.5 years.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Quarter Ended</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2,</w:t>
            </w:r>
          </w:p>
        </w:tc>
        <w:tc>
          <w:tcPr>
            <w:tcW w:w="2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25,</w:t>
            </w:r>
          </w:p>
        </w:tc>
        <w:tc>
          <w:tcPr>
            <w:tcW w:w="300" w:type="dxa"/>
            <w:vAlign w:val="bottom"/>
          </w:tcPr>
          <w:p>
            <w:pPr>
              <w:spacing w:after="0"/>
              <w:rPr>
                <w:sz w:val="17"/>
                <w:szCs w:val="17"/>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w:t>
            </w:r>
          </w:p>
        </w:tc>
        <w:tc>
          <w:tcPr>
            <w:tcW w:w="220" w:type="dxa"/>
            <w:vAlign w:val="bottom"/>
          </w:tcPr>
          <w:p>
            <w:pPr>
              <w:spacing w:after="0"/>
              <w:rPr>
                <w:sz w:val="17"/>
                <w:szCs w:val="17"/>
                <w:color w:val="auto"/>
              </w:rPr>
            </w:pPr>
          </w:p>
        </w:tc>
        <w:tc>
          <w:tcPr>
            <w:tcW w:w="1500" w:type="dxa"/>
            <w:vAlign w:val="bottom"/>
          </w:tcPr>
          <w:p>
            <w:pPr>
              <w:jc w:val="right"/>
              <w:ind w:right="31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2012</w:t>
            </w:r>
          </w:p>
        </w:tc>
      </w:tr>
      <w:tr>
        <w:trPr>
          <w:trHeight w:val="257"/>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763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944</w:t>
            </w:r>
          </w:p>
        </w:tc>
      </w:tr>
      <w:tr>
        <w:trPr>
          <w:trHeight w:val="260"/>
        </w:trPr>
        <w:tc>
          <w:tcPr>
            <w:tcW w:w="434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300" w:type="dxa"/>
            <w:vAlign w:val="bottom"/>
          </w:tcPr>
          <w:p>
            <w:pPr>
              <w:spacing w:after="0"/>
              <w:rPr>
                <w:sz w:val="22"/>
                <w:szCs w:val="22"/>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color w:val="auto"/>
              </w:rPr>
              <w:t>275</w:t>
            </w:r>
          </w:p>
        </w:tc>
      </w:tr>
      <w:tr>
        <w:trPr>
          <w:trHeight w:val="28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(1,261)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(1,140)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(2,437)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(2,151)</w:t>
            </w:r>
          </w:p>
        </w:tc>
      </w:tr>
      <w:tr>
        <w:trPr>
          <w:trHeight w:val="264"/>
        </w:trPr>
        <w:tc>
          <w:tcPr>
            <w:tcW w:w="43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503</w:t>
            </w:r>
          </w:p>
        </w:tc>
      </w:tr>
      <w:tr>
        <w:trPr>
          <w:trHeight w:val="240"/>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(429)</w:t>
            </w: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67"/>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4"/>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565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619</w:t>
            </w: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Stock-Based Compensation Plans</w:t>
      </w:r>
    </w:p>
    <w:p>
      <w:pPr>
        <w:spacing w:after="0" w:line="187" w:lineRule="exact"/>
        <w:rPr>
          <w:sz w:val="20"/>
          <w:szCs w:val="20"/>
          <w:color w:val="auto"/>
        </w:rPr>
      </w:pPr>
    </w:p>
    <w:p>
      <w:pPr>
        <w:jc w:val="both"/>
        <w:ind w:right="360"/>
        <w:spacing w:after="0" w:line="260" w:lineRule="auto"/>
        <w:rPr>
          <w:sz w:val="20"/>
          <w:szCs w:val="20"/>
          <w:color w:val="auto"/>
        </w:rPr>
      </w:pPr>
      <w:r>
        <w:rPr>
          <w:rFonts w:ascii="Arial" w:cs="Arial" w:eastAsia="Arial" w:hAnsi="Arial"/>
          <w:sz w:val="16"/>
          <w:szCs w:val="16"/>
          <w:color w:val="auto"/>
        </w:rPr>
        <w:t>We have a 2004 Incentive Compensation Plan approved by shareholders (as amended, the "Plan") in place which allows us to grant or issue non-qualified stock options, incentive stock options, share awards and other equity compensation to key employees and to non-employee directors.</w:t>
      </w:r>
    </w:p>
    <w:p>
      <w:pPr>
        <w:spacing w:after="0" w:line="14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On October 10, 2012 the Board of Directors granted an aggregate of 155,600 shares of restricted common stock to our key employees and non-employee directors. The value of the restricted stock award is determined using the intrinsic value method which, in this case, is based on the number of shares granted and the closing price of our common stock on the date of grant.</w:t>
      </w:r>
    </w:p>
    <w:p>
      <w:pPr>
        <w:spacing w:after="0" w:line="14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Stock-based compensation expense was $309,000 and $572,000 during the second quarters of Fiscal 2013 and 2012, respectively. Stock-based compensation expense was $996,000 and $749,000 during the six months of Fiscal 2013 and 2012, respectively. Of the $996,000, $713,000 related to the October 10, 2012 grant. The remainder is related to the amortization of previously granted restricted stock awards, as well as nonemployee director stock units issued in lieu of their fees. Compensation expense is recognized over the requisite service period of the award or over a period ending with the employee's eligible retirement date, if earlier.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w:t>
      </w:r>
    </w:p>
    <w:p>
      <w:pPr>
        <w:sectPr>
          <w:pgSz w:w="11900" w:h="16838" w:orient="portrait"/>
          <w:cols w:equalWidth="0" w:num="1">
            <w:col w:w="11420"/>
          </w:cols>
          <w:pgMar w:left="240" w:top="118" w:right="2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company lends the dealer all, or substantially all, of the purchase price, collateralized by a security interest in the recreation vehicles purchased.</w:t>
      </w:r>
    </w:p>
    <w:p>
      <w:pPr>
        <w:spacing w:after="0" w:line="16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$227.8 million and $165.4 million at March 2, 2013 and August 25, 2012, respectively.</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 vehicles to repurchase current inventory if a dealership exits the business. Incremental repurchase exposure beyond existing repurchase agreements, related to dealer inventory in states that we have had historical experience of repurchasing inventory, totaled $6.7 million and $5.0 million at March 2, 2013 and August 25, 2012, respectively.</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risk of loss related to our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$1.1 million as of March 2, 2013 and $627,000 as of August 25, 2012.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gridSpan w:val="2"/>
          </w:tcPr>
          <w:p>
            <w:pPr>
              <w:spacing w:after="0"/>
              <w:rPr>
                <w:sz w:val="20"/>
                <w:szCs w:val="20"/>
                <w:color w:val="auto"/>
              </w:rPr>
            </w:pPr>
            <w:r>
              <w:rPr>
                <w:rFonts w:ascii="Arial" w:cs="Arial" w:eastAsia="Arial" w:hAnsi="Arial"/>
                <w:sz w:val="16"/>
                <w:szCs w:val="16"/>
                <w:color w:val="auto"/>
              </w:rPr>
              <w:t>A summary of repurchase activity is as follows:</w:t>
            </w: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1"/>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Borders>
              <w:bottom w:val="single" w:sz="8" w:color="auto"/>
            </w:tcBorders>
            <w:gridSpan w:val="5"/>
          </w:tcPr>
          <w:p>
            <w:pPr>
              <w:jc w:val="right"/>
              <w:ind w:right="89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March 2,</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25,</w:t>
            </w:r>
          </w:p>
        </w:tc>
        <w:tc>
          <w:tcPr>
            <w:tcW w:w="26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w:t>
            </w:r>
          </w:p>
        </w:tc>
        <w:tc>
          <w:tcPr>
            <w:tcW w:w="1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2013</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1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Units</w:t>
            </w:r>
          </w:p>
        </w:tc>
        <w:tc>
          <w:tcPr>
            <w:tcW w:w="1140" w:type="dxa"/>
            <w:vAlign w:val="bottom"/>
          </w:tcPr>
          <w:p>
            <w:pPr>
              <w:spacing w:after="0"/>
              <w:rPr>
                <w:sz w:val="22"/>
                <w:szCs w:val="22"/>
                <w:color w:val="auto"/>
              </w:rPr>
            </w:pPr>
          </w:p>
        </w:tc>
        <w:tc>
          <w:tcPr>
            <w:tcW w:w="4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1,249</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Inventory resold:</w:t>
            </w: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114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6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Cash collected</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1,103</w:t>
            </w: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Loss recognized</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r>
      <w:tr>
        <w:trPr>
          <w:trHeight w:val="251"/>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Units in ending inventory</w:t>
            </w:r>
          </w:p>
        </w:tc>
        <w:tc>
          <w:tcPr>
            <w:tcW w:w="114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1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calculate our loss reserve for repurchase commitments. A hypothetical change of a 10% increase or decrease in our significant repurchase commitment assumptions at March 2, 2013 would have affected net income by approximately $245,000.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Income Taxes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Significant judgment is required in determining our provision for income taxes, our deferred tax assets and liabilities and any valuation allowance recorded against our deferred tax assets. Valuation allowances arise due to uncertainty of realizing deferred tax assets. ASC 740 requires that companies assess whether valuation allowances should be established against their deferred tax assets based on the consideration of all available evidence, using a “more-likely-than-not” standard. In making such assessments, significant weight is given to evidence that can be objectively verified. A company's current or previous losses are given more weight than its future outlook. Based on ASC 740 guidelines, as of March 2, 2013 and August 25, 2012, we have applied a valuation allowance of $1.8 million and $1.6 million, respectively, against our deferred tax assets.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371"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Although certain years are no longer subject to examinations by the IRS and various state taxing authorities, net operating loss carryforwards generated in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those years may still be adjusted upon examination by the IRS or state taxing authorities if they either have been or will be used in a future period. Due to such carryback claims, our federal returns from Fiscal 2004 to present continue to be subject to review by the IRS. As such, the IRS is currently reviewing our Fiscal 2011 federal tax return. A number of years may elapse before an uncertain tax position is audited and finally resolved, and it is often very difficult to predict the outcome of such audits. Periodically, various state and local jurisdictions conduct audits, therefore, a variety of years are subject to state and local jurisdiction review.</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 of March 2, 2013, our unrecognized tax benefits were $5.1 million, of which if realized $3.1 million could have a positive impact on the overall effective tax rate. It is our policy to recognize interest and penalties accrued relative to unrecognized tax benefits as tax expense. As of March 2, 2013, we had accrued $2.1 million in interest and penalties which are included in unrecognized tax benefits. We do not anticipate any significant changes in unrecognized tax benefits within the next twelve months. Actual results may differ materially from this estimate.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center"/>
              <w:ind w:right="13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w:t>
            </w:r>
          </w:p>
        </w:tc>
        <w:tc>
          <w:tcPr>
            <w:tcW w:w="24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25,</w:t>
            </w: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w:t>
            </w:r>
          </w:p>
        </w:tc>
        <w:tc>
          <w:tcPr>
            <w:tcW w:w="1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25,</w:t>
            </w:r>
          </w:p>
        </w:tc>
      </w:tr>
      <w:tr>
        <w:trPr>
          <w:trHeight w:val="22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270"/>
        </w:trPr>
        <w:tc>
          <w:tcPr>
            <w:tcW w:w="5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020" w:type="dxa"/>
            <w:vAlign w:val="bottom"/>
            <w:gridSpan w:val="2"/>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6,285</w:t>
            </w:r>
          </w:p>
        </w:tc>
        <w:tc>
          <w:tcPr>
            <w:tcW w:w="100" w:type="dxa"/>
            <w:vAlign w:val="bottom"/>
          </w:tcPr>
          <w:p>
            <w:pPr>
              <w:spacing w:after="0"/>
              <w:rPr>
                <w:sz w:val="22"/>
                <w:szCs w:val="22"/>
                <w:color w:val="auto"/>
              </w:rPr>
            </w:pP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13,676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123</w:t>
            </w:r>
          </w:p>
        </w:tc>
      </w:tr>
      <w:tr>
        <w:trPr>
          <w:trHeight w:val="280"/>
        </w:trPr>
        <w:tc>
          <w:tcPr>
            <w:tcW w:w="5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28,084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29,151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29,145</w:t>
            </w:r>
          </w:p>
        </w:tc>
      </w:tr>
      <w:tr>
        <w:trPr>
          <w:trHeight w:val="260"/>
        </w:trPr>
        <w:tc>
          <w:tcPr>
            <w:tcW w:w="5020" w:type="dxa"/>
            <w:vAlign w:val="bottom"/>
            <w:gridSpan w:val="2"/>
          </w:tcPr>
          <w:p>
            <w:pPr>
              <w:ind w:left="40"/>
              <w:spacing w:after="0"/>
              <w:rPr>
                <w:sz w:val="20"/>
                <w:szCs w:val="20"/>
                <w:color w:val="auto"/>
              </w:rPr>
            </w:pPr>
            <w:r>
              <w:rPr>
                <w:rFonts w:ascii="Arial" w:cs="Arial" w:eastAsia="Arial" w:hAnsi="Arial"/>
                <w:sz w:val="16"/>
                <w:szCs w:val="16"/>
                <w:color w:val="auto"/>
              </w:rPr>
              <w:t>Net income (loss) per share - basic</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22"/>
                <w:szCs w:val="22"/>
                <w:color w:val="auto"/>
              </w:rPr>
            </w:pP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0.00</w:t>
            </w:r>
          </w:p>
        </w:tc>
      </w:tr>
      <w:tr>
        <w:trPr>
          <w:trHeight w:val="293"/>
        </w:trPr>
        <w:tc>
          <w:tcPr>
            <w:tcW w:w="4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5020" w:type="dxa"/>
            <w:vAlign w:val="bottom"/>
            <w:gridSpan w:val="2"/>
          </w:tcPr>
          <w:p>
            <w:pPr>
              <w:ind w:left="40"/>
              <w:spacing w:after="0"/>
              <w:rPr>
                <w:sz w:val="20"/>
                <w:szCs w:val="20"/>
                <w:color w:val="auto"/>
              </w:rPr>
            </w:pPr>
            <w:r>
              <w:rPr>
                <w:rFonts w:ascii="Arial" w:cs="Arial" w:eastAsia="Arial" w:hAnsi="Arial"/>
                <w:sz w:val="16"/>
                <w:szCs w:val="16"/>
                <w:color w:val="auto"/>
              </w:rPr>
              <w:t>Income (loss) per share - assuming dilution</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5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r>
      <w:tr>
        <w:trPr>
          <w:trHeight w:val="260"/>
        </w:trPr>
        <w:tc>
          <w:tcPr>
            <w:tcW w:w="502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outstanding</w:t>
            </w:r>
          </w:p>
        </w:tc>
        <w:tc>
          <w:tcPr>
            <w:tcW w:w="24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28,084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29,151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28,196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29,145</w:t>
            </w:r>
          </w:p>
        </w:tc>
      </w:tr>
      <w:tr>
        <w:trPr>
          <w:trHeight w:val="280"/>
        </w:trPr>
        <w:tc>
          <w:tcPr>
            <w:tcW w:w="5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r>
      <w:tr>
        <w:trPr>
          <w:trHeight w:val="260"/>
        </w:trPr>
        <w:tc>
          <w:tcPr>
            <w:tcW w:w="502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24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28,191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29,248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28,280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29,231</w:t>
            </w:r>
          </w:p>
        </w:tc>
      </w:tr>
      <w:tr>
        <w:trPr>
          <w:trHeight w:val="280"/>
        </w:trPr>
        <w:tc>
          <w:tcPr>
            <w:tcW w:w="5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per share - assuming dilution</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0.00</w:t>
            </w:r>
          </w:p>
        </w:tc>
      </w:tr>
    </w:tbl>
    <w:p>
      <w:pPr>
        <w:spacing w:after="0" w:line="19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 xml:space="preserve">At the end of the second quarters of Fiscal 2013 and Fiscal 2012, there were options outstanding to purchase 673,328 shares and 790,331 shares, respectively, of common stock at an average price of $29.83 and $29.03, respectively, which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Subsequent Event</w:t>
      </w:r>
    </w:p>
    <w:p>
      <w:pPr>
        <w:spacing w:after="0" w:line="21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evaluated all events or transactions occurring between the balance sheet date for the quarterly period ended March 2, 2013 and the date of issuance of the financial statements that would require recognition or disclosure in the financial statements. There were no material subsequent events.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It is suggested this management's discussion be read in conjunction with the Financial Statements contained in this Form 10-Q as well as the Management's Discussion and Analysis and Risk Factors included in our Annual Report on Form 10-K for the fiscal year ended August 25, 2012.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which may be disclosed throughout this report. Although we believe that the expectations reflected in the “forward-looking statements” are reasonable, we cannot guarantee future results, or levels of activity, performance or achievements. Undue reliance should not be placed on these “forward-looking statements,” which speak only as of the date of this report. We undertake no obligation to publicly update or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revise any “forward-looking statements” whether as a result of new information, future events or otherwise, except as required by law or the rules of the NYSE.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187"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produce all of our motorhomes in vertically integrated manufacturing facilities in Iowa and we produce all travel trailer and fifth wheels in Indiana. We distribute our products primarily through independent dealers throughout the US and Canada, who then retail the products to the end consumer.</w:t>
      </w:r>
    </w:p>
    <w:p>
      <w:pPr>
        <w:spacing w:after="0" w:line="161" w:lineRule="exact"/>
        <w:rPr>
          <w:sz w:val="20"/>
          <w:szCs w:val="20"/>
          <w:color w:val="auto"/>
        </w:rPr>
      </w:pPr>
    </w:p>
    <w:p>
      <w:pPr>
        <w:ind w:right="640"/>
        <w:spacing w:after="0" w:line="295"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rPr>
              <w:t>Through January 31</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265"/>
              <w:spacing w:after="0"/>
              <w:rPr>
                <w:sz w:val="20"/>
                <w:szCs w:val="20"/>
                <w:color w:val="auto"/>
              </w:rPr>
            </w:pPr>
            <w:r>
              <w:rPr>
                <w:rFonts w:ascii="Arial" w:cs="Arial" w:eastAsia="Arial" w:hAnsi="Arial"/>
                <w:sz w:val="14"/>
                <w:szCs w:val="14"/>
                <w:b w:val="1"/>
                <w:bCs w:val="1"/>
                <w:color w:val="auto"/>
              </w:rPr>
              <w:t>Calendar Year</w:t>
            </w:r>
          </w:p>
        </w:tc>
        <w:tc>
          <w:tcPr>
            <w:tcW w:w="1160" w:type="dxa"/>
            <w:vAlign w:val="bottom"/>
          </w:tcPr>
          <w:p>
            <w:pPr>
              <w:spacing w:after="0"/>
              <w:rPr>
                <w:sz w:val="17"/>
                <w:szCs w:val="17"/>
                <w:color w:val="auto"/>
              </w:rPr>
            </w:pPr>
          </w:p>
        </w:tc>
      </w:tr>
      <w:tr>
        <w:trPr>
          <w:trHeight w:val="250"/>
        </w:trPr>
        <w:tc>
          <w:tcPr>
            <w:tcW w:w="1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US Retail Motorized:</w:t>
            </w:r>
          </w:p>
        </w:tc>
        <w:tc>
          <w:tcPr>
            <w:tcW w:w="9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top w:val="single" w:sz="8" w:color="auto"/>
              <w:bottom w:val="single" w:sz="8" w:color="auto"/>
            </w:tcBorders>
            <w:gridSpan w:val="3"/>
          </w:tcPr>
          <w:p>
            <w:pPr>
              <w:jc w:val="right"/>
              <w:ind w:right="38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2012</w:t>
            </w:r>
          </w:p>
        </w:tc>
        <w:tc>
          <w:tcPr>
            <w:tcW w:w="1600" w:type="dxa"/>
            <w:vAlign w:val="bottom"/>
            <w:tcBorders>
              <w:top w:val="single" w:sz="8" w:color="auto"/>
              <w:bottom w:val="single" w:sz="8" w:color="auto"/>
            </w:tcBorders>
            <w:gridSpan w:val="3"/>
          </w:tcPr>
          <w:p>
            <w:pPr>
              <w:jc w:val="center"/>
              <w:ind w:right="45"/>
              <w:spacing w:after="0"/>
              <w:rPr>
                <w:sz w:val="20"/>
                <w:szCs w:val="20"/>
                <w:color w:val="auto"/>
              </w:rPr>
            </w:pPr>
            <w:r>
              <w:rPr>
                <w:rFonts w:ascii="Arial" w:cs="Arial" w:eastAsia="Arial" w:hAnsi="Arial"/>
                <w:sz w:val="14"/>
                <w:szCs w:val="14"/>
                <w:b w:val="1"/>
                <w:bCs w:val="1"/>
                <w:color w:val="auto"/>
              </w:rPr>
              <w:t>2011</w:t>
            </w:r>
          </w:p>
        </w:tc>
        <w:tc>
          <w:tcPr>
            <w:tcW w:w="116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2010</w:t>
            </w:r>
          </w:p>
        </w:tc>
      </w:tr>
      <w:tr>
        <w:trPr>
          <w:trHeight w:val="256"/>
        </w:trPr>
        <w:tc>
          <w:tcPr>
            <w:tcW w:w="1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9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24.9%</w:t>
            </w:r>
          </w:p>
        </w:tc>
        <w:tc>
          <w:tcPr>
            <w:tcW w:w="900" w:type="dxa"/>
            <w:vAlign w:val="bottom"/>
            <w:gridSpan w:val="3"/>
            <w:shd w:val="clear" w:color="auto" w:fill="CCEEFF"/>
          </w:tcPr>
          <w:p>
            <w:pPr>
              <w:jc w:val="right"/>
              <w:ind w:right="103"/>
              <w:spacing w:after="0"/>
              <w:rPr>
                <w:sz w:val="20"/>
                <w:szCs w:val="20"/>
                <w:color w:val="auto"/>
              </w:rPr>
            </w:pPr>
            <w:r>
              <w:rPr>
                <w:rFonts w:ascii="Arial" w:cs="Arial" w:eastAsia="Arial" w:hAnsi="Arial"/>
                <w:sz w:val="16"/>
                <w:szCs w:val="16"/>
                <w:color w:val="auto"/>
              </w:rPr>
              <w:t>20.0%</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24.2%</w:t>
            </w:r>
          </w:p>
        </w:tc>
        <w:tc>
          <w:tcPr>
            <w:tcW w:w="1600" w:type="dxa"/>
            <w:vAlign w:val="bottom"/>
            <w:gridSpan w:val="3"/>
            <w:shd w:val="clear" w:color="auto" w:fill="CCEEFF"/>
          </w:tcPr>
          <w:p>
            <w:pPr>
              <w:jc w:val="right"/>
              <w:ind w:right="385"/>
              <w:spacing w:after="0"/>
              <w:rPr>
                <w:sz w:val="20"/>
                <w:szCs w:val="20"/>
                <w:color w:val="auto"/>
              </w:rPr>
            </w:pPr>
            <w:r>
              <w:rPr>
                <w:rFonts w:ascii="Arial" w:cs="Arial" w:eastAsia="Arial" w:hAnsi="Arial"/>
                <w:sz w:val="16"/>
                <w:szCs w:val="16"/>
                <w:color w:val="auto"/>
              </w:rPr>
              <w:t>22.2%</w:t>
            </w: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23.7%</w:t>
            </w:r>
          </w:p>
        </w:tc>
      </w:tr>
      <w:tr>
        <w:trPr>
          <w:trHeight w:val="264"/>
        </w:trPr>
        <w:tc>
          <w:tcPr>
            <w:tcW w:w="19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Class A diesel</w:t>
            </w:r>
          </w:p>
        </w:tc>
        <w:tc>
          <w:tcPr>
            <w:tcW w:w="9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20.2%</w:t>
            </w:r>
          </w:p>
        </w:tc>
        <w:tc>
          <w:tcPr>
            <w:tcW w:w="90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6"/>
                <w:szCs w:val="16"/>
                <w:color w:val="auto"/>
              </w:rPr>
              <w:t>19.2%</w:t>
            </w: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19.4%</w:t>
            </w:r>
          </w:p>
        </w:tc>
        <w:tc>
          <w:tcPr>
            <w:tcW w:w="160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6"/>
                <w:szCs w:val="16"/>
                <w:color w:val="auto"/>
              </w:rPr>
              <w:t>17.6%</w:t>
            </w: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15.2%</w:t>
            </w:r>
          </w:p>
        </w:tc>
      </w:tr>
      <w:tr>
        <w:trPr>
          <w:trHeight w:val="257"/>
        </w:trPr>
        <w:tc>
          <w:tcPr>
            <w:tcW w:w="1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9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22.9%</w:t>
            </w:r>
          </w:p>
        </w:tc>
        <w:tc>
          <w:tcPr>
            <w:tcW w:w="900" w:type="dxa"/>
            <w:vAlign w:val="bottom"/>
            <w:gridSpan w:val="3"/>
            <w:shd w:val="clear" w:color="auto" w:fill="CCEEFF"/>
          </w:tcPr>
          <w:p>
            <w:pPr>
              <w:jc w:val="right"/>
              <w:ind w:right="103"/>
              <w:spacing w:after="0"/>
              <w:rPr>
                <w:sz w:val="20"/>
                <w:szCs w:val="20"/>
                <w:color w:val="auto"/>
              </w:rPr>
            </w:pPr>
            <w:r>
              <w:rPr>
                <w:rFonts w:ascii="Arial" w:cs="Arial" w:eastAsia="Arial" w:hAnsi="Arial"/>
                <w:sz w:val="16"/>
                <w:szCs w:val="16"/>
                <w:color w:val="auto"/>
              </w:rPr>
              <w:t>19.6%</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22.2%</w:t>
            </w:r>
          </w:p>
        </w:tc>
        <w:tc>
          <w:tcPr>
            <w:tcW w:w="1600" w:type="dxa"/>
            <w:vAlign w:val="bottom"/>
            <w:gridSpan w:val="3"/>
            <w:shd w:val="clear" w:color="auto" w:fill="CCEEFF"/>
          </w:tcPr>
          <w:p>
            <w:pPr>
              <w:jc w:val="right"/>
              <w:ind w:right="385"/>
              <w:spacing w:after="0"/>
              <w:rPr>
                <w:sz w:val="20"/>
                <w:szCs w:val="20"/>
                <w:color w:val="auto"/>
              </w:rPr>
            </w:pPr>
            <w:r>
              <w:rPr>
                <w:rFonts w:ascii="Arial" w:cs="Arial" w:eastAsia="Arial" w:hAnsi="Arial"/>
                <w:sz w:val="16"/>
                <w:szCs w:val="16"/>
                <w:color w:val="auto"/>
              </w:rPr>
              <w:t>20.2%</w:t>
            </w: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19.5%</w:t>
            </w:r>
          </w:p>
        </w:tc>
      </w:tr>
      <w:tr>
        <w:trPr>
          <w:trHeight w:val="264"/>
        </w:trPr>
        <w:tc>
          <w:tcPr>
            <w:tcW w:w="19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Class C</w:t>
            </w:r>
          </w:p>
        </w:tc>
        <w:tc>
          <w:tcPr>
            <w:tcW w:w="9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17.9%</w:t>
            </w:r>
          </w:p>
        </w:tc>
        <w:tc>
          <w:tcPr>
            <w:tcW w:w="90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6"/>
                <w:szCs w:val="16"/>
                <w:color w:val="auto"/>
              </w:rPr>
              <w:t>20.8%</w:t>
            </w: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18.5%</w:t>
            </w:r>
          </w:p>
        </w:tc>
        <w:tc>
          <w:tcPr>
            <w:tcW w:w="160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6"/>
                <w:szCs w:val="16"/>
                <w:color w:val="auto"/>
              </w:rPr>
              <w:t>17.5%</w:t>
            </w: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17.9%</w:t>
            </w:r>
          </w:p>
        </w:tc>
      </w:tr>
      <w:tr>
        <w:trPr>
          <w:trHeight w:val="240"/>
        </w:trPr>
        <w:tc>
          <w:tcPr>
            <w:tcW w:w="1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9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21.1%</w:t>
            </w:r>
          </w:p>
        </w:tc>
        <w:tc>
          <w:tcPr>
            <w:tcW w:w="900" w:type="dxa"/>
            <w:vAlign w:val="bottom"/>
            <w:tcBorders>
              <w:bottom w:val="single" w:sz="8" w:color="auto"/>
            </w:tcBorders>
            <w:gridSpan w:val="3"/>
            <w:shd w:val="clear" w:color="auto" w:fill="CCEEFF"/>
          </w:tcPr>
          <w:p>
            <w:pPr>
              <w:jc w:val="right"/>
              <w:ind w:right="103"/>
              <w:spacing w:after="0"/>
              <w:rPr>
                <w:sz w:val="20"/>
                <w:szCs w:val="20"/>
                <w:color w:val="auto"/>
              </w:rPr>
            </w:pPr>
            <w:r>
              <w:rPr>
                <w:rFonts w:ascii="Arial" w:cs="Arial" w:eastAsia="Arial" w:hAnsi="Arial"/>
                <w:sz w:val="16"/>
                <w:szCs w:val="16"/>
                <w:color w:val="auto"/>
              </w:rPr>
              <w:t>20.0%</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20.6%</w:t>
            </w:r>
          </w:p>
        </w:tc>
        <w:tc>
          <w:tcPr>
            <w:tcW w:w="1600" w:type="dxa"/>
            <w:vAlign w:val="bottom"/>
            <w:tcBorders>
              <w:bottom w:val="single" w:sz="8" w:color="auto"/>
            </w:tcBorders>
            <w:gridSpan w:val="3"/>
            <w:shd w:val="clear" w:color="auto" w:fill="CCEEFF"/>
          </w:tcPr>
          <w:p>
            <w:pPr>
              <w:jc w:val="right"/>
              <w:ind w:right="385"/>
              <w:spacing w:after="0"/>
              <w:rPr>
                <w:sz w:val="20"/>
                <w:szCs w:val="20"/>
                <w:color w:val="auto"/>
              </w:rPr>
            </w:pPr>
            <w:r>
              <w:rPr>
                <w:rFonts w:ascii="Arial" w:cs="Arial" w:eastAsia="Arial" w:hAnsi="Arial"/>
                <w:sz w:val="16"/>
                <w:szCs w:val="16"/>
                <w:color w:val="auto"/>
              </w:rPr>
              <w:t>19.0%</w:t>
            </w:r>
          </w:p>
        </w:tc>
        <w:tc>
          <w:tcPr>
            <w:tcW w:w="11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18.8%</w:t>
            </w: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4"/>
        </w:trPr>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4"/>
        </w:trPr>
        <w:tc>
          <w:tcPr>
            <w:tcW w:w="1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9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15.4%</w:t>
            </w:r>
          </w:p>
        </w:tc>
        <w:tc>
          <w:tcPr>
            <w:tcW w:w="900" w:type="dxa"/>
            <w:vAlign w:val="bottom"/>
            <w:tcBorders>
              <w:bottom w:val="single" w:sz="8" w:color="auto"/>
            </w:tcBorders>
            <w:gridSpan w:val="3"/>
            <w:shd w:val="clear" w:color="auto" w:fill="CCEEFF"/>
          </w:tcPr>
          <w:p>
            <w:pPr>
              <w:jc w:val="right"/>
              <w:ind w:right="103"/>
              <w:spacing w:after="0"/>
              <w:rPr>
                <w:sz w:val="20"/>
                <w:szCs w:val="20"/>
                <w:color w:val="auto"/>
              </w:rPr>
            </w:pPr>
            <w:r>
              <w:rPr>
                <w:rFonts w:ascii="Arial" w:cs="Arial" w:eastAsia="Arial" w:hAnsi="Arial"/>
                <w:sz w:val="16"/>
                <w:szCs w:val="16"/>
                <w:color w:val="auto"/>
              </w:rPr>
              <w:t>15.5%</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16.5%</w:t>
            </w:r>
          </w:p>
        </w:tc>
        <w:tc>
          <w:tcPr>
            <w:tcW w:w="1600" w:type="dxa"/>
            <w:vAlign w:val="bottom"/>
            <w:tcBorders>
              <w:bottom w:val="single" w:sz="8" w:color="auto"/>
            </w:tcBorders>
            <w:gridSpan w:val="3"/>
            <w:shd w:val="clear" w:color="auto" w:fill="CCEEFF"/>
          </w:tcPr>
          <w:p>
            <w:pPr>
              <w:jc w:val="right"/>
              <w:ind w:right="385"/>
              <w:spacing w:after="0"/>
              <w:rPr>
                <w:sz w:val="20"/>
                <w:szCs w:val="20"/>
                <w:color w:val="auto"/>
              </w:rPr>
            </w:pPr>
            <w:r>
              <w:rPr>
                <w:rFonts w:ascii="Arial" w:cs="Arial" w:eastAsia="Arial" w:hAnsi="Arial"/>
                <w:sz w:val="16"/>
                <w:szCs w:val="16"/>
                <w:color w:val="auto"/>
              </w:rPr>
              <w:t>7.7%</w:t>
            </w:r>
          </w:p>
        </w:tc>
        <w:tc>
          <w:tcPr>
            <w:tcW w:w="11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15.6%</w:t>
            </w: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18"/>
        </w:trPr>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rPr>
              <w:t>Through January 31</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265"/>
              <w:spacing w:after="0"/>
              <w:rPr>
                <w:sz w:val="20"/>
                <w:szCs w:val="20"/>
                <w:color w:val="auto"/>
              </w:rPr>
            </w:pPr>
            <w:r>
              <w:rPr>
                <w:rFonts w:ascii="Arial" w:cs="Arial" w:eastAsia="Arial" w:hAnsi="Arial"/>
                <w:sz w:val="14"/>
                <w:szCs w:val="14"/>
                <w:b w:val="1"/>
                <w:bCs w:val="1"/>
                <w:color w:val="auto"/>
              </w:rPr>
              <w:t>Calendar Year</w:t>
            </w:r>
          </w:p>
        </w:tc>
        <w:tc>
          <w:tcPr>
            <w:tcW w:w="1160" w:type="dxa"/>
            <w:vAlign w:val="bottom"/>
          </w:tcPr>
          <w:p>
            <w:pPr>
              <w:spacing w:after="0"/>
              <w:rPr>
                <w:sz w:val="24"/>
                <w:szCs w:val="24"/>
                <w:color w:val="auto"/>
              </w:rPr>
            </w:pPr>
          </w:p>
        </w:tc>
      </w:tr>
      <w:tr>
        <w:trPr>
          <w:trHeight w:val="250"/>
        </w:trPr>
        <w:tc>
          <w:tcPr>
            <w:tcW w:w="1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Canadian Retail Motorized:</w:t>
            </w:r>
          </w:p>
        </w:tc>
        <w:tc>
          <w:tcPr>
            <w:tcW w:w="9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top w:val="single" w:sz="8" w:color="auto"/>
              <w:bottom w:val="single" w:sz="8" w:color="auto"/>
            </w:tcBorders>
            <w:gridSpan w:val="3"/>
          </w:tcPr>
          <w:p>
            <w:pPr>
              <w:jc w:val="right"/>
              <w:ind w:right="38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2012</w:t>
            </w:r>
          </w:p>
        </w:tc>
        <w:tc>
          <w:tcPr>
            <w:tcW w:w="1600" w:type="dxa"/>
            <w:vAlign w:val="bottom"/>
            <w:tcBorders>
              <w:top w:val="single" w:sz="8" w:color="auto"/>
              <w:bottom w:val="single" w:sz="8" w:color="auto"/>
            </w:tcBorders>
            <w:gridSpan w:val="3"/>
          </w:tcPr>
          <w:p>
            <w:pPr>
              <w:jc w:val="center"/>
              <w:ind w:right="45"/>
              <w:spacing w:after="0"/>
              <w:rPr>
                <w:sz w:val="20"/>
                <w:szCs w:val="20"/>
                <w:color w:val="auto"/>
              </w:rPr>
            </w:pPr>
            <w:r>
              <w:rPr>
                <w:rFonts w:ascii="Arial" w:cs="Arial" w:eastAsia="Arial" w:hAnsi="Arial"/>
                <w:sz w:val="14"/>
                <w:szCs w:val="14"/>
                <w:b w:val="1"/>
                <w:bCs w:val="1"/>
                <w:color w:val="auto"/>
              </w:rPr>
              <w:t>2011</w:t>
            </w:r>
          </w:p>
        </w:tc>
        <w:tc>
          <w:tcPr>
            <w:tcW w:w="116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2010</w:t>
            </w:r>
          </w:p>
        </w:tc>
      </w:tr>
      <w:tr>
        <w:trPr>
          <w:trHeight w:val="256"/>
        </w:trPr>
        <w:tc>
          <w:tcPr>
            <w:tcW w:w="1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9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103"/>
              <w:spacing w:after="0"/>
              <w:rPr>
                <w:sz w:val="20"/>
                <w:szCs w:val="20"/>
                <w:color w:val="auto"/>
              </w:rPr>
            </w:pPr>
            <w:r>
              <w:rPr>
                <w:rFonts w:ascii="Arial" w:cs="Arial" w:eastAsia="Arial" w:hAnsi="Arial"/>
                <w:sz w:val="16"/>
                <w:szCs w:val="16"/>
                <w:color w:val="auto"/>
              </w:rPr>
              <w:t>13.3%</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15.3%</w:t>
            </w:r>
          </w:p>
        </w:tc>
        <w:tc>
          <w:tcPr>
            <w:tcW w:w="1600" w:type="dxa"/>
            <w:vAlign w:val="bottom"/>
            <w:gridSpan w:val="3"/>
            <w:shd w:val="clear" w:color="auto" w:fill="CCEEFF"/>
          </w:tcPr>
          <w:p>
            <w:pPr>
              <w:jc w:val="right"/>
              <w:ind w:right="385"/>
              <w:spacing w:after="0"/>
              <w:rPr>
                <w:sz w:val="20"/>
                <w:szCs w:val="20"/>
                <w:color w:val="auto"/>
              </w:rPr>
            </w:pPr>
            <w:r>
              <w:rPr>
                <w:rFonts w:ascii="Arial" w:cs="Arial" w:eastAsia="Arial" w:hAnsi="Arial"/>
                <w:sz w:val="16"/>
                <w:szCs w:val="16"/>
                <w:color w:val="auto"/>
              </w:rPr>
              <w:t>16.5%</w:t>
            </w: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14.9%</w:t>
            </w:r>
          </w:p>
        </w:tc>
      </w:tr>
      <w:tr>
        <w:trPr>
          <w:trHeight w:val="264"/>
        </w:trPr>
        <w:tc>
          <w:tcPr>
            <w:tcW w:w="19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Class A diesel</w:t>
            </w:r>
          </w:p>
        </w:tc>
        <w:tc>
          <w:tcPr>
            <w:tcW w:w="9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16.7%</w:t>
            </w:r>
          </w:p>
        </w:tc>
        <w:tc>
          <w:tcPr>
            <w:tcW w:w="90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6"/>
                <w:szCs w:val="16"/>
                <w:color w:val="auto"/>
              </w:rPr>
              <w:t>17.6%</w:t>
            </w: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17.3%</w:t>
            </w:r>
          </w:p>
        </w:tc>
        <w:tc>
          <w:tcPr>
            <w:tcW w:w="160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6"/>
                <w:szCs w:val="16"/>
                <w:color w:val="auto"/>
              </w:rPr>
              <w:t>18.0%</w:t>
            </w: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9.9%</w:t>
            </w:r>
          </w:p>
        </w:tc>
      </w:tr>
      <w:tr>
        <w:trPr>
          <w:trHeight w:val="257"/>
        </w:trPr>
        <w:tc>
          <w:tcPr>
            <w:tcW w:w="1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9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9.5%</w:t>
            </w:r>
          </w:p>
        </w:tc>
        <w:tc>
          <w:tcPr>
            <w:tcW w:w="900" w:type="dxa"/>
            <w:vAlign w:val="bottom"/>
            <w:gridSpan w:val="3"/>
            <w:shd w:val="clear" w:color="auto" w:fill="CCEEFF"/>
          </w:tcPr>
          <w:p>
            <w:pPr>
              <w:jc w:val="right"/>
              <w:ind w:right="103"/>
              <w:spacing w:after="0"/>
              <w:rPr>
                <w:sz w:val="20"/>
                <w:szCs w:val="20"/>
                <w:color w:val="auto"/>
              </w:rPr>
            </w:pPr>
            <w:r>
              <w:rPr>
                <w:rFonts w:ascii="Arial" w:cs="Arial" w:eastAsia="Arial" w:hAnsi="Arial"/>
                <w:sz w:val="16"/>
                <w:szCs w:val="16"/>
                <w:color w:val="auto"/>
              </w:rPr>
              <w:t>14.9%</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16.1%</w:t>
            </w:r>
          </w:p>
        </w:tc>
        <w:tc>
          <w:tcPr>
            <w:tcW w:w="1600" w:type="dxa"/>
            <w:vAlign w:val="bottom"/>
            <w:gridSpan w:val="3"/>
            <w:shd w:val="clear" w:color="auto" w:fill="CCEEFF"/>
          </w:tcPr>
          <w:p>
            <w:pPr>
              <w:jc w:val="right"/>
              <w:ind w:right="385"/>
              <w:spacing w:after="0"/>
              <w:rPr>
                <w:sz w:val="20"/>
                <w:szCs w:val="20"/>
                <w:color w:val="auto"/>
              </w:rPr>
            </w:pPr>
            <w:r>
              <w:rPr>
                <w:rFonts w:ascii="Arial" w:cs="Arial" w:eastAsia="Arial" w:hAnsi="Arial"/>
                <w:sz w:val="16"/>
                <w:szCs w:val="16"/>
                <w:color w:val="auto"/>
              </w:rPr>
              <w:t>17.1%</w:t>
            </w: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12.6%</w:t>
            </w:r>
          </w:p>
        </w:tc>
      </w:tr>
      <w:tr>
        <w:trPr>
          <w:trHeight w:val="264"/>
        </w:trPr>
        <w:tc>
          <w:tcPr>
            <w:tcW w:w="19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Class C</w:t>
            </w:r>
          </w:p>
        </w:tc>
        <w:tc>
          <w:tcPr>
            <w:tcW w:w="9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33.3%</w:t>
            </w:r>
          </w:p>
        </w:tc>
        <w:tc>
          <w:tcPr>
            <w:tcW w:w="90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6"/>
                <w:szCs w:val="16"/>
                <w:color w:val="auto"/>
              </w:rPr>
              <w:t>30.8%</w:t>
            </w: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14.9%</w:t>
            </w:r>
          </w:p>
        </w:tc>
        <w:tc>
          <w:tcPr>
            <w:tcW w:w="160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6"/>
                <w:szCs w:val="16"/>
                <w:color w:val="auto"/>
              </w:rPr>
              <w:t>15.9%</w:t>
            </w: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13.8%</w:t>
            </w:r>
          </w:p>
        </w:tc>
      </w:tr>
      <w:tr>
        <w:trPr>
          <w:trHeight w:val="240"/>
        </w:trPr>
        <w:tc>
          <w:tcPr>
            <w:tcW w:w="1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9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19.4%</w:t>
            </w:r>
          </w:p>
        </w:tc>
        <w:tc>
          <w:tcPr>
            <w:tcW w:w="900" w:type="dxa"/>
            <w:vAlign w:val="bottom"/>
            <w:tcBorders>
              <w:bottom w:val="single" w:sz="8" w:color="auto"/>
            </w:tcBorders>
            <w:gridSpan w:val="3"/>
            <w:shd w:val="clear" w:color="auto" w:fill="CCEEFF"/>
          </w:tcPr>
          <w:p>
            <w:pPr>
              <w:jc w:val="right"/>
              <w:ind w:right="103"/>
              <w:spacing w:after="0"/>
              <w:rPr>
                <w:sz w:val="20"/>
                <w:szCs w:val="20"/>
                <w:color w:val="auto"/>
              </w:rPr>
            </w:pPr>
            <w:r>
              <w:rPr>
                <w:rFonts w:ascii="Arial" w:cs="Arial" w:eastAsia="Arial" w:hAnsi="Arial"/>
                <w:sz w:val="16"/>
                <w:szCs w:val="16"/>
                <w:color w:val="auto"/>
              </w:rPr>
              <w:t>18.3%</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15.5%</w:t>
            </w:r>
          </w:p>
        </w:tc>
        <w:tc>
          <w:tcPr>
            <w:tcW w:w="1600" w:type="dxa"/>
            <w:vAlign w:val="bottom"/>
            <w:tcBorders>
              <w:bottom w:val="single" w:sz="8" w:color="auto"/>
            </w:tcBorders>
            <w:gridSpan w:val="3"/>
            <w:shd w:val="clear" w:color="auto" w:fill="CCEEFF"/>
          </w:tcPr>
          <w:p>
            <w:pPr>
              <w:jc w:val="right"/>
              <w:ind w:right="385"/>
              <w:spacing w:after="0"/>
              <w:rPr>
                <w:sz w:val="20"/>
                <w:szCs w:val="20"/>
                <w:color w:val="auto"/>
              </w:rPr>
            </w:pPr>
            <w:r>
              <w:rPr>
                <w:rFonts w:ascii="Arial" w:cs="Arial" w:eastAsia="Arial" w:hAnsi="Arial"/>
                <w:sz w:val="16"/>
                <w:szCs w:val="16"/>
                <w:color w:val="auto"/>
              </w:rPr>
              <w:t>16.5%</w:t>
            </w:r>
          </w:p>
        </w:tc>
        <w:tc>
          <w:tcPr>
            <w:tcW w:w="11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13.2%</w:t>
            </w: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4"/>
        </w:trPr>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4"/>
        </w:trPr>
        <w:tc>
          <w:tcPr>
            <w:tcW w:w="1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9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12.7%</w:t>
            </w:r>
          </w:p>
        </w:tc>
        <w:tc>
          <w:tcPr>
            <w:tcW w:w="1600" w:type="dxa"/>
            <w:vAlign w:val="bottom"/>
            <w:gridSpan w:val="3"/>
            <w:shd w:val="clear" w:color="auto" w:fill="CCEEFF"/>
          </w:tcPr>
          <w:p>
            <w:pPr>
              <w:jc w:val="right"/>
              <w:ind w:right="385"/>
              <w:spacing w:after="0"/>
              <w:rPr>
                <w:sz w:val="20"/>
                <w:szCs w:val="20"/>
                <w:color w:val="auto"/>
              </w:rPr>
            </w:pPr>
            <w:r>
              <w:rPr>
                <w:rFonts w:ascii="Arial" w:cs="Arial" w:eastAsia="Arial" w:hAnsi="Arial"/>
                <w:sz w:val="16"/>
                <w:szCs w:val="16"/>
                <w:color w:val="auto"/>
              </w:rPr>
              <w:t>7.1%</w:t>
            </w: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4.8%</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31"/>
        </w:trPr>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gridSpan w:val="5"/>
          </w:tcPr>
          <w:p>
            <w:pPr>
              <w:jc w:val="right"/>
              <w:ind w:right="888"/>
              <w:spacing w:after="0"/>
              <w:rPr>
                <w:sz w:val="20"/>
                <w:szCs w:val="20"/>
                <w:color w:val="auto"/>
              </w:rPr>
            </w:pPr>
            <w:r>
              <w:rPr>
                <w:rFonts w:ascii="Arial" w:cs="Arial" w:eastAsia="Arial" w:hAnsi="Arial"/>
                <w:sz w:val="14"/>
                <w:szCs w:val="14"/>
                <w:b w:val="1"/>
                <w:bCs w:val="1"/>
                <w:color w:val="auto"/>
              </w:rPr>
              <w:t>US</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gridSpan w:val="3"/>
          </w:tcPr>
          <w:p>
            <w:pPr>
              <w:jc w:val="right"/>
              <w:ind w:right="865"/>
              <w:spacing w:after="0"/>
              <w:rPr>
                <w:sz w:val="20"/>
                <w:szCs w:val="20"/>
                <w:color w:val="auto"/>
              </w:rPr>
            </w:pPr>
            <w:r>
              <w:rPr>
                <w:rFonts w:ascii="Arial" w:cs="Arial" w:eastAsia="Arial" w:hAnsi="Arial"/>
                <w:sz w:val="14"/>
                <w:szCs w:val="14"/>
                <w:b w:val="1"/>
                <w:bCs w:val="1"/>
                <w:color w:val="auto"/>
              </w:rPr>
              <w:t>Canadian</w:t>
            </w:r>
          </w:p>
        </w:tc>
        <w:tc>
          <w:tcPr>
            <w:tcW w:w="1160" w:type="dxa"/>
            <w:vAlign w:val="bottom"/>
          </w:tcPr>
          <w:p>
            <w:pPr>
              <w:spacing w:after="0"/>
              <w:rPr>
                <w:sz w:val="24"/>
                <w:szCs w:val="24"/>
                <w:color w:val="auto"/>
              </w:rPr>
            </w:pPr>
          </w:p>
        </w:tc>
      </w:tr>
      <w:tr>
        <w:trPr>
          <w:trHeight w:val="39"/>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tcBorders>
              <w:bottom w:val="single" w:sz="8" w:color="auto"/>
            </w:tcBorders>
            <w:gridSpan w:val="4"/>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2"/>
          </w:tcPr>
          <w:p>
            <w:pPr>
              <w:spacing w:after="0"/>
              <w:rPr>
                <w:sz w:val="3"/>
                <w:szCs w:val="3"/>
                <w:color w:val="auto"/>
              </w:rPr>
            </w:pPr>
          </w:p>
        </w:tc>
      </w:tr>
      <w:tr>
        <w:trPr>
          <w:trHeight w:val="258"/>
        </w:trPr>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tcPr>
          <w:p>
            <w:pPr>
              <w:jc w:val="right"/>
              <w:ind w:right="261"/>
              <w:spacing w:after="0"/>
              <w:rPr>
                <w:sz w:val="20"/>
                <w:szCs w:val="20"/>
                <w:color w:val="auto"/>
              </w:rPr>
            </w:pPr>
            <w:r>
              <w:rPr>
                <w:rFonts w:ascii="Arial" w:cs="Arial" w:eastAsia="Arial" w:hAnsi="Arial"/>
                <w:sz w:val="14"/>
                <w:szCs w:val="14"/>
                <w:b w:val="1"/>
                <w:bCs w:val="1"/>
                <w:color w:val="auto"/>
              </w:rPr>
              <w:t>Through January 31</w:t>
            </w:r>
          </w:p>
        </w:tc>
        <w:tc>
          <w:tcPr>
            <w:tcW w:w="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right"/>
              <w:ind w:right="481"/>
              <w:spacing w:after="0"/>
              <w:rPr>
                <w:sz w:val="20"/>
                <w:szCs w:val="20"/>
                <w:color w:val="auto"/>
              </w:rPr>
            </w:pPr>
            <w:r>
              <w:rPr>
                <w:rFonts w:ascii="Arial" w:cs="Arial" w:eastAsia="Arial" w:hAnsi="Arial"/>
                <w:sz w:val="14"/>
                <w:szCs w:val="14"/>
                <w:b w:val="1"/>
                <w:bCs w:val="1"/>
                <w:color w:val="auto"/>
              </w:rPr>
              <w:t>Calendar Year</w:t>
            </w:r>
          </w:p>
        </w:tc>
        <w:tc>
          <w:tcPr>
            <w:tcW w:w="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Through January 31</w:t>
            </w:r>
          </w:p>
        </w:tc>
        <w:tc>
          <w:tcPr>
            <w:tcW w:w="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Calendar Year</w:t>
            </w:r>
          </w:p>
        </w:tc>
      </w:tr>
      <w:tr>
        <w:trPr>
          <w:trHeight w:val="250"/>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Retail Towables:</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2013</w:t>
            </w: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12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2012</w:t>
            </w:r>
          </w:p>
        </w:tc>
        <w:tc>
          <w:tcPr>
            <w:tcW w:w="11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2011</w:t>
            </w:r>
          </w:p>
        </w:tc>
      </w:tr>
      <w:tr>
        <w:trPr>
          <w:trHeight w:val="256"/>
        </w:trPr>
        <w:tc>
          <w:tcPr>
            <w:tcW w:w="1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90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1.2%</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280" w:type="dxa"/>
            <w:vAlign w:val="bottom"/>
            <w:gridSpan w:val="5"/>
            <w:shd w:val="clear" w:color="auto" w:fill="CCEEFF"/>
          </w:tcPr>
          <w:p>
            <w:pPr>
              <w:jc w:val="right"/>
              <w:ind w:right="28"/>
              <w:spacing w:after="0"/>
              <w:rPr>
                <w:sz w:val="20"/>
                <w:szCs w:val="20"/>
                <w:color w:val="auto"/>
              </w:rPr>
            </w:pPr>
            <w:r>
              <w:rPr>
                <w:rFonts w:ascii="Arial" w:cs="Arial" w:eastAsia="Arial" w:hAnsi="Arial"/>
                <w:sz w:val="16"/>
                <w:szCs w:val="16"/>
                <w:color w:val="auto"/>
              </w:rPr>
              <w:t>0.8%</w:t>
            </w:r>
          </w:p>
        </w:tc>
        <w:tc>
          <w:tcPr>
            <w:tcW w:w="1220" w:type="dxa"/>
            <w:vAlign w:val="bottom"/>
            <w:shd w:val="clear" w:color="auto" w:fill="CCEEFF"/>
          </w:tcPr>
          <w:p>
            <w:pPr>
              <w:jc w:val="center"/>
              <w:ind w:left="501"/>
              <w:spacing w:after="0"/>
              <w:rPr>
                <w:sz w:val="20"/>
                <w:szCs w:val="20"/>
                <w:color w:val="auto"/>
              </w:rPr>
            </w:pPr>
            <w:r>
              <w:rPr>
                <w:rFonts w:ascii="Arial" w:cs="Arial" w:eastAsia="Arial" w:hAnsi="Arial"/>
                <w:sz w:val="16"/>
                <w:szCs w:val="16"/>
                <w:color w:val="auto"/>
                <w:w w:val="98"/>
              </w:rPr>
              <w:t>0.6%</w:t>
            </w:r>
          </w:p>
        </w:tc>
        <w:tc>
          <w:tcPr>
            <w:tcW w:w="1380" w:type="dxa"/>
            <w:vAlign w:val="bottom"/>
            <w:gridSpan w:val="5"/>
            <w:shd w:val="clear" w:color="auto" w:fill="CCEEFF"/>
          </w:tcPr>
          <w:p>
            <w:pPr>
              <w:jc w:val="right"/>
              <w:ind w:right="220"/>
              <w:spacing w:after="0"/>
              <w:rPr>
                <w:sz w:val="20"/>
                <w:szCs w:val="20"/>
                <w:color w:val="auto"/>
              </w:rPr>
            </w:pPr>
            <w:r>
              <w:rPr>
                <w:rFonts w:ascii="Arial" w:cs="Arial" w:eastAsia="Arial" w:hAnsi="Arial"/>
                <w:sz w:val="16"/>
                <w:szCs w:val="16"/>
                <w:color w:val="auto"/>
              </w:rPr>
              <w:t>0.6%</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3"/>
            <w:shd w:val="clear" w:color="auto" w:fill="CCEEFF"/>
          </w:tcPr>
          <w:p>
            <w:pPr>
              <w:jc w:val="right"/>
              <w:ind w:right="245"/>
              <w:spacing w:after="0"/>
              <w:rPr>
                <w:sz w:val="20"/>
                <w:szCs w:val="20"/>
                <w:color w:val="auto"/>
              </w:rPr>
            </w:pPr>
            <w:r>
              <w:rPr>
                <w:rFonts w:ascii="Arial" w:cs="Arial" w:eastAsia="Arial" w:hAnsi="Arial"/>
                <w:sz w:val="16"/>
                <w:szCs w:val="16"/>
                <w:color w:val="auto"/>
              </w:rPr>
              <w:t>0.6%</w:t>
            </w: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0.5%</w:t>
            </w:r>
          </w:p>
        </w:tc>
      </w:tr>
      <w:tr>
        <w:trPr>
          <w:trHeight w:val="264"/>
        </w:trPr>
        <w:tc>
          <w:tcPr>
            <w:tcW w:w="15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1.0%</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0.7%</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6"/>
                <w:szCs w:val="16"/>
                <w:color w:val="auto"/>
              </w:rPr>
              <w:t>1.1%</w:t>
            </w:r>
          </w:p>
        </w:tc>
        <w:tc>
          <w:tcPr>
            <w:tcW w:w="1220" w:type="dxa"/>
            <w:vAlign w:val="bottom"/>
            <w:tcBorders>
              <w:bottom w:val="single" w:sz="8" w:color="auto"/>
            </w:tcBorders>
          </w:tcPr>
          <w:p>
            <w:pPr>
              <w:jc w:val="center"/>
              <w:ind w:left="501"/>
              <w:spacing w:after="0"/>
              <w:rPr>
                <w:sz w:val="20"/>
                <w:szCs w:val="20"/>
                <w:color w:val="auto"/>
              </w:rPr>
            </w:pPr>
            <w:r>
              <w:rPr>
                <w:rFonts w:ascii="Arial" w:cs="Arial" w:eastAsia="Arial" w:hAnsi="Arial"/>
                <w:sz w:val="16"/>
                <w:szCs w:val="16"/>
                <w:color w:val="auto"/>
                <w:w w:val="98"/>
              </w:rPr>
              <w:t>0.5%</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color w:val="auto"/>
              </w:rPr>
              <w:t>0.8%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color w:val="auto"/>
              </w:rPr>
              <w:t>1.5%</w:t>
            </w: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0.6%</w:t>
            </w:r>
          </w:p>
        </w:tc>
      </w:tr>
      <w:tr>
        <w:trPr>
          <w:trHeight w:val="240"/>
        </w:trPr>
        <w:tc>
          <w:tcPr>
            <w:tcW w:w="1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90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1.1%</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280" w:type="dxa"/>
            <w:vAlign w:val="bottom"/>
            <w:gridSpan w:val="5"/>
            <w:shd w:val="clear" w:color="auto" w:fill="CCEEFF"/>
          </w:tcPr>
          <w:p>
            <w:pPr>
              <w:jc w:val="right"/>
              <w:ind w:right="28"/>
              <w:spacing w:after="0"/>
              <w:rPr>
                <w:sz w:val="20"/>
                <w:szCs w:val="20"/>
                <w:color w:val="auto"/>
              </w:rPr>
            </w:pPr>
            <w:r>
              <w:rPr>
                <w:rFonts w:ascii="Arial" w:cs="Arial" w:eastAsia="Arial" w:hAnsi="Arial"/>
                <w:sz w:val="16"/>
                <w:szCs w:val="16"/>
                <w:color w:val="auto"/>
              </w:rPr>
              <w:t>0.9%</w:t>
            </w:r>
          </w:p>
        </w:tc>
        <w:tc>
          <w:tcPr>
            <w:tcW w:w="1220" w:type="dxa"/>
            <w:vAlign w:val="bottom"/>
            <w:shd w:val="clear" w:color="auto" w:fill="CCEEFF"/>
          </w:tcPr>
          <w:p>
            <w:pPr>
              <w:jc w:val="center"/>
              <w:ind w:left="501"/>
              <w:spacing w:after="0"/>
              <w:rPr>
                <w:sz w:val="20"/>
                <w:szCs w:val="20"/>
                <w:color w:val="auto"/>
              </w:rPr>
            </w:pPr>
            <w:r>
              <w:rPr>
                <w:rFonts w:ascii="Arial" w:cs="Arial" w:eastAsia="Arial" w:hAnsi="Arial"/>
                <w:sz w:val="16"/>
                <w:szCs w:val="16"/>
                <w:color w:val="auto"/>
                <w:w w:val="98"/>
              </w:rPr>
              <w:t>0.6%</w:t>
            </w:r>
          </w:p>
        </w:tc>
        <w:tc>
          <w:tcPr>
            <w:tcW w:w="1380" w:type="dxa"/>
            <w:vAlign w:val="bottom"/>
            <w:gridSpan w:val="5"/>
            <w:shd w:val="clear" w:color="auto" w:fill="CCEEFF"/>
          </w:tcPr>
          <w:p>
            <w:pPr>
              <w:jc w:val="right"/>
              <w:ind w:right="220"/>
              <w:spacing w:after="0"/>
              <w:rPr>
                <w:sz w:val="20"/>
                <w:szCs w:val="20"/>
                <w:color w:val="auto"/>
              </w:rPr>
            </w:pPr>
            <w:r>
              <w:rPr>
                <w:rFonts w:ascii="Arial" w:cs="Arial" w:eastAsia="Arial" w:hAnsi="Arial"/>
                <w:sz w:val="16"/>
                <w:szCs w:val="16"/>
                <w:color w:val="auto"/>
              </w:rPr>
              <w:t>0.7%</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600" w:type="dxa"/>
            <w:vAlign w:val="bottom"/>
            <w:gridSpan w:val="3"/>
            <w:shd w:val="clear" w:color="auto" w:fill="CCEEFF"/>
          </w:tcPr>
          <w:p>
            <w:pPr>
              <w:jc w:val="right"/>
              <w:ind w:right="245"/>
              <w:spacing w:after="0"/>
              <w:rPr>
                <w:sz w:val="20"/>
                <w:szCs w:val="20"/>
                <w:color w:val="auto"/>
              </w:rPr>
            </w:pPr>
            <w:r>
              <w:rPr>
                <w:rFonts w:ascii="Arial" w:cs="Arial" w:eastAsia="Arial" w:hAnsi="Arial"/>
                <w:sz w:val="16"/>
                <w:szCs w:val="16"/>
                <w:color w:val="auto"/>
              </w:rPr>
              <w:t>0.9%</w:t>
            </w: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0.5%</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693"/>
        </w:trPr>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421"/>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620" w:type="dxa"/>
            <w:vAlign w:val="bottom"/>
            <w:gridSpan w:val="6"/>
          </w:tcPr>
          <w:p>
            <w:pPr>
              <w:spacing w:after="0"/>
              <w:rPr>
                <w:sz w:val="20"/>
                <w:szCs w:val="20"/>
                <w:color w:val="auto"/>
              </w:rPr>
            </w:pPr>
            <w:r>
              <w:rPr>
                <w:rFonts w:ascii="Arial" w:cs="Arial" w:eastAsia="Arial" w:hAnsi="Arial"/>
                <w:sz w:val="16"/>
                <w:szCs w:val="16"/>
                <w:color w:val="auto"/>
              </w:rPr>
              <w:t>Presented in fiscal quarters, certain key metrics are shown below:</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6"/>
                <w:szCs w:val="16"/>
                <w:b w:val="1"/>
                <w:bCs w:val="1"/>
                <w:color w:val="auto"/>
              </w:rPr>
              <w:t>Class A, B &amp; C Motorhomes</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b w:val="1"/>
                <w:bCs w:val="1"/>
                <w:color w:val="auto"/>
              </w:rPr>
              <w:t>Travel Trailers &amp; Fifth Wheels</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0" w:type="dxa"/>
            <w:vAlign w:val="bottom"/>
          </w:tcPr>
          <w:p>
            <w:pPr>
              <w:spacing w:after="0"/>
              <w:rPr>
                <w:sz w:val="1"/>
                <w:szCs w:val="1"/>
                <w:color w:val="auto"/>
              </w:rPr>
            </w:pPr>
          </w:p>
        </w:tc>
      </w:tr>
      <w:tr>
        <w:trPr>
          <w:trHeight w:val="244"/>
        </w:trPr>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60"/>
              <w:spacing w:after="0"/>
              <w:rPr>
                <w:sz w:val="20"/>
                <w:szCs w:val="20"/>
                <w:color w:val="auto"/>
              </w:rPr>
            </w:pPr>
            <w:r>
              <w:rPr>
                <w:rFonts w:ascii="Arial" w:cs="Arial" w:eastAsia="Arial" w:hAnsi="Arial"/>
                <w:sz w:val="14"/>
                <w:szCs w:val="14"/>
                <w:b w:val="1"/>
                <w:bCs w:val="1"/>
                <w:color w:val="auto"/>
              </w:rPr>
              <w:t>Wholesale</w:t>
            </w:r>
          </w:p>
        </w:tc>
        <w:tc>
          <w:tcPr>
            <w:tcW w:w="126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20" w:type="dxa"/>
            <w:vAlign w:val="bottom"/>
          </w:tcPr>
          <w:p>
            <w:pPr>
              <w:jc w:val="right"/>
              <w:ind w:right="361"/>
              <w:spacing w:after="0"/>
              <w:rPr>
                <w:sz w:val="20"/>
                <w:szCs w:val="20"/>
                <w:color w:val="auto"/>
              </w:rPr>
            </w:pPr>
            <w:r>
              <w:rPr>
                <w:rFonts w:ascii="Arial" w:cs="Arial" w:eastAsia="Arial" w:hAnsi="Arial"/>
                <w:sz w:val="14"/>
                <w:szCs w:val="14"/>
                <w:b w:val="1"/>
                <w:bCs w:val="1"/>
                <w:color w:val="auto"/>
              </w:rPr>
              <w:t>Dealer</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Order</w:t>
            </w:r>
          </w:p>
        </w:tc>
        <w:tc>
          <w:tcPr>
            <w:tcW w:w="1120" w:type="dxa"/>
            <w:vAlign w:val="bottom"/>
          </w:tcPr>
          <w:p>
            <w:pPr>
              <w:jc w:val="right"/>
              <w:ind w:right="120"/>
              <w:spacing w:after="0"/>
              <w:rPr>
                <w:sz w:val="20"/>
                <w:szCs w:val="20"/>
                <w:color w:val="auto"/>
              </w:rPr>
            </w:pPr>
            <w:r>
              <w:rPr>
                <w:rFonts w:ascii="Arial" w:cs="Arial" w:eastAsia="Arial" w:hAnsi="Arial"/>
                <w:sz w:val="14"/>
                <w:szCs w:val="14"/>
                <w:b w:val="1"/>
                <w:bCs w:val="1"/>
                <w:color w:val="auto"/>
              </w:rPr>
              <w:t>Wholesale</w:t>
            </w:r>
          </w:p>
        </w:tc>
        <w:tc>
          <w:tcPr>
            <w:tcW w:w="126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40" w:type="dxa"/>
            <w:vAlign w:val="bottom"/>
          </w:tcPr>
          <w:p>
            <w:pPr>
              <w:jc w:val="right"/>
              <w:ind w:right="381"/>
              <w:spacing w:after="0"/>
              <w:rPr>
                <w:sz w:val="20"/>
                <w:szCs w:val="20"/>
                <w:color w:val="auto"/>
              </w:rPr>
            </w:pPr>
            <w:r>
              <w:rPr>
                <w:rFonts w:ascii="Arial" w:cs="Arial" w:eastAsia="Arial" w:hAnsi="Arial"/>
                <w:sz w:val="14"/>
                <w:szCs w:val="14"/>
                <w:b w:val="1"/>
                <w:bCs w:val="1"/>
                <w:color w:val="auto"/>
              </w:rPr>
              <w:t>Dealer</w:t>
            </w:r>
          </w:p>
        </w:tc>
        <w:tc>
          <w:tcPr>
            <w:tcW w:w="1020" w:type="dxa"/>
            <w:vAlign w:val="bottom"/>
          </w:tcPr>
          <w:p>
            <w:pPr>
              <w:jc w:val="right"/>
              <w:ind w:right="301"/>
              <w:spacing w:after="0"/>
              <w:rPr>
                <w:sz w:val="20"/>
                <w:szCs w:val="20"/>
                <w:color w:val="auto"/>
              </w:rPr>
            </w:pPr>
            <w:r>
              <w:rPr>
                <w:rFonts w:ascii="Arial" w:cs="Arial" w:eastAsia="Arial" w:hAnsi="Arial"/>
                <w:sz w:val="14"/>
                <w:szCs w:val="14"/>
                <w:b w:val="1"/>
                <w:bCs w:val="1"/>
                <w:color w:val="auto"/>
              </w:rPr>
              <w:t>Order</w:t>
            </w:r>
          </w:p>
        </w:tc>
        <w:tc>
          <w:tcPr>
            <w:tcW w:w="0" w:type="dxa"/>
            <w:vAlign w:val="bottom"/>
          </w:tcPr>
          <w:p>
            <w:pPr>
              <w:spacing w:after="0"/>
              <w:rPr>
                <w:sz w:val="1"/>
                <w:szCs w:val="1"/>
                <w:color w:val="auto"/>
              </w:rPr>
            </w:pPr>
          </w:p>
        </w:tc>
      </w:tr>
      <w:tr>
        <w:trPr>
          <w:trHeight w:val="276"/>
        </w:trPr>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Deliveries</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Inventory</w:t>
            </w: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Backlog</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Deliveries</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Inventory</w:t>
            </w: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Backlog</w:t>
            </w:r>
          </w:p>
        </w:tc>
        <w:tc>
          <w:tcPr>
            <w:tcW w:w="0" w:type="dxa"/>
            <w:vAlign w:val="bottom"/>
          </w:tcPr>
          <w:p>
            <w:pPr>
              <w:spacing w:after="0"/>
              <w:rPr>
                <w:sz w:val="1"/>
                <w:szCs w:val="1"/>
                <w:color w:val="auto"/>
              </w:rPr>
            </w:pPr>
          </w:p>
        </w:tc>
      </w:tr>
      <w:tr>
        <w:trPr>
          <w:trHeight w:val="256"/>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Q3 2011</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1,283</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1,394</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2,068</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642</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326</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203</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1,028</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60"/>
        </w:trPr>
        <w:tc>
          <w:tcPr>
            <w:tcW w:w="1960" w:type="dxa"/>
            <w:vAlign w:val="bottom"/>
            <w:gridSpan w:val="3"/>
          </w:tcPr>
          <w:p>
            <w:pPr>
              <w:ind w:left="40"/>
              <w:spacing w:after="0"/>
              <w:rPr>
                <w:sz w:val="20"/>
                <w:szCs w:val="20"/>
                <w:color w:val="auto"/>
              </w:rPr>
            </w:pPr>
            <w:r>
              <w:rPr>
                <w:rFonts w:ascii="Arial" w:cs="Arial" w:eastAsia="Arial" w:hAnsi="Arial"/>
                <w:sz w:val="16"/>
                <w:szCs w:val="16"/>
                <w:color w:val="auto"/>
              </w:rPr>
              <w:t>Q4 2011</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1,088</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1,198</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1,958</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358</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420</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966</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80"/>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Q1 2012</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1,040</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1,053</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1,945</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435</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1,146</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Q2 2012</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1,001</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872</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2,074</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1,004</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562</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332</w:t>
            </w:r>
          </w:p>
        </w:tc>
        <w:tc>
          <w:tcPr>
            <w:tcW w:w="124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1,376</w:t>
            </w:r>
          </w:p>
        </w:tc>
        <w:tc>
          <w:tcPr>
            <w:tcW w:w="102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4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4,412</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4,517</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1,681</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1,210</w:t>
            </w: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restart"/>
          </w:tcPr>
          <w:p>
            <w:pPr>
              <w:ind w:left="40"/>
              <w:spacing w:after="0"/>
              <w:rPr>
                <w:sz w:val="20"/>
                <w:szCs w:val="20"/>
                <w:color w:val="auto"/>
              </w:rPr>
            </w:pPr>
            <w:r>
              <w:rPr>
                <w:rFonts w:ascii="Arial" w:cs="Arial" w:eastAsia="Arial" w:hAnsi="Arial"/>
                <w:sz w:val="16"/>
                <w:szCs w:val="16"/>
                <w:color w:val="auto"/>
              </w:rPr>
              <w:t>(Mar 2011-Feb 2012)</w:t>
            </w: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gridSpan w:val="3"/>
            <w:vMerge w:val="continue"/>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Q3 2012</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1,280</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1,414</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1,940</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1,237</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646</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652</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1,370</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60"/>
        </w:trPr>
        <w:tc>
          <w:tcPr>
            <w:tcW w:w="1960" w:type="dxa"/>
            <w:vAlign w:val="bottom"/>
            <w:gridSpan w:val="3"/>
          </w:tcPr>
          <w:p>
            <w:pPr>
              <w:ind w:left="40"/>
              <w:spacing w:after="0"/>
              <w:rPr>
                <w:sz w:val="20"/>
                <w:szCs w:val="20"/>
                <w:color w:val="auto"/>
              </w:rPr>
            </w:pPr>
            <w:r>
              <w:rPr>
                <w:rFonts w:ascii="Arial" w:cs="Arial" w:eastAsia="Arial" w:hAnsi="Arial"/>
                <w:sz w:val="16"/>
                <w:szCs w:val="16"/>
                <w:color w:val="auto"/>
              </w:rPr>
              <w:t>Q4 2012</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1,321</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1,334</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1,927</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1,473</w:t>
            </w:r>
          </w:p>
        </w:tc>
        <w:tc>
          <w:tcPr>
            <w:tcW w:w="1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695</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700</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1,365</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80"/>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Q1 2013</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1,534</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1,416</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2,045</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2,118</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557</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367</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1,555</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Q2 2013</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1,419</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1,072</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2,392</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2,752</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548</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328</w:t>
            </w:r>
          </w:p>
        </w:tc>
        <w:tc>
          <w:tcPr>
            <w:tcW w:w="124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1,775</w:t>
            </w:r>
          </w:p>
        </w:tc>
        <w:tc>
          <w:tcPr>
            <w:tcW w:w="102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4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5,554</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5,236</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2,446</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2,047</w:t>
            </w: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restart"/>
          </w:tcPr>
          <w:p>
            <w:pPr>
              <w:ind w:left="40"/>
              <w:spacing w:after="0"/>
              <w:rPr>
                <w:sz w:val="20"/>
                <w:szCs w:val="20"/>
                <w:color w:val="auto"/>
              </w:rPr>
            </w:pPr>
            <w:r>
              <w:rPr>
                <w:rFonts w:ascii="Arial" w:cs="Arial" w:eastAsia="Arial" w:hAnsi="Arial"/>
                <w:sz w:val="16"/>
                <w:szCs w:val="16"/>
                <w:color w:val="auto"/>
              </w:rPr>
              <w:t>(Mar 2012-Feb 2013)</w:t>
            </w: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gridSpan w:val="3"/>
            <w:vMerge w:val="continue"/>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Highlights of the first six months of Fiscal 2013: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Motorized performance:</w:t>
      </w:r>
    </w:p>
    <w:p>
      <w:pPr>
        <w:spacing w:after="0" w:line="5" w:lineRule="exact"/>
        <w:rPr>
          <w:sz w:val="20"/>
          <w:szCs w:val="20"/>
          <w:color w:val="auto"/>
        </w:rPr>
      </w:pPr>
    </w:p>
    <w:p>
      <w:pPr>
        <w:ind w:left="340" w:right="16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continued to see growing demand for our product during the first half of Fiscal 2013 at the wholesale and retail level. For the second quarter of Fiscal 2013 wholesale deliveries were up over 40% and retail registrations were up approximately 23% as compared to the second quarter of Fiscal 2012. We have also seen our motorized backlog increase for five consecutive Fiscal quarters which we view as a further evidence of the strong demand for our product. The ramp up in our production has been accomplished through a combination of overtime and hiring of incremental hourly employees; it also required ordering larger quantities of materials. The benefit of the increased production has been realized in improved operating results, notably due to better absorption of our overhead costs.</w:t>
      </w:r>
    </w:p>
    <w:p>
      <w:pPr>
        <w:spacing w:after="0" w:line="2" w:lineRule="exact"/>
        <w:rPr>
          <w:rFonts w:ascii="Arial" w:cs="Arial" w:eastAsia="Arial" w:hAnsi="Arial"/>
          <w:sz w:val="16"/>
          <w:szCs w:val="16"/>
          <w:color w:val="auto"/>
        </w:rPr>
      </w:pPr>
    </w:p>
    <w:p>
      <w:pPr>
        <w:ind w:left="340" w:right="40" w:hanging="332"/>
        <w:spacing w:after="0" w:line="25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comparison, we experienced a dramatically different environment one year ago during the first half of Fiscal 2012. Demand was very weak and as a result we utilized multiple shortened work weeks to reduce production and then increased sales incentives to secure more orders. Conversely, the first half of Fiscal 2013 benefited from continued strong dealer demand that did not require the same level of sales incentives.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Towables performance:</w:t>
      </w:r>
    </w:p>
    <w:p>
      <w:pPr>
        <w:spacing w:after="0" w:line="5" w:lineRule="exact"/>
        <w:rPr>
          <w:sz w:val="20"/>
          <w:szCs w:val="20"/>
          <w:color w:val="auto"/>
        </w:rPr>
      </w:pPr>
    </w:p>
    <w:p>
      <w:pPr>
        <w:ind w:left="340" w:right="80" w:hanging="332"/>
        <w:spacing w:after="0" w:line="248"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Towables generated an operating loss of $2.2 million in the first half of Fiscal 2013 compared to an operating loss of $470,000 in the first half of Fiscal 2012. The two most significant issues that negatively impacted Towables' operating performance during the first half of Fiscal 2013 were increased warranty expense due to escalating negative claim experience and unfavorable overhead variances due to lower production. Significant changes have been made throughout the first half of Fiscal 2013 in key management positions to address the recent performance problems. Notably, a new Towables President was named in January 2013 and leadership responsibilities of warranty and service were centralized to the Company's headquarters in Iowa to better leverage the Company's industry leading capabilities, processes and expertise of long time motorized resources. During February 2013, production was idled in one of the assembly plants where production issues had been pervasive and only a small core group of employees were retained to train and work in the other assembly plant that has not experienced similar issues. Our intention is to reopen the plant once the appropriate employee training has occurred and the capacity is needed.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motorhome industry are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3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6"/>
                <w:szCs w:val="16"/>
                <w:b w:val="1"/>
                <w:bCs w:val="1"/>
                <w:color w:val="auto"/>
              </w:rPr>
              <w:t>US and Canada Industry Class A, B &amp; C Motorhomes</w:t>
            </w:r>
          </w:p>
        </w:tc>
        <w:tc>
          <w:tcPr>
            <w:tcW w:w="1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06"/>
        </w:trPr>
        <w:tc>
          <w:tcPr>
            <w:tcW w:w="2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3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b w:val="1"/>
                <w:bCs w:val="1"/>
                <w:color w:val="auto"/>
              </w:rPr>
              <w:t>Calendar Year</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Calendar Year</w:t>
            </w: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8"/>
        </w:trPr>
        <w:tc>
          <w:tcPr>
            <w:tcW w:w="2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(Decrease)</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2012</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Increase</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2011</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Increase</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9"/>
                <w:szCs w:val="19"/>
                <w:color w:val="auto"/>
              </w:rPr>
            </w:pPr>
          </w:p>
        </w:tc>
      </w:tr>
      <w:tr>
        <w:trPr>
          <w:trHeight w:val="270"/>
        </w:trPr>
        <w:tc>
          <w:tcPr>
            <w:tcW w:w="23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6,869</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6,888</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5,706</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5,114</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20" w:type="dxa"/>
            <w:vAlign w:val="bottom"/>
          </w:tcPr>
          <w:p>
            <w:pPr>
              <w:spacing w:after="0"/>
              <w:rPr>
                <w:sz w:val="23"/>
                <w:szCs w:val="23"/>
                <w:color w:val="auto"/>
              </w:rPr>
            </w:pPr>
          </w:p>
        </w:tc>
      </w:tr>
      <w:tr>
        <w:trPr>
          <w:trHeight w:val="260"/>
        </w:trPr>
        <w:tc>
          <w:tcPr>
            <w:tcW w:w="2340" w:type="dxa"/>
            <w:vAlign w:val="bottom"/>
          </w:tcPr>
          <w:p>
            <w:pPr>
              <w:ind w:left="40"/>
              <w:spacing w:after="0"/>
              <w:rPr>
                <w:sz w:val="20"/>
                <w:szCs w:val="20"/>
                <w:color w:val="auto"/>
              </w:rPr>
            </w:pPr>
            <w:r>
              <w:rPr>
                <w:rFonts w:ascii="Arial" w:cs="Arial" w:eastAsia="Arial" w:hAnsi="Arial"/>
                <w:sz w:val="16"/>
                <w:szCs w:val="16"/>
                <w:color w:val="auto"/>
              </w:rPr>
              <w:t>Q2</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7,707</w:t>
            </w:r>
          </w:p>
        </w:tc>
        <w:tc>
          <w:tcPr>
            <w:tcW w:w="360" w:type="dxa"/>
            <w:vAlign w:val="bottom"/>
          </w:tcPr>
          <w:p>
            <w:pPr>
              <w:spacing w:after="0"/>
              <w:rPr>
                <w:sz w:val="22"/>
                <w:szCs w:val="22"/>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7,868</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(161)</w:t>
            </w: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8,206</w:t>
            </w:r>
          </w:p>
        </w:tc>
        <w:tc>
          <w:tcPr>
            <w:tcW w:w="3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8,140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66</w:t>
            </w:r>
          </w:p>
        </w:tc>
        <w:tc>
          <w:tcPr>
            <w:tcW w:w="980" w:type="dxa"/>
            <w:vAlign w:val="bottom"/>
          </w:tcPr>
          <w:p>
            <w:pPr>
              <w:jc w:val="right"/>
              <w:spacing w:after="0"/>
              <w:rPr>
                <w:sz w:val="20"/>
                <w:szCs w:val="20"/>
                <w:color w:val="auto"/>
              </w:rPr>
            </w:pPr>
            <w:r>
              <w:rPr>
                <w:rFonts w:ascii="Arial" w:cs="Arial" w:eastAsia="Arial" w:hAnsi="Arial"/>
                <w:sz w:val="16"/>
                <w:szCs w:val="16"/>
                <w:color w:val="auto"/>
              </w:rPr>
              <w:t>0.8%</w:t>
            </w:r>
          </w:p>
        </w:tc>
        <w:tc>
          <w:tcPr>
            <w:tcW w:w="20" w:type="dxa"/>
            <w:vAlign w:val="bottom"/>
          </w:tcPr>
          <w:p>
            <w:pPr>
              <w:spacing w:after="0"/>
              <w:rPr>
                <w:sz w:val="22"/>
                <w:szCs w:val="22"/>
                <w:color w:val="auto"/>
              </w:rPr>
            </w:pPr>
          </w:p>
        </w:tc>
      </w:tr>
      <w:tr>
        <w:trPr>
          <w:trHeight w:val="280"/>
        </w:trPr>
        <w:tc>
          <w:tcPr>
            <w:tcW w:w="23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6,678</w:t>
            </w: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5,267</w:t>
            </w: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1,411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26.8 %</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6,916</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6,102</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814</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24"/>
                <w:szCs w:val="24"/>
                <w:color w:val="auto"/>
              </w:rPr>
            </w:pPr>
          </w:p>
        </w:tc>
      </w:tr>
      <w:tr>
        <w:trPr>
          <w:trHeight w:val="264"/>
        </w:trPr>
        <w:tc>
          <w:tcPr>
            <w:tcW w:w="2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6,944</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4,807</w:t>
            </w: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2,137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44.5 %</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4,922</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4,626</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22"/>
                <w:szCs w:val="22"/>
                <w:color w:val="auto"/>
              </w:rPr>
            </w:pPr>
          </w:p>
        </w:tc>
      </w:tr>
      <w:tr>
        <w:trPr>
          <w:trHeight w:val="267"/>
        </w:trPr>
        <w:tc>
          <w:tcPr>
            <w:tcW w:w="234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28,198</w:t>
            </w:r>
          </w:p>
        </w:tc>
        <w:tc>
          <w:tcPr>
            <w:tcW w:w="3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24,830</w:t>
            </w: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3,368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25,750</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23,982</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1,768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23"/>
                <w:szCs w:val="23"/>
                <w:color w:val="auto"/>
              </w:rPr>
            </w:pPr>
          </w:p>
        </w:tc>
      </w:tr>
      <w:tr>
        <w:trPr>
          <w:trHeight w:val="20"/>
        </w:trPr>
        <w:tc>
          <w:tcPr>
            <w:tcW w:w="2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9"/>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Increase</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2012</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Increase</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20" w:type="dxa"/>
            <w:vAlign w:val="bottom"/>
            <w:tcBorders>
              <w:bottom w:val="single" w:sz="8" w:color="auto"/>
            </w:tcBorders>
          </w:tcPr>
          <w:p>
            <w:pPr>
              <w:spacing w:after="0"/>
              <w:rPr>
                <w:sz w:val="24"/>
                <w:szCs w:val="24"/>
                <w:color w:val="auto"/>
              </w:rPr>
            </w:pPr>
          </w:p>
        </w:tc>
      </w:tr>
      <w:tr>
        <w:trPr>
          <w:trHeight w:val="270"/>
        </w:trPr>
        <w:tc>
          <w:tcPr>
            <w:tcW w:w="234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January</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2,577</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1,945</w:t>
            </w: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632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32.5 %</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1,625</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1,359</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266</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20" w:type="dxa"/>
            <w:vAlign w:val="bottom"/>
            <w:shd w:val="clear" w:color="auto" w:fill="000000"/>
          </w:tcPr>
          <w:p>
            <w:pPr>
              <w:spacing w:after="0"/>
              <w:rPr>
                <w:sz w:val="23"/>
                <w:szCs w:val="23"/>
                <w:color w:val="auto"/>
              </w:rPr>
            </w:pPr>
          </w:p>
        </w:tc>
      </w:tr>
      <w:tr>
        <w:trPr>
          <w:trHeight w:val="260"/>
        </w:trPr>
        <w:tc>
          <w:tcPr>
            <w:tcW w:w="2340" w:type="dxa"/>
            <w:vAlign w:val="bottom"/>
            <w:tcBorders>
              <w:left w:val="single" w:sz="8" w:color="auto"/>
            </w:tcBorders>
          </w:tcPr>
          <w:p>
            <w:pPr>
              <w:ind w:left="180"/>
              <w:spacing w:after="0"/>
              <w:rPr>
                <w:sz w:val="20"/>
                <w:szCs w:val="20"/>
                <w:color w:val="auto"/>
              </w:rPr>
            </w:pPr>
            <w:r>
              <w:rPr>
                <w:rFonts w:ascii="Arial" w:cs="Arial" w:eastAsia="Arial" w:hAnsi="Arial"/>
                <w:sz w:val="16"/>
                <w:szCs w:val="16"/>
                <w:color w:val="auto"/>
              </w:rPr>
              <w:t>February</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2,838</w:t>
            </w:r>
          </w:p>
        </w:tc>
        <w:tc>
          <w:tcPr>
            <w:tcW w:w="360" w:type="dxa"/>
            <w:vAlign w:val="bottom"/>
          </w:tcPr>
          <w:p>
            <w:pPr>
              <w:spacing w:after="0"/>
              <w:rPr>
                <w:sz w:val="22"/>
                <w:szCs w:val="22"/>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2,149</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689</w:t>
            </w:r>
          </w:p>
        </w:tc>
        <w:tc>
          <w:tcPr>
            <w:tcW w:w="1040" w:type="dxa"/>
            <w:vAlign w:val="bottom"/>
          </w:tcPr>
          <w:p>
            <w:pPr>
              <w:jc w:val="right"/>
              <w:spacing w:after="0"/>
              <w:rPr>
                <w:sz w:val="20"/>
                <w:szCs w:val="20"/>
                <w:color w:val="auto"/>
              </w:rPr>
            </w:pPr>
            <w:r>
              <w:rPr>
                <w:rFonts w:ascii="Arial" w:cs="Arial" w:eastAsia="Arial" w:hAnsi="Arial"/>
                <w:sz w:val="16"/>
                <w:szCs w:val="16"/>
                <w:color w:val="auto"/>
              </w:rPr>
              <w:t>32.1 %</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1,849</w:t>
            </w:r>
          </w:p>
        </w:tc>
        <w:tc>
          <w:tcPr>
            <w:tcW w:w="1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r>
      <w:tr>
        <w:trPr>
          <w:trHeight w:val="273"/>
        </w:trPr>
        <w:tc>
          <w:tcPr>
            <w:tcW w:w="2340" w:type="dxa"/>
            <w:vAlign w:val="bottom"/>
            <w:tcBorders>
              <w:left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March</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3,335</w:t>
            </w:r>
          </w:p>
        </w:tc>
        <w:tc>
          <w:tcPr>
            <w:tcW w:w="3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2,775</w:t>
            </w: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560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2,498</w:t>
            </w:r>
          </w:p>
        </w:tc>
        <w:tc>
          <w:tcPr>
            <w:tcW w:w="1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r>
      <w:tr>
        <w:trPr>
          <w:trHeight w:val="260"/>
        </w:trPr>
        <w:tc>
          <w:tcPr>
            <w:tcW w:w="2340" w:type="dxa"/>
            <w:vAlign w:val="bottom"/>
          </w:tcPr>
          <w:p>
            <w:pPr>
              <w:ind w:left="40"/>
              <w:spacing w:after="0"/>
              <w:rPr>
                <w:sz w:val="20"/>
                <w:szCs w:val="20"/>
                <w:color w:val="auto"/>
              </w:rPr>
            </w:pPr>
            <w:r>
              <w:rPr>
                <w:rFonts w:ascii="Arial" w:cs="Arial" w:eastAsia="Arial" w:hAnsi="Arial"/>
                <w:sz w:val="16"/>
                <w:szCs w:val="16"/>
                <w:color w:val="auto"/>
              </w:rPr>
              <w:t>Q1</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8,750</w:t>
            </w: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6,869</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1,881</w:t>
            </w:r>
          </w:p>
        </w:tc>
        <w:tc>
          <w:tcPr>
            <w:tcW w:w="1040" w:type="dxa"/>
            <w:vAlign w:val="bottom"/>
          </w:tcPr>
          <w:p>
            <w:pPr>
              <w:jc w:val="right"/>
              <w:spacing w:after="0"/>
              <w:rPr>
                <w:sz w:val="20"/>
                <w:szCs w:val="20"/>
                <w:color w:val="auto"/>
              </w:rPr>
            </w:pPr>
            <w:r>
              <w:rPr>
                <w:rFonts w:ascii="Arial" w:cs="Arial" w:eastAsia="Arial" w:hAnsi="Arial"/>
                <w:sz w:val="16"/>
                <w:szCs w:val="16"/>
                <w:color w:val="auto"/>
              </w:rPr>
              <w:t>27.4 %</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5,706</w:t>
            </w:r>
          </w:p>
        </w:tc>
        <w:tc>
          <w:tcPr>
            <w:tcW w:w="1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0"/>
        </w:trPr>
        <w:tc>
          <w:tcPr>
            <w:tcW w:w="23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9,000</w:t>
            </w:r>
          </w:p>
        </w:tc>
        <w:tc>
          <w:tcPr>
            <w:tcW w:w="3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7,707</w:t>
            </w: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1,293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8,206</w:t>
            </w:r>
          </w:p>
        </w:tc>
        <w:tc>
          <w:tcPr>
            <w:tcW w:w="1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2340" w:type="dxa"/>
            <w:vAlign w:val="bottom"/>
          </w:tcPr>
          <w:p>
            <w:pPr>
              <w:ind w:left="40"/>
              <w:spacing w:after="0"/>
              <w:rPr>
                <w:sz w:val="20"/>
                <w:szCs w:val="20"/>
                <w:color w:val="auto"/>
              </w:rPr>
            </w:pPr>
            <w:r>
              <w:rPr>
                <w:rFonts w:ascii="Arial" w:cs="Arial" w:eastAsia="Arial" w:hAnsi="Arial"/>
                <w:sz w:val="16"/>
                <w:szCs w:val="16"/>
                <w:color w:val="auto"/>
              </w:rPr>
              <w:t>Q3</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7,700</w:t>
            </w: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6,678</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1,022</w:t>
            </w:r>
          </w:p>
        </w:tc>
        <w:tc>
          <w:tcPr>
            <w:tcW w:w="1040" w:type="dxa"/>
            <w:vAlign w:val="bottom"/>
          </w:tcPr>
          <w:p>
            <w:pPr>
              <w:jc w:val="right"/>
              <w:spacing w:after="0"/>
              <w:rPr>
                <w:sz w:val="20"/>
                <w:szCs w:val="20"/>
                <w:color w:val="auto"/>
              </w:rPr>
            </w:pPr>
            <w:r>
              <w:rPr>
                <w:rFonts w:ascii="Arial" w:cs="Arial" w:eastAsia="Arial" w:hAnsi="Arial"/>
                <w:sz w:val="16"/>
                <w:szCs w:val="16"/>
                <w:color w:val="auto"/>
              </w:rPr>
              <w:t>15.3 %</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6,916</w:t>
            </w:r>
          </w:p>
        </w:tc>
        <w:tc>
          <w:tcPr>
            <w:tcW w:w="1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3"/>
        </w:trPr>
        <w:tc>
          <w:tcPr>
            <w:tcW w:w="23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7,000</w:t>
            </w:r>
          </w:p>
        </w:tc>
        <w:tc>
          <w:tcPr>
            <w:tcW w:w="3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6,944</w:t>
            </w: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4,922</w:t>
            </w:r>
          </w:p>
        </w:tc>
        <w:tc>
          <w:tcPr>
            <w:tcW w:w="1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40"/>
        </w:trPr>
        <w:tc>
          <w:tcPr>
            <w:tcW w:w="2340" w:type="dxa"/>
            <w:vAlign w:val="bottom"/>
          </w:tcPr>
          <w:p>
            <w:pPr>
              <w:ind w:left="4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32,450</w:t>
            </w:r>
          </w:p>
        </w:tc>
        <w:tc>
          <w:tcPr>
            <w:tcW w:w="3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28,198</w:t>
            </w: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4,252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15.1 %</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25,750</w:t>
            </w:r>
          </w:p>
        </w:tc>
        <w:tc>
          <w:tcPr>
            <w:tcW w:w="1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2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Class A, B and C wholesale shipments as reported by RVIA.</w:t>
      </w:r>
    </w:p>
    <w:p>
      <w:pPr>
        <w:ind w:left="340" w:hanging="332"/>
        <w:spacing w:after="0" w:line="18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Class A, B and C retail registrations as reported by Stat Surveys for the US and Canada combined. (Canadian retail for January 2013 is not yet available.)</w:t>
      </w:r>
    </w:p>
    <w:p>
      <w:pPr>
        <w:ind w:left="340" w:right="220" w:hanging="332"/>
        <w:spacing w:after="0" w:line="220"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2013 Class A, B and C wholesale shipments are based upon the forecast prepared by Dr. Richard Curtin of the University of Michigan Consumer Survey Research Center for RVIA and reported in the Roadsigns RV Spring 2013 Industry Forecast Issue. The RVIA annual 2013 wholesale shipment forecast was 31,900 (prior to actual January and February shipments being available).</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2013 retail demand for this period.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towable industry are as follows: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6"/>
                <w:szCs w:val="16"/>
                <w:b w:val="1"/>
                <w:bCs w:val="1"/>
                <w:color w:val="auto"/>
              </w:rPr>
              <w:t>US and Canada Travel Trailer &amp; Fifth Wheel Industry</w:t>
            </w:r>
          </w:p>
        </w:tc>
        <w:tc>
          <w:tcPr>
            <w:tcW w:w="1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b w:val="1"/>
                <w:bCs w:val="1"/>
                <w:color w:val="auto"/>
              </w:rPr>
              <w:t>Calendar Year</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Calendar Year</w:t>
            </w: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2011</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Increase</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2011</w:t>
            </w: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Increase</w:t>
            </w: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60,402</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54,132</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6,270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39,093</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33,698</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5,395</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160" w:type="dxa"/>
            <w:vAlign w:val="bottom"/>
          </w:tcPr>
          <w:p>
            <w:pPr>
              <w:ind w:left="40"/>
              <w:spacing w:after="0"/>
              <w:rPr>
                <w:sz w:val="20"/>
                <w:szCs w:val="20"/>
                <w:color w:val="auto"/>
              </w:rPr>
            </w:pPr>
            <w:r>
              <w:rPr>
                <w:rFonts w:ascii="Arial" w:cs="Arial" w:eastAsia="Arial" w:hAnsi="Arial"/>
                <w:sz w:val="16"/>
                <w:szCs w:val="16"/>
                <w:color w:val="auto"/>
              </w:rPr>
              <w:t>Q2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71,095</w:t>
            </w:r>
          </w:p>
        </w:tc>
        <w:tc>
          <w:tcPr>
            <w:tcW w:w="34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65,987</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5,108</w:t>
            </w:r>
          </w:p>
        </w:tc>
        <w:tc>
          <w:tcPr>
            <w:tcW w:w="920" w:type="dxa"/>
            <w:vAlign w:val="bottom"/>
          </w:tcPr>
          <w:p>
            <w:pPr>
              <w:jc w:val="right"/>
              <w:spacing w:after="0"/>
              <w:rPr>
                <w:sz w:val="20"/>
                <w:szCs w:val="20"/>
                <w:color w:val="auto"/>
              </w:rPr>
            </w:pPr>
            <w:r>
              <w:rPr>
                <w:rFonts w:ascii="Arial" w:cs="Arial" w:eastAsia="Arial" w:hAnsi="Arial"/>
                <w:sz w:val="16"/>
                <w:szCs w:val="16"/>
                <w:color w:val="auto"/>
              </w:rPr>
              <w:t>7.7%</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auto"/>
              </w:rPr>
              <w:t>83,990</w:t>
            </w:r>
          </w:p>
        </w:tc>
        <w:tc>
          <w:tcPr>
            <w:tcW w:w="3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79,155</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4,835</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1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56,601</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47,547</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9,054</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67,344</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63,014</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4,330</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54,782</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45,266</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9,516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32,469</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30,044</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2,425</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1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242,880</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212,932</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29,948</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222,896</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205,911</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16,985</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Increase</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2012</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(Decrease)</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2012</w:t>
            </w: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Increase</w:t>
            </w: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6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January</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20,493</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15,658</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4,835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8,456</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7,148</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1,308</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18.3%</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160" w:type="dxa"/>
            <w:vAlign w:val="bottom"/>
            <w:tcBorders>
              <w:left w:val="single" w:sz="8" w:color="auto"/>
            </w:tcBorders>
          </w:tcPr>
          <w:p>
            <w:pPr>
              <w:ind w:left="180"/>
              <w:spacing w:after="0"/>
              <w:rPr>
                <w:sz w:val="20"/>
                <w:szCs w:val="20"/>
                <w:color w:val="auto"/>
              </w:rPr>
            </w:pPr>
            <w:r>
              <w:rPr>
                <w:rFonts w:ascii="Arial" w:cs="Arial" w:eastAsia="Arial" w:hAnsi="Arial"/>
                <w:sz w:val="16"/>
                <w:szCs w:val="16"/>
                <w:color w:val="auto"/>
              </w:rPr>
              <w:t>February</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21,995</w:t>
            </w:r>
          </w:p>
        </w:tc>
        <w:tc>
          <w:tcPr>
            <w:tcW w:w="34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21,133</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862</w:t>
            </w:r>
          </w:p>
        </w:tc>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11,587</w:t>
            </w: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160" w:type="dxa"/>
            <w:vAlign w:val="bottom"/>
            <w:tcBorders>
              <w:left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March</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27,210</w:t>
            </w:r>
          </w:p>
        </w:tc>
        <w:tc>
          <w:tcPr>
            <w:tcW w:w="3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23,611</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3,599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20,358</w:t>
            </w:r>
          </w:p>
        </w:tc>
        <w:tc>
          <w:tcPr>
            <w:tcW w:w="1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160" w:type="dxa"/>
            <w:vAlign w:val="bottom"/>
          </w:tcPr>
          <w:p>
            <w:pPr>
              <w:ind w:left="40"/>
              <w:spacing w:after="0"/>
              <w:rPr>
                <w:sz w:val="20"/>
                <w:szCs w:val="20"/>
                <w:color w:val="auto"/>
              </w:rPr>
            </w:pPr>
            <w:r>
              <w:rPr>
                <w:rFonts w:ascii="Arial" w:cs="Arial" w:eastAsia="Arial" w:hAnsi="Arial"/>
                <w:sz w:val="16"/>
                <w:szCs w:val="16"/>
                <w:color w:val="auto"/>
              </w:rPr>
              <w:t>Q1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69,698</w:t>
            </w: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60,402</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9,296</w:t>
            </w:r>
          </w:p>
        </w:tc>
        <w:tc>
          <w:tcPr>
            <w:tcW w:w="92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39,093</w:t>
            </w: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1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76,700</w:t>
            </w: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71,095</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5,605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83,990</w:t>
            </w:r>
          </w:p>
        </w:tc>
        <w:tc>
          <w:tcPr>
            <w:tcW w:w="1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160" w:type="dxa"/>
            <w:vAlign w:val="bottom"/>
          </w:tcPr>
          <w:p>
            <w:pPr>
              <w:ind w:left="40"/>
              <w:spacing w:after="0"/>
              <w:rPr>
                <w:sz w:val="20"/>
                <w:szCs w:val="20"/>
                <w:color w:val="auto"/>
              </w:rPr>
            </w:pPr>
            <w:r>
              <w:rPr>
                <w:rFonts w:ascii="Arial" w:cs="Arial" w:eastAsia="Arial" w:hAnsi="Arial"/>
                <w:sz w:val="16"/>
                <w:szCs w:val="16"/>
                <w:color w:val="auto"/>
              </w:rPr>
              <w:t>Q3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62,400</w:t>
            </w: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56,601</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5,799</w:t>
            </w:r>
          </w:p>
        </w:tc>
        <w:tc>
          <w:tcPr>
            <w:tcW w:w="92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67,344</w:t>
            </w: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1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55,200</w:t>
            </w:r>
          </w:p>
        </w:tc>
        <w:tc>
          <w:tcPr>
            <w:tcW w:w="3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54,782</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32,469</w:t>
            </w:r>
          </w:p>
        </w:tc>
        <w:tc>
          <w:tcPr>
            <w:tcW w:w="1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160" w:type="dxa"/>
            <w:vAlign w:val="bottom"/>
            <w:vMerge w:val="restart"/>
          </w:tcPr>
          <w:p>
            <w:pPr>
              <w:ind w:left="40"/>
              <w:spacing w:after="0"/>
              <w:rPr>
                <w:sz w:val="20"/>
                <w:szCs w:val="20"/>
                <w:color w:val="auto"/>
              </w:rPr>
            </w:pPr>
            <w:r>
              <w:rPr>
                <w:rFonts w:ascii="Arial" w:cs="Arial" w:eastAsia="Arial" w:hAnsi="Arial"/>
                <w:sz w:val="16"/>
                <w:szCs w:val="16"/>
                <w:color w:val="auto"/>
              </w:rPr>
              <w:t>Total</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263,998</w:t>
            </w: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242,880</w:t>
            </w:r>
          </w:p>
        </w:tc>
        <w:tc>
          <w:tcPr>
            <w:tcW w:w="1160" w:type="dxa"/>
            <w:vAlign w:val="bottom"/>
            <w:vMerge w:val="restart"/>
          </w:tcPr>
          <w:p>
            <w:pPr>
              <w:jc w:val="right"/>
              <w:ind w:right="79"/>
              <w:spacing w:after="0"/>
              <w:rPr>
                <w:sz w:val="20"/>
                <w:szCs w:val="20"/>
                <w:color w:val="auto"/>
              </w:rPr>
            </w:pPr>
            <w:r>
              <w:rPr>
                <w:rFonts w:ascii="Arial" w:cs="Arial" w:eastAsia="Arial" w:hAnsi="Arial"/>
                <w:sz w:val="16"/>
                <w:szCs w:val="16"/>
                <w:color w:val="auto"/>
              </w:rPr>
              <w:t>21,118</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222,896</w:t>
            </w:r>
          </w:p>
        </w:tc>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160" w:type="dxa"/>
            <w:vAlign w:val="bottom"/>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Towable wholesale shipments as reported by RVIA.</w:t>
      </w:r>
    </w:p>
    <w:p>
      <w:pPr>
        <w:ind w:left="340" w:hanging="332"/>
        <w:spacing w:after="0" w:line="187"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Towable retail registrations as reported by Stat Surveys for the US and Canada combined.</w:t>
      </w:r>
    </w:p>
    <w:p>
      <w:pPr>
        <w:ind w:left="340" w:right="100" w:hanging="332"/>
        <w:spacing w:after="0" w:line="220"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2013 towable wholesale shipments are based upon the forecast prepared by Dr. Richard Curtin of the University of Michigan Consumer Survey Research Center for RVIA and reported in the Roadsigns RV Spring 2013 Industry Forecast Issue. The RVIA annual 2013 wholesale shipment forecast was 261,200 (prior to actual January and February shipments being available).</w:t>
      </w:r>
    </w:p>
    <w:p>
      <w:pPr>
        <w:spacing w:after="0" w:line="1"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7"/>
        </w:numPr>
        <w:rPr>
          <w:rFonts w:ascii="Arial" w:cs="Arial" w:eastAsia="Arial" w:hAnsi="Arial"/>
          <w:sz w:val="11"/>
          <w:szCs w:val="11"/>
          <w:color w:val="auto"/>
        </w:rPr>
      </w:pPr>
      <w:r>
        <w:rPr>
          <w:rFonts w:ascii="Arial" w:cs="Arial" w:eastAsia="Arial" w:hAnsi="Arial"/>
          <w:sz w:val="14"/>
          <w:szCs w:val="14"/>
          <w:color w:val="auto"/>
        </w:rPr>
        <w:t>Stat Surveys has not issued a projection for 2013 retail demand for this period.</w:t>
      </w:r>
    </w:p>
    <w:p>
      <w:pPr>
        <w:sectPr>
          <w:pgSz w:w="11900" w:h="16838" w:orient="portrait"/>
          <w:cols w:equalWidth="0" w:num="1">
            <w:col w:w="11440"/>
          </w:cols>
          <w:pgMar w:left="240" w:top="141" w:right="219" w:bottom="93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40"/>
          </w:cols>
          <w:pgMar w:left="240" w:top="141" w:right="219" w:bottom="930" w:gutter="0" w:footer="0" w:header="0"/>
          <w:type w:val="continuous"/>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268"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Based on our profitable operating results in recent years, we believe that we have demonstrated our ability to maintain our liquidity, cover operations costs, recover fixed assets, and maintain physical capacity at present levels. Now that we have entered into the towable market, we have the potential to grow revenues and earnings in a market significantly larger than the motorized market.</w:t>
      </w:r>
    </w:p>
    <w:p>
      <w:pPr>
        <w:spacing w:after="0" w:line="17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evidenced in the following table, our motorhome sales order backlog at the end of the second quarter of Fiscal 2013 significantly increased as compared to the end of the second quarter of Fiscal 2012. It has also increased sequentially from the end of the first quarter of Fiscal 2013, as previously illustrated. We believe the increase is a result of the overall growth of the RV industry coupled with positive dealer response and increased retail registration activity of our products. The demand for our product has outpaced the overall industry growth and thus our Class A and C retail market share increased from 19.0% to 20.6% from the end of calendar year 2011 to the end of calendar year 2012.</w:t>
      </w:r>
    </w:p>
    <w:p>
      <w:pPr>
        <w:spacing w:after="0" w:line="176"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As a result of the improved demand, we have been increasing our production throughout the past nine months. We have increased our weekly production schedule in the second quarter of Fiscal 2013 to meet the growing demand for our products while managing constraints as they present themselves in relation to labor and component parts. Although we had fewer production days in our Fiscal second quarter as compared to the first quarter of Fiscal 2013, we did produce at a higher rate per production day. When measured as units produced per production day our production increased by 24%. The impact of the increased production in our fiscal second quarter combined with lower wholesale volume compared to the first fiscal quarter increased our finished goods level by approximately $22.5 million within the quarter. Approximately 50% of the finished goods increase is attributable to an increase in units in transit to our dealers.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Our motorized sales order backlog of 2,752 as of March 2, 2013 represents orders to be shipped in the next two quarters.</w:t>
      </w:r>
    </w:p>
    <w:p>
      <w:pPr>
        <w:spacing w:after="0" w:line="194"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We believe that the level of our dealer inventory at the end of the second quarter of Fiscal 2013 is aligned with current market conditions given the improved retail demand and increased sales order backlog of our product.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Our unit order backlog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75"/>
        </w:trPr>
        <w:tc>
          <w:tcPr>
            <w:tcW w:w="3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1340" w:type="dxa"/>
            <w:vAlign w:val="bottom"/>
          </w:tcPr>
          <w:p>
            <w:pPr>
              <w:jc w:val="right"/>
              <w:ind w:right="560"/>
              <w:spacing w:after="0"/>
              <w:rPr>
                <w:sz w:val="20"/>
                <w:szCs w:val="20"/>
                <w:color w:val="auto"/>
              </w:rPr>
            </w:pPr>
            <w:r>
              <w:rPr>
                <w:rFonts w:ascii="Arial" w:cs="Arial" w:eastAsia="Arial" w:hAnsi="Arial"/>
                <w:sz w:val="14"/>
                <w:szCs w:val="14"/>
                <w:b w:val="1"/>
                <w:bCs w:val="1"/>
                <w:color w:val="auto"/>
              </w:rPr>
              <w:t>%</w:t>
            </w:r>
          </w:p>
        </w:tc>
      </w:tr>
      <w:tr>
        <w:trPr>
          <w:trHeight w:val="196"/>
        </w:trPr>
        <w:tc>
          <w:tcPr>
            <w:tcW w:w="3260" w:type="dxa"/>
            <w:vAlign w:val="bottom"/>
          </w:tcPr>
          <w:p>
            <w:pPr>
              <w:ind w:left="40"/>
              <w:spacing w:after="0"/>
              <w:rPr>
                <w:sz w:val="20"/>
                <w:szCs w:val="20"/>
                <w:color w:val="auto"/>
              </w:rPr>
            </w:pPr>
            <w:r>
              <w:rPr>
                <w:rFonts w:ascii="Arial" w:cs="Arial" w:eastAsia="Arial" w:hAnsi="Arial"/>
                <w:sz w:val="14"/>
                <w:szCs w:val="14"/>
                <w:b w:val="1"/>
                <w:bCs w:val="1"/>
                <w:color w:val="auto"/>
              </w:rPr>
              <w:t>(In units)</w:t>
            </w:r>
          </w:p>
        </w:tc>
        <w:tc>
          <w:tcPr>
            <w:tcW w:w="320" w:type="dxa"/>
            <w:vAlign w:val="bottom"/>
          </w:tcPr>
          <w:p>
            <w:pPr>
              <w:spacing w:after="0"/>
              <w:rPr>
                <w:sz w:val="17"/>
                <w:szCs w:val="17"/>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March 2, 2013</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40" w:type="dxa"/>
            <w:vAlign w:val="bottom"/>
            <w:gridSpan w:val="3"/>
          </w:tcPr>
          <w:p>
            <w:pPr>
              <w:ind w:left="360"/>
              <w:spacing w:after="0"/>
              <w:rPr>
                <w:sz w:val="20"/>
                <w:szCs w:val="20"/>
                <w:color w:val="auto"/>
              </w:rPr>
            </w:pPr>
            <w:r>
              <w:rPr>
                <w:rFonts w:ascii="Arial" w:cs="Arial" w:eastAsia="Arial" w:hAnsi="Arial"/>
                <w:sz w:val="14"/>
                <w:szCs w:val="14"/>
                <w:b w:val="1"/>
                <w:bCs w:val="1"/>
                <w:color w:val="auto"/>
              </w:rPr>
              <w:t>February 25, 2012</w:t>
            </w:r>
          </w:p>
        </w:tc>
        <w:tc>
          <w:tcPr>
            <w:tcW w:w="240" w:type="dxa"/>
            <w:vAlign w:val="bottom"/>
          </w:tcPr>
          <w:p>
            <w:pPr>
              <w:spacing w:after="0"/>
              <w:rPr>
                <w:sz w:val="17"/>
                <w:szCs w:val="17"/>
                <w:color w:val="auto"/>
              </w:rPr>
            </w:pPr>
          </w:p>
        </w:tc>
        <w:tc>
          <w:tcPr>
            <w:tcW w:w="1260" w:type="dxa"/>
            <w:vAlign w:val="bottom"/>
          </w:tcPr>
          <w:p>
            <w:pPr>
              <w:jc w:val="right"/>
              <w:ind w:right="340"/>
              <w:spacing w:after="0"/>
              <w:rPr>
                <w:sz w:val="20"/>
                <w:szCs w:val="20"/>
                <w:color w:val="auto"/>
              </w:rPr>
            </w:pPr>
            <w:r>
              <w:rPr>
                <w:rFonts w:ascii="Arial" w:cs="Arial" w:eastAsia="Arial" w:hAnsi="Arial"/>
                <w:sz w:val="14"/>
                <w:szCs w:val="14"/>
                <w:b w:val="1"/>
                <w:bCs w:val="1"/>
                <w:color w:val="auto"/>
              </w:rPr>
              <w:t>(Decrease)</w:t>
            </w:r>
          </w:p>
        </w:tc>
        <w:tc>
          <w:tcPr>
            <w:tcW w:w="1340" w:type="dxa"/>
            <w:vAlign w:val="bottom"/>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256"/>
        </w:trPr>
        <w:tc>
          <w:tcPr>
            <w:tcW w:w="3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3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1,216</w:t>
            </w:r>
          </w:p>
        </w:tc>
        <w:tc>
          <w:tcPr>
            <w:tcW w:w="60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44.2%</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3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30.5%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910</w:t>
            </w:r>
          </w:p>
        </w:tc>
        <w:tc>
          <w:tcPr>
            <w:tcW w:w="13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297.4 %</w:t>
            </w:r>
          </w:p>
        </w:tc>
      </w:tr>
      <w:tr>
        <w:trPr>
          <w:trHeight w:val="26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375</w:t>
            </w:r>
          </w:p>
        </w:tc>
        <w:tc>
          <w:tcPr>
            <w:tcW w:w="6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179</w:t>
            </w:r>
          </w:p>
        </w:tc>
        <w:tc>
          <w:tcPr>
            <w:tcW w:w="13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91.3 %</w:t>
            </w:r>
          </w:p>
        </w:tc>
      </w:tr>
      <w:tr>
        <w:trPr>
          <w:trHeight w:val="257"/>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1,591</w:t>
            </w:r>
          </w:p>
        </w:tc>
        <w:tc>
          <w:tcPr>
            <w:tcW w:w="6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1,089</w:t>
            </w:r>
          </w:p>
        </w:tc>
        <w:tc>
          <w:tcPr>
            <w:tcW w:w="1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216.9 %</w:t>
            </w:r>
          </w:p>
        </w:tc>
      </w:tr>
      <w:tr>
        <w:trPr>
          <w:trHeight w:val="260"/>
        </w:trPr>
        <w:tc>
          <w:tcPr>
            <w:tcW w:w="3260" w:type="dxa"/>
            <w:vAlign w:val="bottom"/>
          </w:tcPr>
          <w:p>
            <w:pPr>
              <w:ind w:left="40"/>
              <w:spacing w:after="0"/>
              <w:rPr>
                <w:sz w:val="20"/>
                <w:szCs w:val="20"/>
                <w:color w:val="auto"/>
              </w:rPr>
            </w:pPr>
            <w:r>
              <w:rPr>
                <w:rFonts w:ascii="Arial" w:cs="Arial" w:eastAsia="Arial" w:hAnsi="Arial"/>
                <w:sz w:val="16"/>
                <w:szCs w:val="16"/>
                <w:color w:val="auto"/>
              </w:rPr>
              <w:t>Class B</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121</w:t>
            </w:r>
          </w:p>
        </w:tc>
        <w:tc>
          <w:tcPr>
            <w:tcW w:w="600" w:type="dxa"/>
            <w:vAlign w:val="bottom"/>
          </w:tcPr>
          <w:p>
            <w:pPr>
              <w:spacing w:after="0"/>
              <w:rPr>
                <w:sz w:val="22"/>
                <w:szCs w:val="22"/>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38</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45.8 %</w:t>
            </w:r>
          </w:p>
        </w:tc>
      </w:tr>
      <w:tr>
        <w:trPr>
          <w:trHeight w:val="273"/>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1,040</w:t>
            </w:r>
          </w:p>
        </w:tc>
        <w:tc>
          <w:tcPr>
            <w:tcW w:w="6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3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621</w:t>
            </w:r>
          </w:p>
        </w:tc>
        <w:tc>
          <w:tcPr>
            <w:tcW w:w="1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148.2 %</w:t>
            </w:r>
          </w:p>
        </w:tc>
      </w:tr>
      <w:tr>
        <w:trPr>
          <w:trHeight w:val="283"/>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2,752</w:t>
            </w: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w:t>
            </w: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1,748</w:t>
            </w:r>
          </w:p>
        </w:tc>
        <w:tc>
          <w:tcPr>
            <w:tcW w:w="13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174.1 %</w:t>
            </w:r>
          </w:p>
        </w:tc>
      </w:tr>
      <w:tr>
        <w:trPr>
          <w:trHeight w:val="251"/>
        </w:trPr>
        <w:tc>
          <w:tcPr>
            <w:tcW w:w="3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0"/>
        </w:trPr>
        <w:tc>
          <w:tcPr>
            <w:tcW w:w="326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325</w:t>
            </w:r>
          </w:p>
        </w:tc>
        <w:tc>
          <w:tcPr>
            <w:tcW w:w="600" w:type="dxa"/>
            <w:vAlign w:val="bottom"/>
          </w:tcPr>
          <w:p>
            <w:pPr>
              <w:spacing w:after="0"/>
              <w:rPr>
                <w:sz w:val="22"/>
                <w:szCs w:val="22"/>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230</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95</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41.3 %</w:t>
            </w:r>
          </w:p>
        </w:tc>
      </w:tr>
      <w:tr>
        <w:trPr>
          <w:trHeight w:val="273"/>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6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3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(131)</w:t>
            </w: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(70.1)%</w:t>
            </w:r>
          </w:p>
        </w:tc>
      </w:tr>
      <w:tr>
        <w:trPr>
          <w:trHeight w:val="283"/>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381</w:t>
            </w: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(36)</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(8.6)%</w:t>
            </w:r>
          </w:p>
        </w:tc>
      </w:tr>
      <w:tr>
        <w:trPr>
          <w:trHeight w:val="251"/>
        </w:trPr>
        <w:tc>
          <w:tcPr>
            <w:tcW w:w="3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Approximate backlog revenue in thousands</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56"/>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277,270</w:t>
            </w:r>
          </w:p>
        </w:tc>
        <w:tc>
          <w:tcPr>
            <w:tcW w:w="6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103,978</w:t>
            </w: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173,292</w:t>
            </w:r>
          </w:p>
        </w:tc>
        <w:tc>
          <w:tcPr>
            <w:tcW w:w="1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166.7 %</w:t>
            </w:r>
          </w:p>
        </w:tc>
      </w:tr>
      <w:tr>
        <w:trPr>
          <w:trHeight w:val="251"/>
        </w:trPr>
        <w:tc>
          <w:tcPr>
            <w:tcW w:w="3260" w:type="dxa"/>
            <w:vAlign w:val="bottom"/>
          </w:tcPr>
          <w:p>
            <w:pPr>
              <w:ind w:left="40"/>
              <w:spacing w:after="0"/>
              <w:rPr>
                <w:sz w:val="20"/>
                <w:szCs w:val="20"/>
                <w:color w:val="auto"/>
              </w:rPr>
            </w:pPr>
            <w:r>
              <w:rPr>
                <w:rFonts w:ascii="Arial" w:cs="Arial" w:eastAsia="Arial" w:hAnsi="Arial"/>
                <w:sz w:val="16"/>
                <w:szCs w:val="16"/>
                <w:color w:val="auto"/>
              </w:rPr>
              <w:t>Towable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8,105</w:t>
            </w: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10,671</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(2,566)</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(24.0)%</w:t>
            </w:r>
          </w:p>
        </w:tc>
      </w:tr>
    </w:tbl>
    <w:p>
      <w:pPr>
        <w:spacing w:after="0" w:line="24" w:lineRule="exact"/>
        <w:rPr>
          <w:sz w:val="20"/>
          <w:szCs w:val="20"/>
          <w:color w:val="auto"/>
        </w:rPr>
      </w:pPr>
    </w:p>
    <w:p>
      <w:pPr>
        <w:ind w:left="240" w:right="20" w:hanging="232"/>
        <w:spacing w:after="0" w:line="218" w:lineRule="auto"/>
        <w:tabs>
          <w:tab w:leader="none" w:pos="2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We include in our backlog all accepted purchase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98"/>
        </w:trPr>
        <w:tc>
          <w:tcPr>
            <w:tcW w:w="28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20" w:type="dxa"/>
            <w:vAlign w:val="bottom"/>
          </w:tcPr>
          <w:p>
            <w:pPr>
              <w:spacing w:after="0"/>
              <w:rPr>
                <w:sz w:val="17"/>
                <w:szCs w:val="17"/>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2,</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25,</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180" w:type="dxa"/>
            <w:vAlign w:val="bottom"/>
          </w:tcPr>
          <w:p>
            <w:pPr>
              <w:ind w:left="480"/>
              <w:spacing w:after="0"/>
              <w:rPr>
                <w:sz w:val="20"/>
                <w:szCs w:val="20"/>
                <w:color w:val="auto"/>
              </w:rPr>
            </w:pPr>
            <w:r>
              <w:rPr>
                <w:rFonts w:ascii="Arial" w:cs="Arial" w:eastAsia="Arial" w:hAnsi="Arial"/>
                <w:sz w:val="16"/>
                <w:szCs w:val="16"/>
                <w:b w:val="1"/>
                <w:bCs w:val="1"/>
                <w:color w:val="auto"/>
              </w:rPr>
              <w:t>%</w:t>
            </w:r>
          </w:p>
        </w:tc>
      </w:tr>
      <w:tr>
        <w:trPr>
          <w:trHeight w:val="234"/>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40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c>
          <w:tcPr>
            <w:tcW w:w="140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177,166</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131,600</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45,566</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34.6 %</w:t>
            </w:r>
          </w:p>
        </w:tc>
      </w:tr>
      <w:tr>
        <w:trPr>
          <w:trHeight w:val="264"/>
        </w:trPr>
        <w:tc>
          <w:tcPr>
            <w:tcW w:w="2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159,975</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90.3 %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124,754</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94.8 %</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35,221</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28.2 %</w:t>
            </w:r>
          </w:p>
        </w:tc>
      </w:tr>
      <w:tr>
        <w:trPr>
          <w:trHeight w:val="250"/>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17,191</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9.7 %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6,846</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10,345</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151.1 %</w:t>
            </w:r>
          </w:p>
        </w:tc>
      </w:tr>
      <w:tr>
        <w:trPr>
          <w:trHeight w:val="284"/>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3,831</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3,992</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(161)</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r>
      <w:tr>
        <w:trPr>
          <w:trHeight w:val="264"/>
        </w:trPr>
        <w:tc>
          <w:tcPr>
            <w:tcW w:w="2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4,488</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4,018</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470</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11.7 %</w:t>
            </w:r>
          </w:p>
        </w:tc>
      </w:tr>
      <w:tr>
        <w:trPr>
          <w:trHeight w:val="250"/>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8,319</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4.7 %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8,010</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6.1 %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309</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3.9 %</w:t>
            </w:r>
          </w:p>
        </w:tc>
      </w:tr>
      <w:tr>
        <w:trPr>
          <w:trHeight w:val="284"/>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8,872</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(1,164)</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10,036</w:t>
            </w:r>
          </w:p>
        </w:tc>
        <w:tc>
          <w:tcPr>
            <w:tcW w:w="1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NMF</w:t>
            </w:r>
          </w:p>
        </w:tc>
      </w:tr>
      <w:tr>
        <w:trPr>
          <w:trHeight w:val="264"/>
        </w:trPr>
        <w:tc>
          <w:tcPr>
            <w:tcW w:w="2800" w:type="dxa"/>
            <w:vAlign w:val="bottom"/>
            <w:gridSpan w:val="2"/>
          </w:tcPr>
          <w:p>
            <w:pPr>
              <w:ind w:left="40"/>
              <w:spacing w:after="0"/>
              <w:rPr>
                <w:sz w:val="20"/>
                <w:szCs w:val="20"/>
                <w:color w:val="auto"/>
              </w:rPr>
            </w:pPr>
            <w:r>
              <w:rPr>
                <w:rFonts w:ascii="Arial" w:cs="Arial" w:eastAsia="Arial" w:hAnsi="Arial"/>
                <w:sz w:val="16"/>
                <w:szCs w:val="16"/>
                <w:color w:val="auto"/>
              </w:rPr>
              <w:t>Non-operating expense</w:t>
            </w:r>
          </w:p>
        </w:tc>
        <w:tc>
          <w:tcPr>
            <w:tcW w:w="220" w:type="dxa"/>
            <w:vAlign w:val="bottom"/>
          </w:tcPr>
          <w:p>
            <w:pPr>
              <w:spacing w:after="0"/>
              <w:rPr>
                <w:sz w:val="22"/>
                <w:szCs w:val="22"/>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(19)</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22"/>
                <w:szCs w:val="22"/>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(110)</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91</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(82.7)%</w:t>
            </w:r>
          </w:p>
        </w:tc>
      </w:tr>
      <w:tr>
        <w:trPr>
          <w:trHeight w:val="257"/>
        </w:trPr>
        <w:tc>
          <w:tcPr>
            <w:tcW w:w="28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8,853</w:t>
            </w:r>
          </w:p>
        </w:tc>
        <w:tc>
          <w:tcPr>
            <w:tcW w:w="14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5.0 %</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(1,274)</w:t>
            </w:r>
          </w:p>
        </w:tc>
        <w:tc>
          <w:tcPr>
            <w:tcW w:w="14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10,127</w:t>
            </w:r>
          </w:p>
        </w:tc>
        <w:tc>
          <w:tcPr>
            <w:tcW w:w="11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NMF</w:t>
            </w:r>
          </w:p>
        </w:tc>
      </w:tr>
      <w:tr>
        <w:trPr>
          <w:trHeight w:val="264"/>
        </w:trPr>
        <w:tc>
          <w:tcPr>
            <w:tcW w:w="2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(benefit) for taxes</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2,568</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(362)</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2,930</w:t>
            </w:r>
          </w:p>
        </w:tc>
        <w:tc>
          <w:tcPr>
            <w:tcW w:w="118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NMF</w:t>
            </w:r>
          </w:p>
        </w:tc>
      </w:tr>
      <w:tr>
        <w:trPr>
          <w:trHeight w:val="24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6,285</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(912)</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7,197</w:t>
            </w:r>
          </w:p>
        </w:tc>
        <w:tc>
          <w:tcPr>
            <w:tcW w:w="11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NMF</w:t>
            </w: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7"/>
        </w:trPr>
        <w:tc>
          <w:tcPr>
            <w:tcW w:w="2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income (loss) per share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0.22</w:t>
            </w: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(0.03)</w:t>
            </w: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0.25</w:t>
            </w:r>
          </w:p>
        </w:tc>
        <w:tc>
          <w:tcPr>
            <w:tcW w:w="1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NMF</w:t>
            </w:r>
          </w:p>
        </w:tc>
      </w:tr>
      <w:tr>
        <w:trPr>
          <w:trHeight w:val="251"/>
        </w:trPr>
        <w:tc>
          <w:tcPr>
            <w:tcW w:w="2800" w:type="dxa"/>
            <w:vAlign w:val="bottom"/>
            <w:gridSpan w:val="2"/>
          </w:tcPr>
          <w:p>
            <w:pPr>
              <w:ind w:left="40"/>
              <w:spacing w:after="0"/>
              <w:rPr>
                <w:sz w:val="20"/>
                <w:szCs w:val="20"/>
                <w:color w:val="auto"/>
              </w:rPr>
            </w:pPr>
            <w:r>
              <w:rPr>
                <w:rFonts w:ascii="Arial" w:cs="Arial" w:eastAsia="Arial" w:hAnsi="Arial"/>
                <w:sz w:val="16"/>
                <w:szCs w:val="16"/>
                <w:color w:val="auto"/>
              </w:rPr>
              <w:t>Diluted average shares outstanding</w:t>
            </w:r>
          </w:p>
        </w:tc>
        <w:tc>
          <w:tcPr>
            <w:tcW w:w="220" w:type="dxa"/>
            <w:vAlign w:val="bottom"/>
          </w:tcPr>
          <w:p>
            <w:pPr>
              <w:spacing w:after="0"/>
              <w:rPr>
                <w:sz w:val="21"/>
                <w:szCs w:val="21"/>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28,191</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29,248</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(1,057)</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(3.6)%</w:t>
            </w:r>
          </w:p>
        </w:tc>
      </w:tr>
    </w:tbl>
    <w:p>
      <w:pPr>
        <w:spacing w:after="0" w:line="44"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March 2,</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17"/>
                <w:szCs w:val="17"/>
                <w:color w:val="auto"/>
              </w:rPr>
            </w:pPr>
          </w:p>
        </w:tc>
        <w:tc>
          <w:tcPr>
            <w:tcW w:w="1400" w:type="dxa"/>
            <w:vAlign w:val="bottom"/>
          </w:tcPr>
          <w:p>
            <w:pPr>
              <w:jc w:val="right"/>
              <w:ind w:right="318"/>
              <w:spacing w:after="0"/>
              <w:rPr>
                <w:sz w:val="20"/>
                <w:szCs w:val="20"/>
                <w:color w:val="auto"/>
              </w:rPr>
            </w:pPr>
            <w:r>
              <w:rPr>
                <w:rFonts w:ascii="Arial" w:cs="Arial" w:eastAsia="Arial" w:hAnsi="Arial"/>
                <w:sz w:val="16"/>
                <w:szCs w:val="16"/>
                <w:b w:val="1"/>
                <w:bCs w:val="1"/>
                <w:color w:val="auto"/>
              </w:rPr>
              <w:t>February 25,</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40" w:type="dxa"/>
            <w:vAlign w:val="bottom"/>
          </w:tcPr>
          <w:p>
            <w:pPr>
              <w:spacing w:after="0"/>
              <w:rPr>
                <w:sz w:val="17"/>
                <w:szCs w:val="17"/>
                <w:color w:val="auto"/>
              </w:rPr>
            </w:pPr>
          </w:p>
        </w:tc>
        <w:tc>
          <w:tcPr>
            <w:tcW w:w="1320" w:type="dxa"/>
            <w:vAlign w:val="bottom"/>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24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128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8"/>
              <w:spacing w:after="0"/>
              <w:rPr>
                <w:sz w:val="20"/>
                <w:szCs w:val="20"/>
                <w:color w:val="auto"/>
              </w:rPr>
            </w:pPr>
            <w:r>
              <w:rPr>
                <w:rFonts w:ascii="Arial" w:cs="Arial" w:eastAsia="Arial" w:hAnsi="Arial"/>
                <w:sz w:val="16"/>
                <w:szCs w:val="16"/>
                <w:b w:val="1"/>
                <w:bCs w:val="1"/>
                <w:color w:val="auto"/>
              </w:rPr>
              <w:t>2012</w:t>
            </w:r>
          </w:p>
        </w:tc>
        <w:tc>
          <w:tcPr>
            <w:tcW w:w="1280" w:type="dxa"/>
            <w:vAlign w:val="bottom"/>
            <w:tcBorders>
              <w:bottom w:val="single" w:sz="8" w:color="auto"/>
            </w:tcBorders>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0"/>
        </w:trPr>
        <w:tc>
          <w:tcPr>
            <w:tcW w:w="2860" w:type="dxa"/>
            <w:vAlign w:val="bottom"/>
            <w:gridSpan w:val="2"/>
          </w:tcPr>
          <w:p>
            <w:pPr>
              <w:ind w:left="180"/>
              <w:spacing w:after="0"/>
              <w:rPr>
                <w:sz w:val="20"/>
                <w:szCs w:val="20"/>
                <w:color w:val="auto"/>
              </w:rPr>
            </w:pPr>
            <w:r>
              <w:rPr>
                <w:rFonts w:ascii="Arial" w:cs="Arial" w:eastAsia="Arial" w:hAnsi="Arial"/>
                <w:sz w:val="16"/>
                <w:szCs w:val="16"/>
                <w:color w:val="auto"/>
              </w:rPr>
              <w:t>Class A gas</w:t>
            </w:r>
          </w:p>
        </w:tc>
        <w:tc>
          <w:tcPr>
            <w:tcW w:w="200" w:type="dxa"/>
            <w:vAlign w:val="bottom"/>
          </w:tcPr>
          <w:p>
            <w:pPr>
              <w:spacing w:after="0"/>
              <w:rPr>
                <w:sz w:val="22"/>
                <w:szCs w:val="22"/>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503</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78"/>
              <w:spacing w:after="0"/>
              <w:rPr>
                <w:sz w:val="20"/>
                <w:szCs w:val="20"/>
                <w:color w:val="auto"/>
              </w:rPr>
            </w:pPr>
            <w:r>
              <w:rPr>
                <w:rFonts w:ascii="Arial" w:cs="Arial" w:eastAsia="Arial" w:hAnsi="Arial"/>
                <w:sz w:val="16"/>
                <w:szCs w:val="16"/>
                <w:color w:val="auto"/>
              </w:rPr>
              <w:t>353</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150</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42.5 %</w:t>
            </w:r>
          </w:p>
        </w:tc>
      </w:tr>
      <w:tr>
        <w:trPr>
          <w:trHeight w:val="273"/>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321</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235</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86</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36.6 %</w:t>
            </w:r>
          </w:p>
        </w:tc>
      </w:tr>
      <w:tr>
        <w:trPr>
          <w:trHeight w:val="247"/>
        </w:trPr>
        <w:tc>
          <w:tcPr>
            <w:tcW w:w="2860" w:type="dxa"/>
            <w:vAlign w:val="bottom"/>
            <w:gridSpan w:val="2"/>
          </w:tcPr>
          <w:p>
            <w:pPr>
              <w:ind w:left="180"/>
              <w:spacing w:after="0"/>
              <w:rPr>
                <w:sz w:val="20"/>
                <w:szCs w:val="20"/>
                <w:color w:val="auto"/>
              </w:rPr>
            </w:pPr>
            <w:r>
              <w:rPr>
                <w:rFonts w:ascii="Arial" w:cs="Arial" w:eastAsia="Arial" w:hAnsi="Arial"/>
                <w:sz w:val="16"/>
                <w:szCs w:val="16"/>
                <w:color w:val="auto"/>
              </w:rPr>
              <w:t>Total Class A</w:t>
            </w:r>
          </w:p>
        </w:tc>
        <w:tc>
          <w:tcPr>
            <w:tcW w:w="200" w:type="dxa"/>
            <w:vAlign w:val="bottom"/>
          </w:tcPr>
          <w:p>
            <w:pPr>
              <w:spacing w:after="0"/>
              <w:rPr>
                <w:sz w:val="21"/>
                <w:szCs w:val="21"/>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824</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78"/>
              <w:spacing w:after="0"/>
              <w:rPr>
                <w:sz w:val="20"/>
                <w:szCs w:val="20"/>
                <w:color w:val="auto"/>
              </w:rPr>
            </w:pPr>
            <w:r>
              <w:rPr>
                <w:rFonts w:ascii="Arial" w:cs="Arial" w:eastAsia="Arial" w:hAnsi="Arial"/>
                <w:sz w:val="16"/>
                <w:szCs w:val="16"/>
                <w:color w:val="auto"/>
              </w:rPr>
              <w:t>588</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236</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40.1 %</w:t>
            </w:r>
          </w:p>
        </w:tc>
      </w:tr>
      <w:tr>
        <w:trPr>
          <w:trHeight w:val="280"/>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95</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49</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46</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93.9 %</w:t>
            </w:r>
          </w:p>
        </w:tc>
      </w:tr>
      <w:tr>
        <w:trPr>
          <w:trHeight w:val="264"/>
        </w:trPr>
        <w:tc>
          <w:tcPr>
            <w:tcW w:w="2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500</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364</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136</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37.4 %</w:t>
            </w:r>
          </w:p>
        </w:tc>
      </w:tr>
      <w:tr>
        <w:trPr>
          <w:trHeight w:val="240"/>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motorhome deliveries</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1,419</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1,001</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418</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41.8 %</w:t>
            </w: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7"/>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111.5</w:t>
            </w: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109.2</w:t>
            </w: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2.3</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2.1 %</w:t>
            </w:r>
          </w:p>
        </w:tc>
      </w:tr>
      <w:tr>
        <w:trPr>
          <w:trHeight w:val="284"/>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2860" w:type="dxa"/>
            <w:vAlign w:val="bottom"/>
            <w:gridSpan w:val="2"/>
          </w:tcPr>
          <w:p>
            <w:pPr>
              <w:ind w:left="180"/>
              <w:spacing w:after="0"/>
              <w:rPr>
                <w:sz w:val="20"/>
                <w:szCs w:val="20"/>
                <w:color w:val="auto"/>
              </w:rPr>
            </w:pPr>
            <w:r>
              <w:rPr>
                <w:rFonts w:ascii="Arial" w:cs="Arial" w:eastAsia="Arial" w:hAnsi="Arial"/>
                <w:sz w:val="16"/>
                <w:szCs w:val="16"/>
                <w:color w:val="auto"/>
              </w:rPr>
              <w:t>Travel trailer</w:t>
            </w:r>
          </w:p>
        </w:tc>
        <w:tc>
          <w:tcPr>
            <w:tcW w:w="200" w:type="dxa"/>
            <w:vAlign w:val="bottom"/>
          </w:tcPr>
          <w:p>
            <w:pPr>
              <w:spacing w:after="0"/>
              <w:rPr>
                <w:sz w:val="22"/>
                <w:szCs w:val="22"/>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438</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78"/>
              <w:spacing w:after="0"/>
              <w:rPr>
                <w:sz w:val="20"/>
                <w:szCs w:val="20"/>
                <w:color w:val="auto"/>
              </w:rPr>
            </w:pPr>
            <w:r>
              <w:rPr>
                <w:rFonts w:ascii="Arial" w:cs="Arial" w:eastAsia="Arial" w:hAnsi="Arial"/>
                <w:sz w:val="16"/>
                <w:szCs w:val="16"/>
                <w:color w:val="auto"/>
              </w:rPr>
              <w:t>304</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134</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44.1 %</w:t>
            </w:r>
          </w:p>
        </w:tc>
      </w:tr>
      <w:tr>
        <w:trPr>
          <w:trHeight w:val="273"/>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110</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258</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(148)</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(57.4)%</w:t>
            </w:r>
          </w:p>
        </w:tc>
      </w:tr>
      <w:tr>
        <w:trPr>
          <w:trHeight w:val="280"/>
        </w:trPr>
        <w:tc>
          <w:tcPr>
            <w:tcW w:w="2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 towable deliveries</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548</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562</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(14)</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w:t>
            </w:r>
          </w:p>
        </w:tc>
      </w:tr>
      <w:tr>
        <w:trPr>
          <w:trHeight w:val="267"/>
        </w:trPr>
        <w:tc>
          <w:tcPr>
            <w:tcW w:w="2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57"/>
        </w:trPr>
        <w:tc>
          <w:tcPr>
            <w:tcW w:w="2860" w:type="dxa"/>
            <w:vAlign w:val="bottom"/>
            <w:gridSpan w:val="2"/>
          </w:tcPr>
          <w:p>
            <w:pPr>
              <w:ind w:left="180"/>
              <w:spacing w:after="0"/>
              <w:rPr>
                <w:sz w:val="20"/>
                <w:szCs w:val="20"/>
                <w:color w:val="auto"/>
              </w:rPr>
            </w:pPr>
            <w:r>
              <w:rPr>
                <w:rFonts w:ascii="Arial" w:cs="Arial" w:eastAsia="Arial" w:hAnsi="Arial"/>
                <w:sz w:val="16"/>
                <w:szCs w:val="16"/>
                <w:color w:val="auto"/>
              </w:rPr>
              <w:t>ASP (in thousands)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21.9</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8"/>
              <w:spacing w:after="0"/>
              <w:rPr>
                <w:sz w:val="20"/>
                <w:szCs w:val="20"/>
                <w:color w:val="auto"/>
              </w:rPr>
            </w:pPr>
            <w:r>
              <w:rPr>
                <w:rFonts w:ascii="Arial" w:cs="Arial" w:eastAsia="Arial" w:hAnsi="Arial"/>
                <w:sz w:val="18"/>
                <w:szCs w:val="18"/>
                <w:color w:val="auto"/>
              </w:rPr>
              <w:t>25.7</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(3.8)</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(14.9)%</w:t>
            </w:r>
          </w:p>
        </w:tc>
      </w:tr>
    </w:tbl>
    <w:p>
      <w:pPr>
        <w:ind w:left="160" w:hanging="152"/>
        <w:spacing w:after="0" w:line="220"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304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47"/>
        </w:trPr>
        <w:tc>
          <w:tcPr>
            <w:tcW w:w="3040" w:type="dxa"/>
            <w:vAlign w:val="bottom"/>
            <w:gridSpan w:val="3"/>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Quarter Ended</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2,</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tcPr>
          <w:p>
            <w:pPr>
              <w:ind w:left="480"/>
              <w:spacing w:after="0"/>
              <w:rPr>
                <w:sz w:val="20"/>
                <w:szCs w:val="20"/>
                <w:color w:val="auto"/>
              </w:rPr>
            </w:pPr>
            <w:r>
              <w:rPr>
                <w:rFonts w:ascii="Arial" w:cs="Arial" w:eastAsia="Arial" w:hAnsi="Arial"/>
                <w:sz w:val="16"/>
                <w:szCs w:val="16"/>
                <w:b w:val="1"/>
                <w:bCs w:val="1"/>
                <w:color w:val="auto"/>
              </w:rPr>
              <w:t>February 25,</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28"/>
        </w:trPr>
        <w:tc>
          <w:tcPr>
            <w:tcW w:w="2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2012</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155,707</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107,826</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47,881</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44.4 %</w:t>
            </w:r>
          </w:p>
        </w:tc>
      </w:tr>
      <w:tr>
        <w:trPr>
          <w:trHeight w:val="270"/>
        </w:trPr>
        <w:tc>
          <w:tcPr>
            <w:tcW w:w="3040" w:type="dxa"/>
            <w:vAlign w:val="bottom"/>
            <w:gridSpan w:val="3"/>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420" w:type="dxa"/>
            <w:vAlign w:val="bottom"/>
          </w:tcPr>
          <w:p>
            <w:pPr>
              <w:jc w:val="right"/>
              <w:ind w:right="519"/>
              <w:spacing w:after="0"/>
              <w:rPr>
                <w:sz w:val="20"/>
                <w:szCs w:val="20"/>
                <w:color w:val="auto"/>
              </w:rPr>
            </w:pPr>
            <w:r>
              <w:rPr>
                <w:rFonts w:ascii="Arial" w:cs="Arial" w:eastAsia="Arial" w:hAnsi="Arial"/>
                <w:sz w:val="16"/>
                <w:szCs w:val="16"/>
                <w:color w:val="auto"/>
              </w:rPr>
              <w:t>11,893</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20" w:type="dxa"/>
            <w:vAlign w:val="bottom"/>
          </w:tcPr>
          <w:p>
            <w:pPr>
              <w:jc w:val="right"/>
              <w:ind w:right="659"/>
              <w:spacing w:after="0"/>
              <w:rPr>
                <w:sz w:val="20"/>
                <w:szCs w:val="20"/>
                <w:color w:val="auto"/>
              </w:rPr>
            </w:pPr>
            <w:r>
              <w:rPr>
                <w:rFonts w:ascii="Arial" w:cs="Arial" w:eastAsia="Arial" w:hAnsi="Arial"/>
                <w:sz w:val="16"/>
                <w:szCs w:val="16"/>
                <w:color w:val="auto"/>
              </w:rPr>
              <w:t>14,475</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(2,582)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(17.8)%</w:t>
            </w:r>
          </w:p>
        </w:tc>
      </w:tr>
      <w:tr>
        <w:trPr>
          <w:trHeight w:val="270"/>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Motorhome parts and services</w:t>
            </w:r>
          </w:p>
        </w:tc>
        <w:tc>
          <w:tcPr>
            <w:tcW w:w="3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2,455</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2,149</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306</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14.2 %</w:t>
            </w:r>
          </w:p>
        </w:tc>
      </w:tr>
      <w:tr>
        <w:trPr>
          <w:trHeight w:val="264"/>
        </w:trPr>
        <w:tc>
          <w:tcPr>
            <w:tcW w:w="30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7,111</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7,150</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(39)</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(0.5)%</w:t>
            </w:r>
          </w:p>
        </w:tc>
      </w:tr>
      <w:tr>
        <w:trPr>
          <w:trHeight w:val="240"/>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177,166</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131,600</w:t>
            </w: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45,566</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34.6 %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8890</wp:posOffset>
            </wp:positionV>
            <wp:extent cx="5325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ind w:left="260" w:hanging="238"/>
        <w:spacing w:after="0" w:line="224" w:lineRule="auto"/>
        <w:tabs>
          <w:tab w:leader="none" w:pos="2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Motorhome unit revenue less discounts, sales promotions and incentives, and accrued loss on repurchase adjustments.</w:t>
      </w:r>
    </w:p>
    <w:p>
      <w:pPr>
        <w:ind w:left="260" w:hanging="238"/>
        <w:spacing w:after="0" w:line="199" w:lineRule="auto"/>
        <w:tabs>
          <w:tab w:leader="none" w:pos="2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increase in motorhome net revenues of $47.9 million or 44.4% was attributed primarily to a 41.8% increase in unit deliveries, as well as an increase in motorhome ASP of 2.1% as compared to the second quarter of Fiscal 2012. The increase in ASP was partially due to reductions in certain discounts offered in 2012 that were necessary when we chose to produce specific products rather than incur unabsorbed overhead costs.</w:t>
      </w:r>
    </w:p>
    <w:p>
      <w:pPr>
        <w:spacing w:after="0" w:line="174"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decrease in Towables revenues of $2.6 million or 17.8% was attributed to a decrease in ASP of 14.9% as well as a 2.5% decrease in unit deliveries as compared to the second quarter of Fiscal 2012.</w:t>
      </w:r>
    </w:p>
    <w:p>
      <w:pPr>
        <w:spacing w:after="0" w:line="169"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Cost of goods sold was $160.0 million, or 90.3% of net revenues for the second quarter of Fiscal 2013 compared to $124.8 million, or 94.8% of net revenues for the second quarter of Fiscal 2012 due to the following:</w:t>
      </w:r>
    </w:p>
    <w:p>
      <w:pPr>
        <w:spacing w:after="0" w:line="1" w:lineRule="exact"/>
        <w:rPr>
          <w:sz w:val="20"/>
          <w:szCs w:val="20"/>
          <w:color w:val="auto"/>
        </w:rPr>
      </w:pPr>
    </w:p>
    <w:p>
      <w:pPr>
        <w:ind w:left="340" w:right="2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to 84.1% this year from 86.9% last year which was primarily due to lower material costs and greater production efficiencies due to increased production levels and was partially offset by increased warranty expense.</w:t>
      </w:r>
    </w:p>
    <w:p>
      <w:pPr>
        <w:spacing w:after="0" w:line="1" w:lineRule="exact"/>
        <w:rPr>
          <w:rFonts w:ascii="Arial" w:cs="Arial" w:eastAsia="Arial" w:hAnsi="Arial"/>
          <w:sz w:val="16"/>
          <w:szCs w:val="16"/>
          <w:color w:val="auto"/>
        </w:rPr>
      </w:pPr>
    </w:p>
    <w:p>
      <w:pPr>
        <w:ind w:left="340" w:right="50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6.2% of net revenues compared to 7.9% for Fiscal 2012. This difference was primarily due to significantly higher production levels in Fiscal 2013.</w:t>
      </w: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5.2% to 9.7% of net revenues.</w:t>
      </w:r>
    </w:p>
    <w:p>
      <w:pPr>
        <w:spacing w:after="0" w:line="16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Selling expenses decreased $161,000, or 4.0%, in the second quarter of Fiscal 2013. The expense decrease was primarily due to advertising expenses associated with the timing of our Louisville show falling in the first quarter of Fiscal 2013 (the show typically is expensed in our second fiscal quarter) and was partially offset by increased sales compensation expense. As a percent of net revenues, selling expenses were 2.2% and 3.0% in the second quarter of Fiscal 2013 and Fiscal 2012, respectively.</w:t>
      </w:r>
    </w:p>
    <w:p>
      <w:pPr>
        <w:spacing w:after="0" w:line="149" w:lineRule="exact"/>
        <w:rPr>
          <w:sz w:val="20"/>
          <w:szCs w:val="20"/>
          <w:color w:val="auto"/>
        </w:rPr>
      </w:pPr>
    </w:p>
    <w:p>
      <w:pPr>
        <w:jc w:val="both"/>
        <w:ind w:right="440"/>
        <w:spacing w:after="0" w:line="251" w:lineRule="auto"/>
        <w:rPr>
          <w:sz w:val="20"/>
          <w:szCs w:val="20"/>
          <w:color w:val="auto"/>
        </w:rPr>
      </w:pPr>
      <w:r>
        <w:rPr>
          <w:rFonts w:ascii="Arial" w:cs="Arial" w:eastAsia="Arial" w:hAnsi="Arial"/>
          <w:sz w:val="16"/>
          <w:szCs w:val="16"/>
          <w:color w:val="auto"/>
        </w:rPr>
        <w:t>General and administrative expenses increased $470,000, or 11.7% in the second quarter of Fiscal 2013. This increase was due primarily to increases of $500,000 in incentives accrued under annual and long-term bonus plans, $240,000 in product liability expenses, and was partially offset by a reduction of $325,000 in stock-based compensation expense. As a percent of net revenues, general and administrative expenses were 2.5% and 3.1% in the second quarter of Fiscal 2013 and Fiscal 2012, respectively.</w:t>
      </w:r>
    </w:p>
    <w:p>
      <w:pPr>
        <w:spacing w:after="0" w:line="149"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Non-operating expense decreased $91,000 or 82.7%, in the second quarter of Fiscal 2013. This difference is due to decreased financing fees and COLI expenses.</w:t>
      </w:r>
    </w:p>
    <w:p>
      <w:pPr>
        <w:spacing w:after="0" w:line="223"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overall effective income tax provision rate for the second quarter of Fiscal 2013 was 29.0% compared to the tax benefit rate of 28.4% for the second quarter of Fiscal 2012. The increase in tax rate for the second quarter of Fiscal 2013 most notably is a result of the level of pretax book income earned during the quarter. We also had a reduced level (in comparison to book income) of benefits recorded for uncertain tax positions during the quarter. Most notably, our effective tax benefit rate for the second quarter of Fiscal 2012 was impacted by the lack of taxable income being generated during the quarter, thus resulting in minimal tax being recorded during the quarter from operations. In addition, we recorded tax benefits in the quarter associated with tax planning initiatives as well as reductions to reserves for uncertain tax positions.</w:t>
      </w:r>
    </w:p>
    <w:p>
      <w:pPr>
        <w:spacing w:after="0" w:line="151"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Net income and diluted income per share were $6.3 million and $0.22 per share, respectively, for the second quarter of Fiscal 2013. In the second quarter of Fiscal 2012, the net loss was $912,000 and diluted loss was $0.03 per share. The impact of stock repurchases since July 2012 (the date we began recent repurchases) on diluted net income per share was an increase of $0.01 for the second quarter of Fiscal 2013. See Part II, Item 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Compared to the Comparable Six Months Last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29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00" w:type="dxa"/>
            <w:vAlign w:val="bottom"/>
          </w:tcPr>
          <w:p>
            <w:pPr>
              <w:spacing w:after="0"/>
              <w:rPr>
                <w:sz w:val="17"/>
                <w:szCs w:val="17"/>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2,</w:t>
            </w:r>
          </w:p>
        </w:tc>
        <w:tc>
          <w:tcPr>
            <w:tcW w:w="1420" w:type="dxa"/>
            <w:vAlign w:val="bottom"/>
            <w:gridSpan w:val="2"/>
          </w:tcPr>
          <w:p>
            <w:pPr>
              <w:ind w:left="44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February 25,</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200" w:type="dxa"/>
            <w:vAlign w:val="bottom"/>
          </w:tcPr>
          <w:p>
            <w:pPr>
              <w:ind w:left="480"/>
              <w:spacing w:after="0"/>
              <w:rPr>
                <w:sz w:val="20"/>
                <w:szCs w:val="20"/>
                <w:color w:val="auto"/>
              </w:rPr>
            </w:pPr>
            <w:r>
              <w:rPr>
                <w:rFonts w:ascii="Arial" w:cs="Arial" w:eastAsia="Arial" w:hAnsi="Arial"/>
                <w:sz w:val="16"/>
                <w:szCs w:val="16"/>
                <w:b w:val="1"/>
                <w:bCs w:val="1"/>
                <w:color w:val="auto"/>
              </w:rPr>
              <w:t>%</w:t>
            </w:r>
          </w:p>
        </w:tc>
      </w:tr>
      <w:tr>
        <w:trPr>
          <w:trHeight w:val="23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32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40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370,720</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263,437</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107,283</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40.7 %</w:t>
            </w:r>
          </w:p>
        </w:tc>
      </w:tr>
      <w:tr>
        <w:trPr>
          <w:trHeight w:val="264"/>
        </w:trPr>
        <w:tc>
          <w:tcPr>
            <w:tcW w:w="29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332,782</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248,095</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94.2 %</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84,687</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34.1 %</w:t>
            </w:r>
          </w:p>
        </w:tc>
      </w:tr>
      <w:tr>
        <w:trPr>
          <w:trHeight w:val="25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37,938</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15,342</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5.8 %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22,596</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147.3 %</w:t>
            </w:r>
          </w:p>
        </w:tc>
      </w:tr>
      <w:tr>
        <w:trPr>
          <w:trHeight w:val="284"/>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8,792</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8,154</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638</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7.8 %</w:t>
            </w:r>
          </w:p>
        </w:tc>
      </w:tr>
      <w:tr>
        <w:trPr>
          <w:trHeight w:val="260"/>
        </w:trPr>
        <w:tc>
          <w:tcPr>
            <w:tcW w:w="290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10,300</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7,725</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2,575</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33.3 %</w:t>
            </w:r>
          </w:p>
        </w:tc>
      </w:tr>
      <w:tr>
        <w:trPr>
          <w:trHeight w:val="273"/>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Loss on assets held for sale</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w:t>
            </w:r>
          </w:p>
        </w:tc>
        <w:tc>
          <w:tcPr>
            <w:tcW w:w="12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NMF</w:t>
            </w:r>
          </w:p>
        </w:tc>
      </w:tr>
      <w:tr>
        <w:trPr>
          <w:trHeight w:val="250"/>
        </w:trPr>
        <w:tc>
          <w:tcPr>
            <w:tcW w:w="29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19,120</w:t>
            </w:r>
          </w:p>
        </w:tc>
        <w:tc>
          <w:tcPr>
            <w:tcW w:w="13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15,879</w:t>
            </w:r>
          </w:p>
        </w:tc>
        <w:tc>
          <w:tcPr>
            <w:tcW w:w="14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6.0 %</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3,241</w:t>
            </w:r>
          </w:p>
        </w:tc>
        <w:tc>
          <w:tcPr>
            <w:tcW w:w="12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20.4 %</w:t>
            </w:r>
          </w:p>
        </w:tc>
      </w:tr>
      <w:tr>
        <w:trPr>
          <w:trHeight w:val="284"/>
        </w:trPr>
        <w:tc>
          <w:tcPr>
            <w:tcW w:w="2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2900" w:type="dxa"/>
            <w:vAlign w:val="bottom"/>
            <w:gridSpan w:val="2"/>
          </w:tcPr>
          <w:p>
            <w:pPr>
              <w:ind w:left="4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18,818</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(537)</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19,355</w:t>
            </w:r>
          </w:p>
        </w:tc>
        <w:tc>
          <w:tcPr>
            <w:tcW w:w="1200" w:type="dxa"/>
            <w:vAlign w:val="bottom"/>
          </w:tcPr>
          <w:p>
            <w:pPr>
              <w:ind w:left="480"/>
              <w:spacing w:after="0"/>
              <w:rPr>
                <w:sz w:val="20"/>
                <w:szCs w:val="20"/>
                <w:color w:val="auto"/>
              </w:rPr>
            </w:pPr>
            <w:r>
              <w:rPr>
                <w:rFonts w:ascii="Arial" w:cs="Arial" w:eastAsia="Arial" w:hAnsi="Arial"/>
                <w:sz w:val="16"/>
                <w:szCs w:val="16"/>
                <w:color w:val="auto"/>
              </w:rPr>
              <w:t>NMF</w:t>
            </w:r>
          </w:p>
        </w:tc>
      </w:tr>
      <w:tr>
        <w:trPr>
          <w:trHeight w:val="273"/>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595</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147</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448</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304.8 %</w:t>
            </w:r>
          </w:p>
        </w:tc>
      </w:tr>
      <w:tr>
        <w:trPr>
          <w:trHeight w:val="247"/>
        </w:trPr>
        <w:tc>
          <w:tcPr>
            <w:tcW w:w="2900" w:type="dxa"/>
            <w:vAlign w:val="bottom"/>
            <w:gridSpan w:val="2"/>
          </w:tcPr>
          <w:p>
            <w:pPr>
              <w:ind w:left="4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19,413</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(390)</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19,803</w:t>
            </w:r>
          </w:p>
        </w:tc>
        <w:tc>
          <w:tcPr>
            <w:tcW w:w="1200" w:type="dxa"/>
            <w:vAlign w:val="bottom"/>
          </w:tcPr>
          <w:p>
            <w:pPr>
              <w:ind w:left="480"/>
              <w:spacing w:after="0"/>
              <w:rPr>
                <w:sz w:val="20"/>
                <w:szCs w:val="20"/>
                <w:color w:val="auto"/>
              </w:rPr>
            </w:pPr>
            <w:r>
              <w:rPr>
                <w:rFonts w:ascii="Arial" w:cs="Arial" w:eastAsia="Arial" w:hAnsi="Arial"/>
                <w:sz w:val="16"/>
                <w:szCs w:val="16"/>
                <w:color w:val="auto"/>
              </w:rPr>
              <w:t>NMF</w:t>
            </w:r>
          </w:p>
        </w:tc>
      </w:tr>
      <w:tr>
        <w:trPr>
          <w:trHeight w:val="273"/>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(benefit) for taxes</w:t>
            </w: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5,737</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(513)</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6,250</w:t>
            </w:r>
          </w:p>
        </w:tc>
        <w:tc>
          <w:tcPr>
            <w:tcW w:w="12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NMF</w:t>
            </w:r>
          </w:p>
        </w:tc>
      </w:tr>
      <w:tr>
        <w:trPr>
          <w:trHeight w:val="280"/>
        </w:trPr>
        <w:tc>
          <w:tcPr>
            <w:tcW w:w="29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13,676</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123</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0.0 %</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13,553</w:t>
            </w:r>
          </w:p>
        </w:tc>
        <w:tc>
          <w:tcPr>
            <w:tcW w:w="12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NMF</w:t>
            </w:r>
          </w:p>
        </w:tc>
      </w:tr>
      <w:tr>
        <w:trPr>
          <w:trHeight w:val="267"/>
        </w:trPr>
        <w:tc>
          <w:tcPr>
            <w:tcW w:w="2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2900" w:type="dxa"/>
            <w:vAlign w:val="bottom"/>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0.48</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0.00</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0.48</w:t>
            </w:r>
          </w:p>
        </w:tc>
        <w:tc>
          <w:tcPr>
            <w:tcW w:w="1200" w:type="dxa"/>
            <w:vAlign w:val="bottom"/>
          </w:tcPr>
          <w:p>
            <w:pPr>
              <w:ind w:left="480"/>
              <w:spacing w:after="0"/>
              <w:rPr>
                <w:sz w:val="20"/>
                <w:szCs w:val="20"/>
                <w:color w:val="auto"/>
              </w:rPr>
            </w:pPr>
            <w:r>
              <w:rPr>
                <w:rFonts w:ascii="Arial" w:cs="Arial" w:eastAsia="Arial" w:hAnsi="Arial"/>
                <w:sz w:val="16"/>
                <w:szCs w:val="16"/>
                <w:color w:val="auto"/>
              </w:rPr>
              <w:t>NMF</w:t>
            </w:r>
          </w:p>
        </w:tc>
      </w:tr>
      <w:tr>
        <w:trPr>
          <w:trHeight w:val="28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28,280</w:t>
            </w: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29,231</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(951)</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w:t>
            </w:r>
          </w:p>
        </w:tc>
      </w:tr>
    </w:tbl>
    <w:p>
      <w:pPr>
        <w:spacing w:after="0" w:line="24"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March 2,</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17"/>
                <w:szCs w:val="17"/>
                <w:color w:val="auto"/>
              </w:rPr>
            </w:pPr>
          </w:p>
        </w:tc>
        <w:tc>
          <w:tcPr>
            <w:tcW w:w="1400" w:type="dxa"/>
            <w:vAlign w:val="bottom"/>
          </w:tcPr>
          <w:p>
            <w:pPr>
              <w:jc w:val="right"/>
              <w:ind w:right="318"/>
              <w:spacing w:after="0"/>
              <w:rPr>
                <w:sz w:val="20"/>
                <w:szCs w:val="20"/>
                <w:color w:val="auto"/>
              </w:rPr>
            </w:pPr>
            <w:r>
              <w:rPr>
                <w:rFonts w:ascii="Arial" w:cs="Arial" w:eastAsia="Arial" w:hAnsi="Arial"/>
                <w:sz w:val="16"/>
                <w:szCs w:val="16"/>
                <w:b w:val="1"/>
                <w:bCs w:val="1"/>
                <w:color w:val="auto"/>
              </w:rPr>
              <w:t>February 25,</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40" w:type="dxa"/>
            <w:vAlign w:val="bottom"/>
          </w:tcPr>
          <w:p>
            <w:pPr>
              <w:spacing w:after="0"/>
              <w:rPr>
                <w:sz w:val="17"/>
                <w:szCs w:val="17"/>
                <w:color w:val="auto"/>
              </w:rPr>
            </w:pPr>
          </w:p>
        </w:tc>
        <w:tc>
          <w:tcPr>
            <w:tcW w:w="1320" w:type="dxa"/>
            <w:vAlign w:val="bottom"/>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24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128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8"/>
              <w:spacing w:after="0"/>
              <w:rPr>
                <w:sz w:val="20"/>
                <w:szCs w:val="20"/>
                <w:color w:val="auto"/>
              </w:rPr>
            </w:pPr>
            <w:r>
              <w:rPr>
                <w:rFonts w:ascii="Arial" w:cs="Arial" w:eastAsia="Arial" w:hAnsi="Arial"/>
                <w:sz w:val="16"/>
                <w:szCs w:val="16"/>
                <w:b w:val="1"/>
                <w:bCs w:val="1"/>
                <w:color w:val="auto"/>
              </w:rPr>
              <w:t>2012</w:t>
            </w:r>
          </w:p>
        </w:tc>
        <w:tc>
          <w:tcPr>
            <w:tcW w:w="1280" w:type="dxa"/>
            <w:vAlign w:val="bottom"/>
            <w:tcBorders>
              <w:bottom w:val="single" w:sz="8" w:color="auto"/>
            </w:tcBorders>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0"/>
        </w:trPr>
        <w:tc>
          <w:tcPr>
            <w:tcW w:w="2860" w:type="dxa"/>
            <w:vAlign w:val="bottom"/>
            <w:gridSpan w:val="2"/>
          </w:tcPr>
          <w:p>
            <w:pPr>
              <w:ind w:left="180"/>
              <w:spacing w:after="0"/>
              <w:rPr>
                <w:sz w:val="20"/>
                <w:szCs w:val="20"/>
                <w:color w:val="auto"/>
              </w:rPr>
            </w:pPr>
            <w:r>
              <w:rPr>
                <w:rFonts w:ascii="Arial" w:cs="Arial" w:eastAsia="Arial" w:hAnsi="Arial"/>
                <w:sz w:val="16"/>
                <w:szCs w:val="16"/>
                <w:color w:val="auto"/>
              </w:rPr>
              <w:t>Class A gas</w:t>
            </w:r>
          </w:p>
        </w:tc>
        <w:tc>
          <w:tcPr>
            <w:tcW w:w="200" w:type="dxa"/>
            <w:vAlign w:val="bottom"/>
          </w:tcPr>
          <w:p>
            <w:pPr>
              <w:spacing w:after="0"/>
              <w:rPr>
                <w:sz w:val="22"/>
                <w:szCs w:val="22"/>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1,123</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78"/>
              <w:spacing w:after="0"/>
              <w:rPr>
                <w:sz w:val="20"/>
                <w:szCs w:val="20"/>
                <w:color w:val="auto"/>
              </w:rPr>
            </w:pPr>
            <w:r>
              <w:rPr>
                <w:rFonts w:ascii="Arial" w:cs="Arial" w:eastAsia="Arial" w:hAnsi="Arial"/>
                <w:sz w:val="16"/>
                <w:szCs w:val="16"/>
                <w:color w:val="auto"/>
              </w:rPr>
              <w:t>734</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389</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53.0 %</w:t>
            </w:r>
          </w:p>
        </w:tc>
      </w:tr>
      <w:tr>
        <w:trPr>
          <w:trHeight w:val="273"/>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666</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467</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199</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42.6 %</w:t>
            </w:r>
          </w:p>
        </w:tc>
      </w:tr>
      <w:tr>
        <w:trPr>
          <w:trHeight w:val="247"/>
        </w:trPr>
        <w:tc>
          <w:tcPr>
            <w:tcW w:w="2860" w:type="dxa"/>
            <w:vAlign w:val="bottom"/>
            <w:gridSpan w:val="2"/>
          </w:tcPr>
          <w:p>
            <w:pPr>
              <w:ind w:left="180"/>
              <w:spacing w:after="0"/>
              <w:rPr>
                <w:sz w:val="20"/>
                <w:szCs w:val="20"/>
                <w:color w:val="auto"/>
              </w:rPr>
            </w:pPr>
            <w:r>
              <w:rPr>
                <w:rFonts w:ascii="Arial" w:cs="Arial" w:eastAsia="Arial" w:hAnsi="Arial"/>
                <w:sz w:val="16"/>
                <w:szCs w:val="16"/>
                <w:color w:val="auto"/>
              </w:rPr>
              <w:t>Total Class A</w:t>
            </w:r>
          </w:p>
        </w:tc>
        <w:tc>
          <w:tcPr>
            <w:tcW w:w="200" w:type="dxa"/>
            <w:vAlign w:val="bottom"/>
          </w:tcPr>
          <w:p>
            <w:pPr>
              <w:spacing w:after="0"/>
              <w:rPr>
                <w:sz w:val="21"/>
                <w:szCs w:val="21"/>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1,789</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78"/>
              <w:spacing w:after="0"/>
              <w:rPr>
                <w:sz w:val="20"/>
                <w:szCs w:val="20"/>
                <w:color w:val="auto"/>
              </w:rPr>
            </w:pPr>
            <w:r>
              <w:rPr>
                <w:rFonts w:ascii="Arial" w:cs="Arial" w:eastAsia="Arial" w:hAnsi="Arial"/>
                <w:sz w:val="16"/>
                <w:szCs w:val="16"/>
                <w:color w:val="auto"/>
              </w:rPr>
              <w:t>1,201</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588</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49.0 %</w:t>
            </w:r>
          </w:p>
        </w:tc>
      </w:tr>
      <w:tr>
        <w:trPr>
          <w:trHeight w:val="280"/>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185</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128</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57</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44.5 %</w:t>
            </w:r>
          </w:p>
        </w:tc>
      </w:tr>
      <w:tr>
        <w:trPr>
          <w:trHeight w:val="264"/>
        </w:trPr>
        <w:tc>
          <w:tcPr>
            <w:tcW w:w="2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979</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712</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267</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37.5 %</w:t>
            </w:r>
          </w:p>
        </w:tc>
      </w:tr>
      <w:tr>
        <w:trPr>
          <w:trHeight w:val="240"/>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motorhome deliveries</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2,953</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2,041</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912</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44.7 %</w:t>
            </w: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7"/>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111.7</w:t>
            </w: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108.8</w:t>
            </w: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2.9</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2.7 %</w:t>
            </w:r>
          </w:p>
        </w:tc>
      </w:tr>
      <w:tr>
        <w:trPr>
          <w:trHeight w:val="284"/>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2860" w:type="dxa"/>
            <w:vAlign w:val="bottom"/>
            <w:gridSpan w:val="2"/>
          </w:tcPr>
          <w:p>
            <w:pPr>
              <w:ind w:left="180"/>
              <w:spacing w:after="0"/>
              <w:rPr>
                <w:sz w:val="20"/>
                <w:szCs w:val="20"/>
                <w:color w:val="auto"/>
              </w:rPr>
            </w:pPr>
            <w:r>
              <w:rPr>
                <w:rFonts w:ascii="Arial" w:cs="Arial" w:eastAsia="Arial" w:hAnsi="Arial"/>
                <w:sz w:val="16"/>
                <w:szCs w:val="16"/>
                <w:color w:val="auto"/>
              </w:rPr>
              <w:t>Travel trailer</w:t>
            </w:r>
          </w:p>
        </w:tc>
        <w:tc>
          <w:tcPr>
            <w:tcW w:w="200" w:type="dxa"/>
            <w:vAlign w:val="bottom"/>
          </w:tcPr>
          <w:p>
            <w:pPr>
              <w:spacing w:after="0"/>
              <w:rPr>
                <w:sz w:val="22"/>
                <w:szCs w:val="22"/>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846</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78"/>
              <w:spacing w:after="0"/>
              <w:rPr>
                <w:sz w:val="20"/>
                <w:szCs w:val="20"/>
                <w:color w:val="auto"/>
              </w:rPr>
            </w:pPr>
            <w:r>
              <w:rPr>
                <w:rFonts w:ascii="Arial" w:cs="Arial" w:eastAsia="Arial" w:hAnsi="Arial"/>
                <w:sz w:val="16"/>
                <w:szCs w:val="16"/>
                <w:color w:val="auto"/>
              </w:rPr>
              <w:t>571</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275</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48.2 %</w:t>
            </w:r>
          </w:p>
        </w:tc>
      </w:tr>
      <w:tr>
        <w:trPr>
          <w:trHeight w:val="273"/>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259</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426</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(167)</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(39.2)%</w:t>
            </w:r>
          </w:p>
        </w:tc>
      </w:tr>
      <w:tr>
        <w:trPr>
          <w:trHeight w:val="280"/>
        </w:trPr>
        <w:tc>
          <w:tcPr>
            <w:tcW w:w="2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 towable deliveries</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1,105</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997</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108</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10.8 %</w:t>
            </w:r>
          </w:p>
        </w:tc>
      </w:tr>
      <w:tr>
        <w:trPr>
          <w:trHeight w:val="267"/>
        </w:trPr>
        <w:tc>
          <w:tcPr>
            <w:tcW w:w="2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57"/>
        </w:trPr>
        <w:tc>
          <w:tcPr>
            <w:tcW w:w="2860" w:type="dxa"/>
            <w:vAlign w:val="bottom"/>
            <w:gridSpan w:val="2"/>
          </w:tcPr>
          <w:p>
            <w:pPr>
              <w:ind w:left="180"/>
              <w:spacing w:after="0"/>
              <w:rPr>
                <w:sz w:val="20"/>
                <w:szCs w:val="20"/>
                <w:color w:val="auto"/>
              </w:rPr>
            </w:pPr>
            <w:r>
              <w:rPr>
                <w:rFonts w:ascii="Arial" w:cs="Arial" w:eastAsia="Arial" w:hAnsi="Arial"/>
                <w:sz w:val="16"/>
                <w:szCs w:val="16"/>
                <w:color w:val="auto"/>
              </w:rPr>
              <w:t>ASP (in thousands)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21.6</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8"/>
              <w:spacing w:after="0"/>
              <w:rPr>
                <w:sz w:val="20"/>
                <w:szCs w:val="20"/>
                <w:color w:val="auto"/>
              </w:rPr>
            </w:pPr>
            <w:r>
              <w:rPr>
                <w:rFonts w:ascii="Arial" w:cs="Arial" w:eastAsia="Arial" w:hAnsi="Arial"/>
                <w:sz w:val="18"/>
                <w:szCs w:val="18"/>
                <w:color w:val="auto"/>
              </w:rPr>
              <w:t>24.3</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(2.7)</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(11.0)%</w:t>
            </w:r>
          </w:p>
        </w:tc>
      </w:tr>
    </w:tbl>
    <w:p>
      <w:pPr>
        <w:ind w:left="160" w:hanging="152"/>
        <w:spacing w:after="0" w:line="220"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304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47"/>
        </w:trPr>
        <w:tc>
          <w:tcPr>
            <w:tcW w:w="3040" w:type="dxa"/>
            <w:vAlign w:val="bottom"/>
            <w:gridSpan w:val="3"/>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2,</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February 25,</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28"/>
        </w:trPr>
        <w:tc>
          <w:tcPr>
            <w:tcW w:w="2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2012</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325,702</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219,494</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106,208</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48.4 %</w:t>
            </w:r>
          </w:p>
        </w:tc>
      </w:tr>
      <w:tr>
        <w:trPr>
          <w:trHeight w:val="270"/>
        </w:trPr>
        <w:tc>
          <w:tcPr>
            <w:tcW w:w="3040" w:type="dxa"/>
            <w:vAlign w:val="bottom"/>
            <w:gridSpan w:val="3"/>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420" w:type="dxa"/>
            <w:vAlign w:val="bottom"/>
          </w:tcPr>
          <w:p>
            <w:pPr>
              <w:jc w:val="right"/>
              <w:ind w:right="519"/>
              <w:spacing w:after="0"/>
              <w:rPr>
                <w:sz w:val="20"/>
                <w:szCs w:val="20"/>
                <w:color w:val="auto"/>
              </w:rPr>
            </w:pPr>
            <w:r>
              <w:rPr>
                <w:rFonts w:ascii="Arial" w:cs="Arial" w:eastAsia="Arial" w:hAnsi="Arial"/>
                <w:sz w:val="16"/>
                <w:szCs w:val="16"/>
                <w:color w:val="auto"/>
              </w:rPr>
              <w:t>23,964</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60" w:type="dxa"/>
            <w:vAlign w:val="bottom"/>
          </w:tcPr>
          <w:p>
            <w:pPr>
              <w:jc w:val="right"/>
              <w:ind w:right="599"/>
              <w:spacing w:after="0"/>
              <w:rPr>
                <w:sz w:val="20"/>
                <w:szCs w:val="20"/>
                <w:color w:val="auto"/>
              </w:rPr>
            </w:pPr>
            <w:r>
              <w:rPr>
                <w:rFonts w:ascii="Arial" w:cs="Arial" w:eastAsia="Arial" w:hAnsi="Arial"/>
                <w:sz w:val="16"/>
                <w:szCs w:val="16"/>
                <w:color w:val="auto"/>
              </w:rPr>
              <w:t>24,556</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(592)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(2.4)%</w:t>
            </w:r>
          </w:p>
        </w:tc>
      </w:tr>
      <w:tr>
        <w:trPr>
          <w:trHeight w:val="270"/>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Motorhome parts and services</w:t>
            </w:r>
          </w:p>
        </w:tc>
        <w:tc>
          <w:tcPr>
            <w:tcW w:w="3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6,288</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5,786</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502</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8.7 %</w:t>
            </w:r>
          </w:p>
        </w:tc>
      </w:tr>
      <w:tr>
        <w:trPr>
          <w:trHeight w:val="264"/>
        </w:trPr>
        <w:tc>
          <w:tcPr>
            <w:tcW w:w="30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14,766</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13,601</w:t>
            </w: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1,165</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8.6 %</w:t>
            </w:r>
          </w:p>
        </w:tc>
      </w:tr>
      <w:tr>
        <w:trPr>
          <w:trHeight w:val="240"/>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370,720</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263,437</w:t>
            </w: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107,283</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8890</wp:posOffset>
            </wp:positionV>
            <wp:extent cx="5325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ind w:left="260" w:hanging="238"/>
        <w:spacing w:after="0" w:line="224" w:lineRule="auto"/>
        <w:tabs>
          <w:tab w:leader="none" w:pos="2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Motorhome unit revenue less discounts, sales promotions and incentives, and accrued loss on repurchase adjustments.</w:t>
      </w:r>
    </w:p>
    <w:p>
      <w:pPr>
        <w:ind w:left="260" w:hanging="238"/>
        <w:spacing w:after="0" w:line="199" w:lineRule="auto"/>
        <w:tabs>
          <w:tab w:leader="none" w:pos="2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increase in motorhome net revenues of $106.2 million or 48.4% was attributed primarily to a 44.7% increase in unit deliveries, as well as an increase in motorhome ASP of 2.7% in the first six months of Fiscal 2013 as compared to the first six months of Fiscal 2012. ASPs were positively impacted in the first six months of Fiscal 2013 by a higher mix of Class A products, as well as decreased discounts and promotional pricing.</w:t>
      </w:r>
    </w:p>
    <w:p>
      <w:pPr>
        <w:spacing w:after="0" w:line="17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Towables revenues were $24.0 million in the first six months of Fiscal 2013, compared to $24.6 million in the first six months of Fiscal 2012. Overall, the 10.8% increase in unit deliveries was offset by a 11.0% decrease in ASPs.</w:t>
      </w:r>
    </w:p>
    <w:p>
      <w:pPr>
        <w:spacing w:after="0" w:line="169"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Cost of goods sold was $332.8 million, or 89.8% of net revenues for the first six months of Fiscal 2013 compared to $248.1 million, or 94.2% of net revenues for the first six months of Fiscal 2012 due to the following:</w:t>
      </w:r>
    </w:p>
    <w:p>
      <w:pPr>
        <w:spacing w:after="0" w:line="14" w:lineRule="exact"/>
        <w:rPr>
          <w:sz w:val="20"/>
          <w:szCs w:val="20"/>
          <w:color w:val="auto"/>
        </w:rPr>
      </w:pPr>
    </w:p>
    <w:p>
      <w:pPr>
        <w:ind w:left="340" w:right="20" w:hanging="332"/>
        <w:spacing w:after="0" w:line="252"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6"/>
          <w:szCs w:val="16"/>
          <w:color w:val="auto"/>
        </w:rPr>
        <w:t>Total variable costs (materials, direct labor, variable overhead, delivery expense and warranty), as a percent of net revenues, decreased to 83.9% this year from 86.0% last year which was primarily due to lower material costs and greater production efficiencies due to increased production levels.</w:t>
      </w:r>
    </w:p>
    <w:p>
      <w:pPr>
        <w:spacing w:after="0" w:line="21"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6"/>
          <w:szCs w:val="16"/>
          <w:color w:val="auto"/>
        </w:rPr>
        <w:t>Fixed overhead (manufacturing support labor, depreciation and facility costs) and research and development-related costs decreased to 12.3% of net revenues compared to 8.1% for Fiscal 2012. This difference was primarily due to higher plant utilization due to the additional week in the first six months of Fiscal 2013 and significantly higher production levels in Fiscal 2013.</w:t>
      </w:r>
    </w:p>
    <w:p>
      <w:pPr>
        <w:spacing w:after="0" w:line="10"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6"/>
          <w:szCs w:val="16"/>
          <w:color w:val="auto"/>
        </w:rPr>
        <w:t>All factors considered, gross profit increased from 5.8% to 10.2% of net revenues.</w:t>
      </w:r>
    </w:p>
    <w:p>
      <w:pPr>
        <w:spacing w:after="0" w:line="170" w:lineRule="exact"/>
        <w:rPr>
          <w:sz w:val="20"/>
          <w:szCs w:val="20"/>
          <w:color w:val="auto"/>
        </w:rPr>
      </w:pPr>
    </w:p>
    <w:p>
      <w:pPr>
        <w:jc w:val="both"/>
        <w:ind w:right="360"/>
        <w:spacing w:after="0" w:line="253" w:lineRule="auto"/>
        <w:rPr>
          <w:sz w:val="20"/>
          <w:szCs w:val="20"/>
          <w:color w:val="auto"/>
        </w:rPr>
      </w:pPr>
      <w:r>
        <w:rPr>
          <w:rFonts w:ascii="Arial" w:cs="Arial" w:eastAsia="Arial" w:hAnsi="Arial"/>
          <w:sz w:val="16"/>
          <w:szCs w:val="16"/>
          <w:color w:val="auto"/>
        </w:rPr>
        <w:t>Selling expenses increased $638,000, or 7.8%, in the first six months of Fiscal 2013. The expense increase was due to increased sales compensation and stock-based compensation expenses. As a percent of net revenues, selling expenses were 2.4% and 3.1% in the first six months of Fiscal 2013 and Fiscal 2012, respectively.</w:t>
      </w:r>
    </w:p>
    <w:p>
      <w:pPr>
        <w:spacing w:after="0" w:line="14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General and administrative expenses increased $2.6 million, or 33.3% in the first six months of Fiscal 2013. This increase was due primarily to increases of $1.9 million in incentives accrued under annual and long-term bonus plans, $300,000 in legal expenses,$290,000 in product liability expense. As a percent of net revenues, general and administrative expenses were 2.8% and 2.9% in the first six months of Fiscal 2013 and Fiscal 2012,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Fiscal 2013 we realized a loss of $28,000 on the sale of an idled manufacturing facility (Hampton). See Note 6.</w:t>
      </w:r>
    </w:p>
    <w:p>
      <w:pPr>
        <w:spacing w:after="0" w:line="16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Non-operating income increased $448,000 or 304.8%, in the first six months of Fiscal 2013. This difference is primarily due to increased proceeds from COLI policies of $331,000 and reduced financing fees.</w:t>
      </w:r>
    </w:p>
    <w:p>
      <w:pPr>
        <w:spacing w:after="0" w:line="22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overall effective income tax provision rate for the first six months of Fiscal 2013 was 29.6% compared to the tax benefit rate of 131.5% for the first six months of Fiscal 2012. The tax rate for the first six months of Fiscal 2013 most notably is a result of the level of pretax book income earned during the first six months of Fiscal 2013. We also had a reduced level (in comparison to book income) of benefits recorded for uncertain tax positions during the first six months. Most notably, our effective tax benefit rate for the first six months of Fiscal 2012 was impacted by the pretax loss recorded during the first six months, as well as favorable tax benefits being recorded to the reserve for uncertain tax positions, as well as tax planning initiatives recorded during this period.</w:t>
      </w:r>
    </w:p>
    <w:p>
      <w:pPr>
        <w:spacing w:after="0" w:line="149"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Net income and diluted income per share were $13.7 million and $0.48 per share, respectively, for the first six months of Fiscal 2013. In the first six months of Fiscal 2012, the net income was $123,000 and diluted income was $0.00 per share. The impact of stock repurchases since July 2012 (the date we began recent repurchases) on diluted net income per share was an increase of $0.02 for the first six months of Fiscal 2013. See Part II, Item 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Cash and cash equivalents decreased $36.4 million during the first six months of Fiscal 2013 and totaled $26.2 million as of March 2, 2013. Significant liquidity events that occurred during the first six months of Fiscal 2013 were:</w:t>
      </w:r>
    </w:p>
    <w:p>
      <w:pPr>
        <w:spacing w:after="0" w:line="14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Generated net income of $13.7 million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 in inventory of $37.4 million: The increase was primarily a result of significantly more finished goods units ready for delivery and in transit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Stock repurchases of approximately $8.4 million</w:t>
      </w:r>
    </w:p>
    <w:p>
      <w:pPr>
        <w:spacing w:after="0" w:line="8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On October 31, 2012, we entered into the Credit Agreement with GECC. The Credit Agreement provides for an initial $35.0 million revolving credit facility based on our eligible inventory and expires on October 31, 2015 unless terminated earlier in accordance with its terms. There is no termination fee associated with the Credit Agreement.</w:t>
      </w:r>
    </w:p>
    <w:p>
      <w:pPr>
        <w:spacing w:after="0" w:line="228" w:lineRule="exact"/>
        <w:rPr>
          <w:sz w:val="20"/>
          <w:szCs w:val="20"/>
          <w:color w:val="auto"/>
        </w:rPr>
      </w:pPr>
    </w:p>
    <w:p>
      <w:pPr>
        <w:jc w:val="both"/>
        <w:ind w:right="60"/>
        <w:spacing w:after="0" w:line="251"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or if we repurchase more than $25.0 million of company stock within the first twelve months of the date of the Credit Agreement. In addition, the Credit Agreement also includes a framework to expand the size of the facility up to $50.0 million, based on mutually agreeable terms at the time of the expansion. See Note 8.</w:t>
      </w:r>
    </w:p>
    <w:p>
      <w:pPr>
        <w:spacing w:after="0" w:line="23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filed a Registration Statement on Form S-3, which was declared effective by the SEC on March 31, 2010. Subject to market conditions, we have the ability to offer and sell up to $35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in addition to the alternatives already in place. We intend to file a Registration Statement on Form S-3 in April of 2013.</w:t>
      </w:r>
    </w:p>
    <w:p>
      <w:pPr>
        <w:spacing w:after="0" w:line="230"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Working capital at March 2, 2013 and August 25, 2012 was $130.5 million and $126.1 million, respectively, an increase of $4.4 million. We currently expect cash on hand, funds generated from operations and the availability under a credit facility to be sufficient to cover both short-term and long-term operating requirements. We anticipate capital expenditures during the balance of Fiscal 2013 of approximately $3.7 million, primarily for manufacturing equipment and facilities.</w:t>
      </w:r>
    </w:p>
    <w:p>
      <w:pPr>
        <w:spacing w:after="0" w:line="230"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We made share repurchases of $8.4 million in the first six months of Fiscal 2013. If we believe the common stock is trading at attractive levels we may purchase additional shares in the remainder of Fiscal 2013.</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Cash used in operating activities was $26.1 million for the six months ended March 2, 2013 compared to cash provided by operating activities of $11.4 million for the six months ended February 25, 2012. The combination of net income of $13.7 million in Fiscal 2013 and changes in non-cash charges (e.g., depreciation, LIFO, stock-based compensation, deferred income taxes) provided $15.1 million of operating cash compared to $4.1 million in the first six months of Fiscal 2012. In the six months ended March 2, 2013 changes in assets and liabilities (primarily increases in inventories and receivables) used an additional $41.2 million of operating cash. In the six months ended February 25, 2012, changes in assets and liabilities (primarily a decrease in inventories) provided $7.3 million of operating cash.</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Cash used in investing activities of $1.8 million for the six months ended March 2, 2013 was due primarily to capital spending of $2.4 million and payments of COLI borrowings of $1.4 million, and was partially offset by proceeds of $974,000 from COLI policies and proceeds of $614,000 from the sale of property. In the six months ended February 25, 2012, cash provided by investing activities of $297,000 was mostly due to ARS redemptions of $750,000 and COLI proceeds of $643,000, partially offset by capital spending of $1.2 million.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Cash used in financing activities of $8.5 million for the six months ended March 2, 2013 was primarily due to $8.4 million in repurchases of our stock. Cash used in financing activities for the six months ended February 25, 2012 was $202,000.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98"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our Annual Report on Form 10-K for the fiscal year ended August 25, 2012. We discuss our critical accounting estimates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our Annual Report on Form 10-K for the fiscal year ended August 25, 2012. We</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these disclosures for a detailed explanation of our significant accounting policies and critical accounting estimates. There has been no significant change in our significant accounting policies or critical accounting estimates since the end of Fiscal 2012.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We have market risk exposure to our ARS, which is described in further detail in Note 4.</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Controls and Procedures</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141" w:right="25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 w:lineRule="exact"/>
        <w:rPr>
          <w:sz w:val="20"/>
          <w:szCs w:val="20"/>
          <w:color w:val="auto"/>
        </w:rPr>
      </w:pPr>
    </w:p>
    <w:p>
      <w:pPr>
        <w:jc w:val="both"/>
        <w:ind w:right="24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which, by their nature, can provide only reasonable assurance regarding management's disclosure control objectives.</w:t>
      </w:r>
    </w:p>
    <w:p>
      <w:pPr>
        <w:spacing w:after="0" w:line="169"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Legal Proceedings</w:t>
      </w:r>
    </w:p>
    <w:p>
      <w:pPr>
        <w:spacing w:after="0" w:line="187"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Unregistered Sales of Equity Securities and Use of Proceeds</w:t>
      </w:r>
    </w:p>
    <w:p>
      <w:pPr>
        <w:spacing w:after="0" w:line="18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second quarter of Fiscal 2013, approximately 69,000 shares were repurchased under the authorization, at an aggregate cost of approximately $1.3 million. Approximately 500 of these shares were repurchased from employees who vested in Winnebago Industries shares during the second quarter of Fiscal 2013 and elected to pay their payroll tax via shares as opposed to cash. As of March 2, 2013, there was approximately $44.2 million remaining under this authorization.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second quarter of Fiscal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80" w:type="dxa"/>
            <w:vAlign w:val="bottom"/>
          </w:tcPr>
          <w:p>
            <w:pPr>
              <w:jc w:val="center"/>
              <w:ind w:right="39"/>
              <w:spacing w:after="0"/>
              <w:rPr>
                <w:sz w:val="20"/>
                <w:szCs w:val="20"/>
                <w:color w:val="auto"/>
              </w:rPr>
            </w:pPr>
            <w:r>
              <w:rPr>
                <w:rFonts w:ascii="Arial" w:cs="Arial" w:eastAsia="Arial" w:hAnsi="Arial"/>
                <w:sz w:val="16"/>
                <w:szCs w:val="16"/>
                <w:b w:val="1"/>
                <w:bCs w:val="1"/>
                <w:color w:val="auto"/>
              </w:rPr>
              <w:t>Number of Shares</w:t>
            </w:r>
          </w:p>
        </w:tc>
        <w:tc>
          <w:tcPr>
            <w:tcW w:w="38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27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80" w:type="dxa"/>
            <w:vAlign w:val="bottom"/>
          </w:tcPr>
          <w:p>
            <w:pPr>
              <w:jc w:val="center"/>
              <w:ind w:right="59"/>
              <w:spacing w:after="0"/>
              <w:rPr>
                <w:sz w:val="20"/>
                <w:szCs w:val="20"/>
                <w:color w:val="auto"/>
              </w:rPr>
            </w:pPr>
            <w:r>
              <w:rPr>
                <w:rFonts w:ascii="Arial" w:cs="Arial" w:eastAsia="Arial" w:hAnsi="Arial"/>
                <w:sz w:val="16"/>
                <w:szCs w:val="16"/>
                <w:b w:val="1"/>
                <w:bCs w:val="1"/>
                <w:color w:val="auto"/>
              </w:rPr>
              <w:t>Purchased as Part of</w:t>
            </w:r>
          </w:p>
        </w:tc>
        <w:tc>
          <w:tcPr>
            <w:tcW w:w="38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27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80" w:type="dxa"/>
            <w:vAlign w:val="bottom"/>
          </w:tcPr>
          <w:p>
            <w:pPr>
              <w:spacing w:after="0"/>
              <w:rPr>
                <w:sz w:val="16"/>
                <w:szCs w:val="16"/>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b w:val="1"/>
                <w:bCs w:val="1"/>
                <w:color w:val="auto"/>
              </w:rPr>
              <w:t>Average Price</w:t>
            </w:r>
          </w:p>
        </w:tc>
        <w:tc>
          <w:tcPr>
            <w:tcW w:w="2080" w:type="dxa"/>
            <w:vAlign w:val="bottom"/>
          </w:tcPr>
          <w:p>
            <w:pPr>
              <w:jc w:val="center"/>
              <w:ind w:right="39"/>
              <w:spacing w:after="0"/>
              <w:rPr>
                <w:sz w:val="20"/>
                <w:szCs w:val="20"/>
                <w:color w:val="auto"/>
              </w:rPr>
            </w:pPr>
            <w:r>
              <w:rPr>
                <w:rFonts w:ascii="Arial" w:cs="Arial" w:eastAsia="Arial" w:hAnsi="Arial"/>
                <w:sz w:val="16"/>
                <w:szCs w:val="16"/>
                <w:b w:val="1"/>
                <w:bCs w:val="1"/>
                <w:color w:val="auto"/>
              </w:rPr>
              <w:t>Publicly Announced</w:t>
            </w:r>
          </w:p>
        </w:tc>
        <w:tc>
          <w:tcPr>
            <w:tcW w:w="38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Paid per Share</w:t>
            </w:r>
          </w:p>
        </w:tc>
        <w:tc>
          <w:tcPr>
            <w:tcW w:w="20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Plans or Programs</w:t>
            </w:r>
          </w:p>
        </w:tc>
        <w:tc>
          <w:tcPr>
            <w:tcW w:w="3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12/02/12 - 01/05/13</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8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45,463,000</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color w:val="auto"/>
              </w:rPr>
              <w:t>01/06/13 - 02/02/13</w:t>
            </w:r>
          </w:p>
        </w:tc>
        <w:tc>
          <w:tcPr>
            <w:tcW w:w="1800" w:type="dxa"/>
            <w:vAlign w:val="bottom"/>
          </w:tcPr>
          <w:p>
            <w:pPr>
              <w:jc w:val="right"/>
              <w:spacing w:after="0"/>
              <w:rPr>
                <w:sz w:val="20"/>
                <w:szCs w:val="20"/>
                <w:color w:val="auto"/>
              </w:rPr>
            </w:pPr>
            <w:r>
              <w:rPr>
                <w:rFonts w:ascii="Arial" w:cs="Arial" w:eastAsia="Arial" w:hAnsi="Arial"/>
                <w:sz w:val="16"/>
                <w:szCs w:val="16"/>
                <w:color w:val="auto"/>
              </w:rPr>
              <w:t>29,470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18.10</w:t>
            </w:r>
          </w:p>
        </w:tc>
        <w:tc>
          <w:tcPr>
            <w:tcW w:w="2080" w:type="dxa"/>
            <w:vAlign w:val="bottom"/>
          </w:tcPr>
          <w:p>
            <w:pPr>
              <w:jc w:val="center"/>
              <w:ind w:right="59"/>
              <w:spacing w:after="0"/>
              <w:rPr>
                <w:sz w:val="20"/>
                <w:szCs w:val="20"/>
                <w:color w:val="auto"/>
              </w:rPr>
            </w:pPr>
            <w:r>
              <w:rPr>
                <w:rFonts w:ascii="Arial" w:cs="Arial" w:eastAsia="Arial" w:hAnsi="Arial"/>
                <w:sz w:val="16"/>
                <w:szCs w:val="16"/>
                <w:color w:val="auto"/>
              </w:rPr>
              <w:t>29,470</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359"/>
              <w:spacing w:after="0"/>
              <w:rPr>
                <w:sz w:val="20"/>
                <w:szCs w:val="20"/>
                <w:color w:val="auto"/>
              </w:rPr>
            </w:pPr>
            <w:r>
              <w:rPr>
                <w:rFonts w:ascii="Arial" w:cs="Arial" w:eastAsia="Arial" w:hAnsi="Arial"/>
                <w:sz w:val="16"/>
                <w:szCs w:val="16"/>
                <w:color w:val="auto"/>
              </w:rPr>
              <w:t>44,930,000</w:t>
            </w:r>
          </w:p>
        </w:tc>
      </w:tr>
      <w:tr>
        <w:trPr>
          <w:trHeight w:val="27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02/03/13 - 03/02/13</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39,600</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18.47</w:t>
            </w:r>
          </w:p>
        </w:tc>
        <w:tc>
          <w:tcPr>
            <w:tcW w:w="208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color w:val="auto"/>
              </w:rPr>
              <w:t>39,600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44,199,000</w:t>
            </w:r>
          </w:p>
        </w:tc>
      </w:tr>
      <w:tr>
        <w:trPr>
          <w:trHeight w:val="267"/>
        </w:trPr>
        <w:tc>
          <w:tcPr>
            <w:tcW w:w="2740" w:type="dxa"/>
            <w:vAlign w:val="bottom"/>
          </w:tcPr>
          <w:p>
            <w:pPr>
              <w:ind w:left="40"/>
              <w:spacing w:after="0"/>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69,070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18.31</w:t>
            </w:r>
          </w:p>
        </w:tc>
        <w:tc>
          <w:tcPr>
            <w:tcW w:w="20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69,070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44,199,000</w:t>
            </w:r>
          </w:p>
        </w:tc>
      </w:tr>
      <w:tr>
        <w:trPr>
          <w:trHeight w:val="20"/>
        </w:trPr>
        <w:tc>
          <w:tcPr>
            <w:tcW w:w="27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January 2013, a director exercised options to purchase 4,000 shares of common stock on a cashless, net exercise basis. The director was issued 64 shares as a result of the option exercise.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31.1</w:t>
        <w:tab/>
        <w:t>Certification by the Chief Executive Officer pursuant to Section 302 of the Sarbanes-Oxley Act of 2002 dated April 4, 2013.</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31.2</w:t>
        <w:tab/>
        <w:t>Certification by the Chief Financial Officer pursuant to Section 302 of the Sarbanes-Oxley Act of 2002 dated April 4, 2013.</w:t>
      </w:r>
    </w:p>
    <w:p>
      <w:pPr>
        <w:spacing w:after="0" w:line="167" w:lineRule="exact"/>
        <w:rPr>
          <w:sz w:val="20"/>
          <w:szCs w:val="20"/>
          <w:color w:val="auto"/>
        </w:rPr>
      </w:pPr>
    </w:p>
    <w:p>
      <w:pPr>
        <w:ind w:left="500" w:right="420" w:hanging="485"/>
        <w:spacing w:after="0" w:line="260" w:lineRule="auto"/>
        <w:tabs>
          <w:tab w:leader="none" w:pos="480" w:val="left"/>
        </w:tabs>
        <w:rPr>
          <w:sz w:val="20"/>
          <w:szCs w:val="20"/>
          <w:color w:val="auto"/>
        </w:rPr>
      </w:pPr>
      <w:r>
        <w:rPr>
          <w:rFonts w:ascii="Arial" w:cs="Arial" w:eastAsia="Arial" w:hAnsi="Arial"/>
          <w:sz w:val="16"/>
          <w:szCs w:val="16"/>
          <w:color w:val="auto"/>
        </w:rPr>
        <w:t>32.1</w:t>
        <w:tab/>
        <w:t>Certification by the Chief Executive Officer pursuant to Section 1350, as adopted pursuant to Section 906 of the Sarbanes-Oxley Act of 2002 dated April 4, 2013.</w:t>
      </w:r>
    </w:p>
    <w:p>
      <w:pPr>
        <w:spacing w:after="0" w:line="142" w:lineRule="exact"/>
        <w:rPr>
          <w:sz w:val="20"/>
          <w:szCs w:val="20"/>
          <w:color w:val="auto"/>
        </w:rPr>
      </w:pPr>
    </w:p>
    <w:p>
      <w:pPr>
        <w:ind w:left="500" w:right="480" w:hanging="485"/>
        <w:spacing w:after="0" w:line="260" w:lineRule="auto"/>
        <w:tabs>
          <w:tab w:leader="none" w:pos="480" w:val="left"/>
        </w:tabs>
        <w:rPr>
          <w:sz w:val="20"/>
          <w:szCs w:val="20"/>
          <w:color w:val="auto"/>
        </w:rPr>
      </w:pPr>
      <w:r>
        <w:rPr>
          <w:rFonts w:ascii="Arial" w:cs="Arial" w:eastAsia="Arial" w:hAnsi="Arial"/>
          <w:sz w:val="16"/>
          <w:szCs w:val="16"/>
          <w:color w:val="auto"/>
        </w:rPr>
        <w:t>32.2</w:t>
        <w:tab/>
        <w:t>Certification by the Chief Financial Officer pursuant to Section 1350, as adopted pursuant to Section 906 of the Sarbanes-Oxley Act of 2002 dated April 4, 2013.</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101.INS*</w:t>
      </w:r>
      <w:r>
        <w:rPr>
          <w:sz w:val="20"/>
          <w:szCs w:val="20"/>
          <w:color w:val="auto"/>
        </w:rPr>
        <w:tab/>
      </w:r>
      <w:r>
        <w:rPr>
          <w:rFonts w:ascii="Arial" w:cs="Arial" w:eastAsia="Arial" w:hAnsi="Arial"/>
          <w:sz w:val="16"/>
          <w:szCs w:val="16"/>
          <w:color w:val="auto"/>
        </w:rPr>
        <w:t>XBRL Instance Document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ectPr>
          <w:pgSz w:w="11900" w:h="16838" w:orient="portrait"/>
          <w:cols w:equalWidth="0" w:num="1">
            <w:col w:w="11360"/>
          </w:cols>
          <w:pgMar w:left="240" w:top="141" w:right="29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720" w:space="26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00" w:space="28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20" w:space="26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00" w:space="28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720" w:space="260"/>
            <w:col w:w="10380"/>
          </w:cols>
          <w:pgMar w:left="240" w:top="141" w:right="299" w:bottom="1440" w:gutter="0" w:footer="0" w:header="0"/>
          <w:type w:val="continuous"/>
        </w:sectPr>
      </w:pPr>
    </w:p>
    <w:p>
      <w:pPr>
        <w:spacing w:after="0" w:line="25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March 2, 2013 formatted in XBRL: (i) the Unaudited Consolidated Balance Sheets, (ii) the Unaudited Consolidated Statements of Operations and Comprehensive Income, (iii) the Unaudited Consolidated Statement of Cash Flows, and (iv) related notes to these financial statements. Such exhibits are deemed furnished and not filed pursuant to Rule 406T of Regulation S-T.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WINNEBAGO INDUSTRIES, INC.</w:t>
      </w:r>
    </w:p>
    <w:p>
      <w:pPr>
        <w:spacing w:after="0" w:line="354"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4,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Chief Executive Officer, President, Chairman of the Board</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Executive Officer)</w:t>
      </w:r>
    </w:p>
    <w:p>
      <w:pPr>
        <w:spacing w:after="0" w:line="354"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4,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Sarah N. Nielsen</w:t>
      </w:r>
    </w:p>
    <w:p>
      <w:pPr>
        <w:spacing w:after="0" w:line="5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Vice President, Chief Financial Officer</w:t>
      </w:r>
    </w:p>
    <w:p>
      <w:pPr>
        <w:spacing w:after="0" w:line="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60"/>
          </w:cols>
          <w:pgMar w:left="240" w:top="141" w:right="299" w:bottom="1440" w:gutter="0" w:footer="0" w:header="0"/>
          <w:type w:val="continuous"/>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Randy Potts,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40" w:hanging="332"/>
        <w:spacing w:after="0" w:line="253"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w:t>
      </w:r>
    </w:p>
    <w:p>
      <w:pPr>
        <w:spacing w:after="0" w:line="168" w:lineRule="exact"/>
        <w:rPr>
          <w:rFonts w:ascii="Arial" w:cs="Arial" w:eastAsia="Arial" w:hAnsi="Arial"/>
          <w:sz w:val="16"/>
          <w:szCs w:val="16"/>
          <w:color w:val="auto"/>
        </w:rPr>
      </w:pPr>
    </w:p>
    <w:p>
      <w:pPr>
        <w:ind w:left="660" w:right="260" w:hanging="328"/>
        <w:spacing w:after="0" w:line="253"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560" w:hanging="332"/>
        <w:spacing w:after="0" w:line="260"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4,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360"/>
          </w:cols>
          <w:pgMar w:left="240" w:top="630" w:right="29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40" w:hanging="332"/>
        <w:spacing w:after="0" w:line="253"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w:t>
      </w:r>
    </w:p>
    <w:p>
      <w:pPr>
        <w:spacing w:after="0" w:line="168" w:lineRule="exact"/>
        <w:rPr>
          <w:rFonts w:ascii="Arial" w:cs="Arial" w:eastAsia="Arial" w:hAnsi="Arial"/>
          <w:sz w:val="16"/>
          <w:szCs w:val="16"/>
          <w:color w:val="auto"/>
        </w:rPr>
      </w:pPr>
    </w:p>
    <w:p>
      <w:pPr>
        <w:ind w:left="660" w:right="260" w:hanging="328"/>
        <w:spacing w:after="0" w:line="253"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560" w:hanging="332"/>
        <w:spacing w:after="0" w:line="260"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4,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360"/>
          </w:cols>
          <w:pgMar w:left="240" w:top="576" w:right="29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March 2, 2013, I, Randy Potts, Chief Executive Officer and President of Winnebago Industries, Inc., certify that pursuant to 18 U.S.C. §1350 as adopted pursuant to §906 of the Sarbanes-Oxley Act of 2002, that:</w:t>
      </w:r>
    </w:p>
    <w:p>
      <w:pPr>
        <w:spacing w:after="0" w:line="174" w:lineRule="exact"/>
        <w:rPr>
          <w:sz w:val="20"/>
          <w:szCs w:val="20"/>
          <w:color w:val="auto"/>
        </w:rPr>
      </w:pPr>
    </w:p>
    <w:p>
      <w:pPr>
        <w:jc w:val="both"/>
        <w:ind w:left="660" w:right="40" w:hanging="328"/>
        <w:spacing w:after="0" w:line="25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March 2, 2013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60" w:val="left"/>
          <w:tab w:leader="none" w:pos="6300" w:val="left"/>
          <w:tab w:leader="none" w:pos="72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4,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29210</wp:posOffset>
            </wp:positionV>
            <wp:extent cx="2675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360"/>
          </w:cols>
          <w:pgMar w:left="240" w:top="630" w:right="29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March 2, 2013, I, Sarah N. Nielsen, Vice President, Chief Financial Officer of Winnebago Industries, Inc., certify that pursuant to 18 U.S.C. §1350 as adopted pursuant to §906 of the Sarbanes-Oxley Act of 2002, that:</w:t>
      </w:r>
    </w:p>
    <w:p>
      <w:pPr>
        <w:spacing w:after="0" w:line="174" w:lineRule="exact"/>
        <w:rPr>
          <w:sz w:val="20"/>
          <w:szCs w:val="20"/>
          <w:color w:val="auto"/>
        </w:rPr>
      </w:pPr>
    </w:p>
    <w:p>
      <w:pPr>
        <w:jc w:val="both"/>
        <w:ind w:left="660" w:right="40" w:hanging="328"/>
        <w:spacing w:after="0" w:line="25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March 2, 2013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4,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2019-12-05T17:32:37Z</dcterms:created>
  <dcterms:modified xsi:type="dcterms:W3CDTF">2019-12-05T17:32:37Z</dcterms:modified>
</cp:coreProperties>
</file>