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ectPr>
          <w:pgSz w:w="11900" w:h="16838" w:orient="portrait"/>
          <w:cols w:equalWidth="0" w:num="1">
            <w:col w:w="10219"/>
          </w:cols>
          <w:pgMar w:left="240" w:top="655" w:right="1440" w:bottom="456" w:gutter="0" w:footer="0" w:header="0"/>
        </w:sectPr>
      </w:pPr>
    </w:p>
    <w:p>
      <w:pPr>
        <w:spacing w:after="0" w:line="207" w:lineRule="exact"/>
        <w:rPr>
          <w:sz w:val="24"/>
          <w:szCs w:val="24"/>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_____ __X__</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0" w:lineRule="exact"/>
        <w:rPr>
          <w:sz w:val="24"/>
          <w:szCs w:val="24"/>
          <w:color w:val="auto"/>
        </w:rPr>
      </w:pPr>
    </w:p>
    <w:p>
      <w:pPr>
        <w:sectPr>
          <w:pgSz w:w="11900" w:h="16838" w:orient="portrait"/>
          <w:cols w:equalWidth="0" w:num="2">
            <w:col w:w="540" w:space="320"/>
            <w:col w:w="9359"/>
          </w:cols>
          <w:pgMar w:left="240" w:top="655" w:right="1440" w:bottom="456"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ind w:left="1680"/>
        <w:spacing w:after="0"/>
        <w:rPr>
          <w:sz w:val="20"/>
          <w:szCs w:val="20"/>
          <w:color w:val="auto"/>
        </w:rPr>
      </w:pPr>
      <w:r>
        <w:rPr>
          <w:rFonts w:ascii="Courier New" w:cs="Courier New" w:eastAsia="Courier New" w:hAnsi="Courier New"/>
          <w:sz w:val="18"/>
          <w:szCs w:val="18"/>
          <w:color w:val="auto"/>
        </w:rPr>
        <w:t>May 29, 1999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120"/>
            <w:col w:w="6939"/>
          </w:cols>
          <w:pgMar w:left="240" w:top="655" w:right="1440" w:bottom="456" w:gutter="0" w:footer="0" w:header="0"/>
          <w:type w:val="continuous"/>
        </w:sectPr>
      </w:pPr>
    </w:p>
    <w:p>
      <w:pPr>
        <w:spacing w:after="0" w:line="2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655" w:right="1440" w:bottom="456" w:gutter="0" w:footer="0" w:header="0"/>
          <w:type w:val="continuous"/>
        </w:sectPr>
      </w:pPr>
    </w:p>
    <w:p>
      <w:pPr>
        <w:spacing w:after="0" w:line="224" w:lineRule="exact"/>
        <w:rPr>
          <w:sz w:val="24"/>
          <w:szCs w:val="24"/>
          <w:color w:val="auto"/>
        </w:rPr>
      </w:pPr>
    </w:p>
    <w:p>
      <w:pPr>
        <w:jc w:val="both"/>
        <w:spacing w:after="0" w:line="235" w:lineRule="auto"/>
        <w:rPr>
          <w:sz w:val="20"/>
          <w:szCs w:val="20"/>
          <w:color w:val="auto"/>
        </w:rPr>
      </w:pPr>
      <w:r>
        <w:rPr>
          <w:rFonts w:ascii="Courier New" w:cs="Courier New" w:eastAsia="Courier New" w:hAnsi="Courier New"/>
          <w:sz w:val="18"/>
          <w:szCs w:val="18"/>
          <w:color w:val="auto"/>
        </w:rPr>
        <w:t>_____ _____</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540" w:space="320"/>
            <w:col w:w="9359"/>
          </w:cols>
          <w:pgMar w:left="240" w:top="655" w:right="1440" w:bottom="456"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_______________________ to ______________________</w:t>
      </w:r>
    </w:p>
    <w:p>
      <w:pPr>
        <w:sectPr>
          <w:pgSz w:w="11900" w:h="16838" w:orient="portrait"/>
          <w:cols w:equalWidth="0" w:num="1">
            <w:col w:w="10219"/>
          </w:cols>
          <w:pgMar w:left="240" w:top="655" w:right="1440" w:bottom="456" w:gutter="0" w:footer="0" w:header="0"/>
          <w:type w:val="continuous"/>
        </w:sectPr>
      </w:pPr>
    </w:p>
    <w:p>
      <w:pPr>
        <w:spacing w:after="0" w:line="218"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w w:val="92"/>
              </w:rPr>
              <w:t>IOWA</w:t>
            </w:r>
          </w:p>
        </w:tc>
        <w:tc>
          <w:tcPr>
            <w:tcW w:w="3480" w:type="dxa"/>
            <w:vAlign w:val="bottom"/>
          </w:tcPr>
          <w:p>
            <w:pPr>
              <w:spacing w:after="0"/>
              <w:rPr>
                <w:sz w:val="17"/>
                <w:szCs w:val="17"/>
                <w:color w:val="auto"/>
              </w:rPr>
            </w:pPr>
          </w:p>
        </w:tc>
        <w:tc>
          <w:tcPr>
            <w:tcW w:w="274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8"/>
              </w:rPr>
              <w:t>42-0803978</w:t>
            </w:r>
          </w:p>
        </w:tc>
      </w:tr>
      <w:tr>
        <w:trPr>
          <w:trHeight w:val="203"/>
        </w:trPr>
        <w:tc>
          <w:tcPr>
            <w:tcW w:w="4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740" w:type="dxa"/>
            <w:vAlign w:val="bottom"/>
          </w:tcPr>
          <w:p>
            <w:pPr>
              <w:jc w:val="center"/>
              <w:ind w:left="53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organization)</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P.O. Box</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152,</w:t>
            </w:r>
          </w:p>
        </w:tc>
        <w:tc>
          <w:tcPr>
            <w:tcW w:w="3480" w:type="dxa"/>
            <w:vAlign w:val="bottom"/>
          </w:tcPr>
          <w:p>
            <w:pPr>
              <w:spacing w:after="0"/>
              <w:rPr>
                <w:sz w:val="20"/>
                <w:szCs w:val="20"/>
                <w:color w:val="auto"/>
              </w:rPr>
            </w:pPr>
            <w:r>
              <w:rPr>
                <w:rFonts w:ascii="Courier New" w:cs="Courier New" w:eastAsia="Courier New" w:hAnsi="Courier New"/>
                <w:sz w:val="18"/>
                <w:szCs w:val="18"/>
                <w:color w:val="auto"/>
              </w:rPr>
              <w:t>Forest City, Iowa</w:t>
            </w:r>
          </w:p>
        </w:tc>
        <w:tc>
          <w:tcPr>
            <w:tcW w:w="2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50436</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principal executive offices)</w:t>
            </w:r>
          </w:p>
        </w:tc>
        <w:tc>
          <w:tcPr>
            <w:tcW w:w="274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(Zip Code)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(515) 582-3535</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_X_ No ___.</w:t>
      </w: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There were 22,280,811 shares of $.50 par value common stock outstanding on July 2,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 AND SUBSIDIARIES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7740" w:type="dxa"/>
            <w:vAlign w:val="bottom"/>
          </w:tcPr>
          <w:p>
            <w:pPr>
              <w:ind w:left="1780"/>
              <w:spacing w:after="0"/>
              <w:rPr>
                <w:sz w:val="20"/>
                <w:szCs w:val="20"/>
                <w:color w:val="auto"/>
              </w:rPr>
            </w:pPr>
            <w:r>
              <w:rPr>
                <w:rFonts w:ascii="Courier New" w:cs="Courier New" w:eastAsia="Courier New" w:hAnsi="Courier New"/>
                <w:sz w:val="18"/>
                <w:szCs w:val="18"/>
                <w:color w:val="auto"/>
              </w:rPr>
              <w:t>INDEX TO REPORT ON FORM 10-Q</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0"/>
        </w:trPr>
        <w:tc>
          <w:tcPr>
            <w:tcW w:w="9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PART I.</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rPr>
              <w:t>Consolidated Balance Sheets (Interim period information unaudited)</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&amp; 2</w:t>
            </w:r>
          </w:p>
        </w:tc>
      </w:tr>
      <w:tr>
        <w:trPr>
          <w:trHeight w:val="405"/>
        </w:trPr>
        <w:tc>
          <w:tcPr>
            <w:tcW w:w="96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rPr>
              <w:t>Unaudited Consolidated Statements of Earnings</w:t>
            </w:r>
          </w:p>
        </w:tc>
        <w:tc>
          <w:tcPr>
            <w:tcW w:w="64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3</w:t>
            </w:r>
          </w:p>
        </w:tc>
      </w:tr>
      <w:tr>
        <w:trPr>
          <w:trHeight w:val="405"/>
        </w:trPr>
        <w:tc>
          <w:tcPr>
            <w:tcW w:w="96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rPr>
              <w:t>Unaudited Consolidated Statements of Cash Flows</w:t>
            </w:r>
          </w:p>
        </w:tc>
        <w:tc>
          <w:tcPr>
            <w:tcW w:w="64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4</w:t>
            </w:r>
          </w:p>
        </w:tc>
      </w:tr>
      <w:tr>
        <w:trPr>
          <w:trHeight w:val="405"/>
        </w:trPr>
        <w:tc>
          <w:tcPr>
            <w:tcW w:w="96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rPr>
              <w:t>Unaudited Condensed Notes to Consolidated Financial Statements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&amp; 6</w:t>
            </w:r>
          </w:p>
        </w:tc>
      </w:tr>
      <w:tr>
        <w:trPr>
          <w:trHeight w:val="405"/>
        </w:trPr>
        <w:tc>
          <w:tcPr>
            <w:tcW w:w="96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9"/>
              </w:rPr>
              <w:t>Management's Discussion and Analysis of Financial Condition and Results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- 10</w:t>
            </w:r>
          </w:p>
        </w:tc>
      </w:tr>
      <w:tr>
        <w:trPr>
          <w:trHeight w:val="203"/>
        </w:trPr>
        <w:tc>
          <w:tcPr>
            <w:tcW w:w="960" w:type="dxa"/>
            <w:vAlign w:val="bottom"/>
          </w:tcPr>
          <w:p>
            <w:pPr>
              <w:spacing w:after="0"/>
              <w:rPr>
                <w:sz w:val="17"/>
                <w:szCs w:val="17"/>
                <w:color w:val="auto"/>
              </w:rPr>
            </w:pPr>
          </w:p>
        </w:tc>
        <w:tc>
          <w:tcPr>
            <w:tcW w:w="7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Operations</w:t>
            </w: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- 13</w:t>
            </w:r>
          </w:p>
        </w:tc>
      </w:tr>
    </w:tbl>
    <w:p>
      <w:pPr>
        <w:sectPr>
          <w:pgSz w:w="11900" w:h="16838" w:orient="portrait"/>
          <w:cols w:equalWidth="0" w:num="1">
            <w:col w:w="10219"/>
          </w:cols>
          <w:pgMar w:left="240" w:top="655" w:right="1440" w:bottom="456"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 Financial Information</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 29,</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AUGUST 29,</w:t>
            </w:r>
          </w:p>
        </w:tc>
      </w:tr>
      <w:tr>
        <w:trPr>
          <w:trHeight w:val="203"/>
        </w:trPr>
        <w:tc>
          <w:tcPr>
            <w:tcW w:w="586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17"/>
                <w:szCs w:val="17"/>
                <w:color w:val="auto"/>
              </w:rPr>
            </w:pPr>
          </w:p>
        </w:tc>
        <w:tc>
          <w:tcPr>
            <w:tcW w:w="12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20" w:type="dxa"/>
            <w:vAlign w:val="bottom"/>
          </w:tcPr>
          <w:p>
            <w:pPr>
              <w:spacing w:after="0"/>
              <w:rPr>
                <w:sz w:val="17"/>
                <w:szCs w:val="17"/>
                <w:color w:val="auto"/>
              </w:rPr>
            </w:pP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56,452</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53,859</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($1,172 and $1,582, respectively)</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28,607</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22,025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 financing receivables, less allowance</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doubtful accounts ($182 and $78, respectively)</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29,612</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12,782</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63,022</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55,433</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3,969</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3,516</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6,906</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6,906</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ind w:left="540"/>
              <w:spacing w:after="0"/>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188,568</w:t>
            </w: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154,521</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1,158</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1,158</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40,614</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38,779</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72,393</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69,095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equipment</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5,221</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5,047</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119,386</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114,079</w:t>
            </w:r>
          </w:p>
        </w:tc>
      </w:tr>
      <w:tr>
        <w:trPr>
          <w:trHeight w:val="203"/>
        </w:trPr>
        <w:tc>
          <w:tcPr>
            <w:tcW w:w="5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82,253</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81,167</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ind w:left="540"/>
              <w:spacing w:after="0"/>
              <w:rPr>
                <w:sz w:val="20"/>
                <w:szCs w:val="20"/>
                <w:color w:val="auto"/>
              </w:rPr>
            </w:pPr>
            <w:r>
              <w:rPr>
                <w:rFonts w:ascii="Courier New" w:cs="Courier New" w:eastAsia="Courier New" w:hAnsi="Courier New"/>
                <w:sz w:val="18"/>
                <w:szCs w:val="18"/>
                <w:color w:val="auto"/>
              </w:rPr>
              <w:t>Total property and equipment, net</w:t>
            </w:r>
          </w:p>
        </w:tc>
        <w:tc>
          <w:tcPr>
            <w:tcW w:w="32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37,133</w:t>
            </w: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32,912</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LONG-TERM NOTES RECEIVABLE,</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allowances for doubtful accounts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($266 and $973, respectively)</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1,915</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5,396</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INVESTMENT IN LIFE INSURANCE AND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LONG-TERM INVESTMENTS</w:t>
            </w:r>
          </w:p>
        </w:tc>
        <w:tc>
          <w:tcPr>
            <w:tcW w:w="32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23,447</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21,226</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DEFERRED INCOME TAXES, NET</w:t>
            </w:r>
          </w:p>
        </w:tc>
        <w:tc>
          <w:tcPr>
            <w:tcW w:w="32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16,309</w:t>
            </w: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16,071</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365</w:t>
            </w: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486</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267,737</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230,612</w:t>
            </w:r>
          </w:p>
        </w:tc>
      </w:tr>
      <w:tr>
        <w:trPr>
          <w:trHeight w:val="203"/>
        </w:trPr>
        <w:tc>
          <w:tcPr>
            <w:tcW w:w="586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29,</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AUGUST 29,</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00" w:type="dxa"/>
            <w:vAlign w:val="bottom"/>
          </w:tcPr>
          <w:p>
            <w:pPr>
              <w:spacing w:after="0"/>
              <w:rPr>
                <w:sz w:val="17"/>
                <w:szCs w:val="17"/>
                <w:color w:val="auto"/>
              </w:rPr>
            </w:pPr>
          </w:p>
        </w:tc>
        <w:tc>
          <w:tcPr>
            <w:tcW w:w="1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6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(Unaudited)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26,614</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24,461</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11,944</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12,623</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Insurance</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3,688</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3,566</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Product warranties</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6,437</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5,260</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Vacation liability</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3,906</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3,343</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Promotional</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6,248</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2,236</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12,482</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11,113</w:t>
            </w:r>
          </w:p>
        </w:tc>
      </w:tr>
      <w:tr>
        <w:trPr>
          <w:trHeight w:val="203"/>
        </w:trPr>
        <w:tc>
          <w:tcPr>
            <w:tcW w:w="66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30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71,319</w:t>
            </w:r>
          </w:p>
        </w:tc>
        <w:tc>
          <w:tcPr>
            <w:tcW w:w="26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62,602</w:t>
            </w:r>
          </w:p>
        </w:tc>
      </w:tr>
      <w:tr>
        <w:trPr>
          <w:trHeight w:val="203"/>
        </w:trPr>
        <w:tc>
          <w:tcPr>
            <w:tcW w:w="66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POSTRETIREMENT HEALTH CARE AND DEFERRED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 BENEFITS</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55,528</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51,487</w:t>
            </w:r>
          </w:p>
        </w:tc>
      </w:tr>
      <w:tr>
        <w:trPr>
          <w:trHeight w:val="203"/>
        </w:trPr>
        <w:tc>
          <w:tcPr>
            <w:tcW w:w="66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common, par value $.50; authorized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60,000,000 shares:  outstanding 25,876,000 and 25,865,000</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respectively</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12,937</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12,932</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22,133</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22,507</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Reinvested earnings</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143,658</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111,665</w:t>
            </w:r>
          </w:p>
        </w:tc>
      </w:tr>
      <w:tr>
        <w:trPr>
          <w:trHeight w:val="203"/>
        </w:trPr>
        <w:tc>
          <w:tcPr>
            <w:tcW w:w="66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178,728</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147,104</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30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37,838</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30,581</w:t>
            </w:r>
          </w:p>
        </w:tc>
      </w:tr>
      <w:tr>
        <w:trPr>
          <w:trHeight w:val="203"/>
        </w:trPr>
        <w:tc>
          <w:tcPr>
            <w:tcW w:w="66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Total stockholders' equity</w:t>
            </w:r>
          </w:p>
        </w:tc>
        <w:tc>
          <w:tcPr>
            <w:tcW w:w="30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140,890</w:t>
            </w:r>
          </w:p>
        </w:tc>
        <w:tc>
          <w:tcPr>
            <w:tcW w:w="26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116,523</w:t>
            </w:r>
          </w:p>
        </w:tc>
      </w:tr>
      <w:tr>
        <w:trPr>
          <w:trHeight w:val="203"/>
        </w:trPr>
        <w:tc>
          <w:tcPr>
            <w:tcW w:w="66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267,737</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230,612</w:t>
            </w:r>
          </w:p>
        </w:tc>
      </w:tr>
      <w:tr>
        <w:trPr>
          <w:trHeight w:val="203"/>
        </w:trPr>
        <w:tc>
          <w:tcPr>
            <w:tcW w:w="6600" w:type="dxa"/>
            <w:vAlign w:val="bottom"/>
          </w:tcPr>
          <w:p>
            <w:pPr>
              <w:spacing w:after="0"/>
              <w:rPr>
                <w:sz w:val="17"/>
                <w:szCs w:val="17"/>
                <w:color w:val="auto"/>
              </w:rPr>
            </w:pP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2940"/>
        <w:spacing w:after="0" w:line="279" w:lineRule="auto"/>
        <w:rPr>
          <w:sz w:val="20"/>
          <w:szCs w:val="20"/>
          <w:color w:val="auto"/>
        </w:rPr>
      </w:pPr>
      <w:r>
        <w:rPr>
          <w:rFonts w:ascii="Courier New" w:cs="Courier New" w:eastAsia="Courier New" w:hAnsi="Courier New"/>
          <w:sz w:val="16"/>
          <w:szCs w:val="16"/>
          <w:color w:val="auto"/>
        </w:rPr>
        <w:t>WINNEBAGO INDUSTRIES, INC. AND SUBSIDIARIES UNAUDITED CONSOLIDATED STATEMENTS OF OPERATIONS ================================================================================</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20"/>
                <w:szCs w:val="20"/>
                <w:color w:val="auto"/>
              </w:rPr>
            </w:pPr>
            <w:r>
              <w:rPr>
                <w:rFonts w:ascii="Courier New" w:cs="Courier New" w:eastAsia="Courier New" w:hAnsi="Courier New"/>
                <w:sz w:val="18"/>
                <w:szCs w:val="18"/>
                <w:color w:val="auto"/>
              </w:rPr>
              <w:t>IN THOUSANDS EXCEPT PER SHARE DATA</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THIRTEEN</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THIRTY-NINE</w:t>
            </w:r>
          </w:p>
        </w:tc>
        <w:tc>
          <w:tcPr>
            <w:tcW w:w="74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WEEKS ENDED</w:t>
            </w:r>
          </w:p>
        </w:tc>
        <w:tc>
          <w:tcPr>
            <w:tcW w:w="320" w:type="dxa"/>
            <w:vAlign w:val="bottom"/>
          </w:tcPr>
          <w:p>
            <w:pPr>
              <w:spacing w:after="0"/>
              <w:rPr>
                <w:sz w:val="17"/>
                <w:szCs w:val="17"/>
                <w:color w:val="auto"/>
              </w:rPr>
            </w:pP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WEEKS ENDED</w:t>
            </w:r>
          </w:p>
        </w:tc>
        <w:tc>
          <w:tcPr>
            <w:tcW w:w="74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284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May 29,</w:t>
            </w:r>
          </w:p>
        </w:tc>
        <w:tc>
          <w:tcPr>
            <w:tcW w:w="42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May 30,</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May 29,</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May 30,</w:t>
            </w:r>
          </w:p>
        </w:tc>
      </w:tr>
      <w:tr>
        <w:trPr>
          <w:trHeight w:val="203"/>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3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52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1998</w:t>
            </w:r>
          </w:p>
        </w:tc>
      </w:tr>
      <w:tr>
        <w:trPr>
          <w:trHeight w:val="203"/>
        </w:trPr>
        <w:tc>
          <w:tcPr>
            <w:tcW w:w="580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191,546</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150,515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503,342</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395,120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157,804</w:t>
            </w:r>
          </w:p>
        </w:tc>
        <w:tc>
          <w:tcPr>
            <w:tcW w:w="4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129,610</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420,355</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341,437</w:t>
            </w:r>
          </w:p>
        </w:tc>
      </w:tr>
      <w:tr>
        <w:trPr>
          <w:trHeight w:val="203"/>
        </w:trPr>
        <w:tc>
          <w:tcPr>
            <w:tcW w:w="580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Gross profit</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33,742</w:t>
            </w:r>
          </w:p>
        </w:tc>
        <w:tc>
          <w:tcPr>
            <w:tcW w:w="4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20,905</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82,987</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53,683</w:t>
            </w:r>
          </w:p>
        </w:tc>
      </w:tr>
      <w:tr>
        <w:trPr>
          <w:trHeight w:val="203"/>
        </w:trPr>
        <w:tc>
          <w:tcPr>
            <w:tcW w:w="580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and delivery</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5,997</w:t>
            </w:r>
          </w:p>
        </w:tc>
        <w:tc>
          <w:tcPr>
            <w:tcW w:w="4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4,645</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16,593</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14,564</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6,129</w:t>
            </w:r>
          </w:p>
        </w:tc>
        <w:tc>
          <w:tcPr>
            <w:tcW w:w="4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6,029</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16,112</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15,741</w:t>
            </w:r>
          </w:p>
        </w:tc>
      </w:tr>
      <w:tr>
        <w:trPr>
          <w:trHeight w:val="203"/>
        </w:trPr>
        <w:tc>
          <w:tcPr>
            <w:tcW w:w="580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12,126</w:t>
            </w:r>
          </w:p>
        </w:tc>
        <w:tc>
          <w:tcPr>
            <w:tcW w:w="4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10,674</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32,705</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30,305</w:t>
            </w:r>
          </w:p>
        </w:tc>
      </w:tr>
      <w:tr>
        <w:trPr>
          <w:trHeight w:val="203"/>
        </w:trPr>
        <w:tc>
          <w:tcPr>
            <w:tcW w:w="580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21,616</w:t>
            </w:r>
          </w:p>
        </w:tc>
        <w:tc>
          <w:tcPr>
            <w:tcW w:w="4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10,231</w:t>
            </w:r>
          </w:p>
        </w:tc>
        <w:tc>
          <w:tcPr>
            <w:tcW w:w="3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50,282</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23,378</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Financial income</w:t>
            </w: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670</w:t>
            </w:r>
          </w:p>
        </w:tc>
        <w:tc>
          <w:tcPr>
            <w:tcW w:w="4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860</w:t>
            </w:r>
          </w:p>
        </w:tc>
        <w:tc>
          <w:tcPr>
            <w:tcW w:w="3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1,816</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2,244</w:t>
            </w:r>
          </w:p>
        </w:tc>
      </w:tr>
      <w:tr>
        <w:trPr>
          <w:trHeight w:val="203"/>
        </w:trPr>
        <w:tc>
          <w:tcPr>
            <w:tcW w:w="580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Pre-tax income</w:t>
            </w: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22,286</w:t>
            </w:r>
          </w:p>
        </w:tc>
        <w:tc>
          <w:tcPr>
            <w:tcW w:w="4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11,091</w:t>
            </w:r>
          </w:p>
        </w:tc>
        <w:tc>
          <w:tcPr>
            <w:tcW w:w="3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52,098</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25,622</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Provision for taxes</w:t>
            </w:r>
          </w:p>
        </w:tc>
        <w:tc>
          <w:tcPr>
            <w:tcW w:w="260" w:type="dxa"/>
            <w:vAlign w:val="bottom"/>
          </w:tcPr>
          <w:p>
            <w:pPr>
              <w:spacing w:after="0"/>
              <w:rPr>
                <w:sz w:val="24"/>
                <w:szCs w:val="24"/>
                <w:color w:val="auto"/>
              </w:rPr>
            </w:pP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7,675</w:t>
            </w:r>
          </w:p>
        </w:tc>
        <w:tc>
          <w:tcPr>
            <w:tcW w:w="4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3,757</w:t>
            </w:r>
          </w:p>
        </w:tc>
        <w:tc>
          <w:tcPr>
            <w:tcW w:w="32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17,884</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8,600</w:t>
            </w:r>
          </w:p>
        </w:tc>
      </w:tr>
      <w:tr>
        <w:trPr>
          <w:trHeight w:val="203"/>
        </w:trPr>
        <w:tc>
          <w:tcPr>
            <w:tcW w:w="580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14,611</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7,334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34,214</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17,022</w:t>
            </w:r>
          </w:p>
        </w:tc>
      </w:tr>
      <w:tr>
        <w:trPr>
          <w:trHeight w:val="203"/>
        </w:trPr>
        <w:tc>
          <w:tcPr>
            <w:tcW w:w="580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Earnings per common share (Note 7):</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c>
          <w:tcPr>
            <w:tcW w:w="4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(Note 7):</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22,190</w:t>
            </w:r>
          </w:p>
        </w:tc>
        <w:tc>
          <w:tcPr>
            <w:tcW w:w="4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23,642</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22,186</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24,434</w:t>
            </w:r>
          </w:p>
        </w:tc>
      </w:tr>
      <w:tr>
        <w:trPr>
          <w:trHeight w:val="203"/>
        </w:trPr>
        <w:tc>
          <w:tcPr>
            <w:tcW w:w="5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2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22,517</w:t>
            </w:r>
          </w:p>
        </w:tc>
        <w:tc>
          <w:tcPr>
            <w:tcW w:w="4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23,912</w:t>
            </w:r>
          </w:p>
        </w:tc>
        <w:tc>
          <w:tcPr>
            <w:tcW w:w="32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22,483</w:t>
            </w:r>
          </w:p>
        </w:tc>
        <w:tc>
          <w:tcPr>
            <w:tcW w:w="5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24,630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380"/>
          </w:cols>
          <w:pgMar w:left="240" w:top="925" w:right="279"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WINNEBAGO INDUSTRIES,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UNAUDITED CONSOLIDATED 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20"/>
                <w:szCs w:val="20"/>
                <w:color w:val="auto"/>
              </w:rPr>
            </w:pPr>
            <w:r>
              <w:rPr>
                <w:rFonts w:ascii="Courier New" w:cs="Courier New" w:eastAsia="Courier New" w:hAnsi="Courier New"/>
                <w:sz w:val="18"/>
                <w:szCs w:val="18"/>
                <w:color w:val="auto"/>
              </w:rPr>
              <w:t>Dollars in thousands</w:t>
            </w:r>
          </w:p>
        </w:tc>
        <w:tc>
          <w:tcPr>
            <w:tcW w:w="320" w:type="dxa"/>
            <w:vAlign w:val="bottom"/>
          </w:tcPr>
          <w:p>
            <w:pPr>
              <w:spacing w:after="0"/>
              <w:rPr>
                <w:sz w:val="17"/>
                <w:szCs w:val="17"/>
                <w:color w:val="auto"/>
              </w:rPr>
            </w:pPr>
          </w:p>
        </w:tc>
        <w:tc>
          <w:tcPr>
            <w:tcW w:w="264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6"/>
              </w:rPr>
              <w:t>THIRTY-NINE WEEKS ENDED</w:t>
            </w:r>
          </w:p>
        </w:tc>
      </w:tr>
      <w:tr>
        <w:trPr>
          <w:trHeight w:val="203"/>
        </w:trPr>
        <w:tc>
          <w:tcPr>
            <w:tcW w:w="7060" w:type="dxa"/>
            <w:vAlign w:val="bottom"/>
          </w:tcPr>
          <w:p>
            <w:pPr>
              <w:spacing w:after="0"/>
              <w:rPr>
                <w:sz w:val="17"/>
                <w:szCs w:val="17"/>
                <w:color w:val="auto"/>
              </w:rPr>
            </w:pPr>
          </w:p>
        </w:tc>
        <w:tc>
          <w:tcPr>
            <w:tcW w:w="29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May 29,</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May 30,</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38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34,214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17,022</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 by</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4,212</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4,143</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545</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1,431</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receivable and other assets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(24,877)</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(2,287)</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 inventories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(7,589)</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2,950</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accounts payable and accrued expenses</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9,396</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9,028</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16,746</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20,100</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postretirement benefits</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3,609</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2,559</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(238)</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36,018</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54,946</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by investing activities: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(8,711)</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(3,194)</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dealer receivables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(74,494)</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(44,559)</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Collections of dealer receivables</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57,560</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40,601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2,067</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(4,126)</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investing activities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(23,578)</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(11,278)</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used by financing activities and capital transactions: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for purchase of common stock</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(8,975)</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(19,572)</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Payments of long-term debt</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(695)</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cash dividends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(2,221)</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(2,548)</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1,349</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1,285</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by financing activities and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transactions</w:t>
            </w:r>
          </w:p>
        </w:tc>
        <w:tc>
          <w:tcPr>
            <w:tcW w:w="3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(9,847)</w:t>
            </w:r>
          </w:p>
        </w:tc>
        <w:tc>
          <w:tcPr>
            <w:tcW w:w="3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(21,530)</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 equivalents</w:t>
            </w:r>
          </w:p>
        </w:tc>
        <w:tc>
          <w:tcPr>
            <w:tcW w:w="32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2,593</w:t>
            </w:r>
          </w:p>
        </w:tc>
        <w:tc>
          <w:tcPr>
            <w:tcW w:w="38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22,138</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 of period</w:t>
            </w:r>
          </w:p>
        </w:tc>
        <w:tc>
          <w:tcPr>
            <w:tcW w:w="320" w:type="dxa"/>
            <w:vAlign w:val="bottom"/>
          </w:tcPr>
          <w:p>
            <w:pPr>
              <w:spacing w:after="0"/>
              <w:rPr>
                <w:sz w:val="24"/>
                <w:szCs w:val="24"/>
                <w:color w:val="auto"/>
              </w:rPr>
            </w:pP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53,859</w:t>
            </w:r>
          </w:p>
        </w:tc>
        <w:tc>
          <w:tcPr>
            <w:tcW w:w="38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32,130</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 of period</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56,452</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54,268</w:t>
            </w:r>
          </w:p>
        </w:tc>
      </w:tr>
      <w:tr>
        <w:trPr>
          <w:trHeight w:val="203"/>
        </w:trPr>
        <w:tc>
          <w:tcPr>
            <w:tcW w:w="7060" w:type="dxa"/>
            <w:vAlign w:val="bottom"/>
          </w:tcPr>
          <w:p>
            <w:pPr>
              <w:spacing w:after="0"/>
              <w:rPr>
                <w:sz w:val="17"/>
                <w:szCs w:val="17"/>
                <w:color w:val="auto"/>
              </w:rPr>
            </w:pPr>
          </w:p>
        </w:tc>
        <w:tc>
          <w:tcPr>
            <w:tcW w:w="15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Unaudited Condensed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5" w:name="page6"/>
    <w:bookmarkEnd w:id="5"/>
    <w:p>
      <w:pPr>
        <w:ind w:left="1992"/>
        <w:spacing w:after="0"/>
        <w:rPr>
          <w:sz w:val="20"/>
          <w:szCs w:val="20"/>
          <w:color w:val="auto"/>
        </w:rPr>
      </w:pPr>
      <w:r>
        <w:rPr>
          <w:rFonts w:ascii="Courier New" w:cs="Courier New" w:eastAsia="Courier New" w:hAnsi="Courier New"/>
          <w:sz w:val="18"/>
          <w:szCs w:val="18"/>
          <w:color w:val="auto"/>
        </w:rPr>
        <w:t>WINNEBAGO INDUSTRIES, INC. AND SUBSIDIARIES</w:t>
      </w:r>
    </w:p>
    <w:p>
      <w:pPr>
        <w:ind w:left="952"/>
        <w:spacing w:after="0" w:line="238" w:lineRule="auto"/>
        <w:rPr>
          <w:sz w:val="20"/>
          <w:szCs w:val="20"/>
          <w:color w:val="auto"/>
        </w:rPr>
      </w:pPr>
      <w:r>
        <w:rPr>
          <w:rFonts w:ascii="Courier New" w:cs="Courier New" w:eastAsia="Courier New" w:hAnsi="Courier New"/>
          <w:sz w:val="18"/>
          <w:szCs w:val="18"/>
          <w:color w:val="auto"/>
        </w:rPr>
        <w:t>UNAUDITED CONDENSED NOTES TO CONSOLIDATED FINANCIAL STATEMENTS</w:t>
      </w:r>
    </w:p>
    <w:p>
      <w:pPr>
        <w:spacing w:after="0" w:line="207" w:lineRule="exact"/>
        <w:rPr>
          <w:sz w:val="20"/>
          <w:szCs w:val="20"/>
          <w:color w:val="auto"/>
        </w:rPr>
      </w:pPr>
    </w:p>
    <w:p>
      <w:pPr>
        <w:ind w:left="732" w:right="1999" w:hanging="732"/>
        <w:spacing w:after="0" w:line="237" w:lineRule="auto"/>
        <w:tabs>
          <w:tab w:leader="none" w:pos="7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opinion of management, the accompanying unaudited consolidated condensed financial statements contain all adjustments, consisting of normal recurring accruals, necessary to present fairly the consolidated financial position as of May 29, 1999, the consolidated results of operations for the 39 and 13 weeks ended May 29, 1999 and May 30, 1998, and the consolidated cash flows for the 39 weeks ended May 29, 1999 and May 30, 1998. The results of operations for the 39 weeks ended May 29, 1999, are not necessarily indicative of the results to be expected for the full year.</w:t>
      </w:r>
    </w:p>
    <w:p>
      <w:pPr>
        <w:spacing w:after="0" w:line="213" w:lineRule="exact"/>
        <w:rPr>
          <w:rFonts w:ascii="Courier New" w:cs="Courier New" w:eastAsia="Courier New" w:hAnsi="Courier New"/>
          <w:sz w:val="18"/>
          <w:szCs w:val="18"/>
          <w:color w:val="auto"/>
        </w:rPr>
      </w:pPr>
    </w:p>
    <w:p>
      <w:pPr>
        <w:ind w:left="732" w:right="1879" w:hanging="732"/>
        <w:spacing w:after="0" w:line="236" w:lineRule="auto"/>
        <w:tabs>
          <w:tab w:leader="none" w:pos="7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are valued at the lower of cost or market, with cost being determined under the last-in, first-out (LIFO) method and market defined as net realizable value.</w:t>
      </w:r>
    </w:p>
    <w:p>
      <w:pPr>
        <w:spacing w:after="0" w:line="203"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Inventories are composed of the following (dollars in thousands):</w:t>
      </w:r>
    </w:p>
    <w:p>
      <w:pPr>
        <w:spacing w:after="0" w:line="201" w:lineRule="exact"/>
        <w:rPr>
          <w:sz w:val="20"/>
          <w:szCs w:val="20"/>
          <w:color w:val="auto"/>
        </w:rPr>
      </w:pPr>
    </w:p>
    <w:tbl>
      <w:tblPr>
        <w:tblLayout w:type="fixed"/>
        <w:tblInd w:w="1572"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May 29,</w:t>
            </w:r>
          </w:p>
        </w:tc>
        <w:tc>
          <w:tcPr>
            <w:tcW w:w="148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August 29,</w:t>
            </w:r>
          </w:p>
        </w:tc>
      </w:tr>
      <w:tr>
        <w:trPr>
          <w:trHeight w:val="203"/>
        </w:trPr>
        <w:tc>
          <w:tcPr>
            <w:tcW w:w="3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52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32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21,659</w:t>
            </w:r>
          </w:p>
        </w:tc>
        <w:tc>
          <w:tcPr>
            <w:tcW w:w="52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24,147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process...............</w:t>
            </w:r>
          </w:p>
        </w:tc>
        <w:tc>
          <w:tcPr>
            <w:tcW w:w="3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19,028</w:t>
            </w:r>
          </w:p>
        </w:tc>
        <w:tc>
          <w:tcPr>
            <w:tcW w:w="5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15,328</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3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40,504</w:t>
            </w:r>
          </w:p>
        </w:tc>
        <w:tc>
          <w:tcPr>
            <w:tcW w:w="5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33,384</w:t>
            </w:r>
          </w:p>
        </w:tc>
      </w:tr>
      <w:tr>
        <w:trPr>
          <w:trHeight w:val="203"/>
        </w:trPr>
        <w:tc>
          <w:tcPr>
            <w:tcW w:w="332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81,191</w:t>
            </w:r>
          </w:p>
        </w:tc>
        <w:tc>
          <w:tcPr>
            <w:tcW w:w="5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72,859</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LIFO reserve..................</w:t>
            </w:r>
          </w:p>
        </w:tc>
        <w:tc>
          <w:tcPr>
            <w:tcW w:w="38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(18,169)</w:t>
            </w:r>
          </w:p>
        </w:tc>
        <w:tc>
          <w:tcPr>
            <w:tcW w:w="5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(17,426)</w:t>
            </w:r>
          </w:p>
        </w:tc>
      </w:tr>
      <w:tr>
        <w:trPr>
          <w:trHeight w:val="203"/>
        </w:trPr>
        <w:tc>
          <w:tcPr>
            <w:tcW w:w="332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63,022</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55,433</w:t>
            </w:r>
          </w:p>
        </w:tc>
      </w:tr>
      <w:tr>
        <w:trPr>
          <w:trHeight w:val="203"/>
        </w:trPr>
        <w:tc>
          <w:tcPr>
            <w:tcW w:w="332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732" w:right="1779" w:hanging="732"/>
        <w:spacing w:after="0" w:line="270" w:lineRule="auto"/>
        <w:tabs>
          <w:tab w:leader="none" w:pos="7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1992, the Company has had a financing and security agreement with NationsCredit Corporation (NationsCredit). Terms of the agreement limit borrowings to the lesser of $30,000,000 or 75 percent of eligible inventory (fully manufactured recreation vehicles and motor home chassis and related components). Borrowings are secured by the Company's receivables and inventory. Borrowings under the agreement bear interest at the prime rate, as defined in the agreement, plus 50 basis points. The line of credit is available and continues during successive one-year periods unless either party provides at least 90-days' notice prior to the end of the one-year period to the other party that they wish to terminate the line of credit. The agreement also contains certain restrictive covenants including maintenance of minimum net worth, working capital and current ratio. As of May 29, 1999, the Company was in compliance with these covenants. There were no outstanding borrowings under the line of credit at May 29, 1999 or August 29, 1998.</w:t>
      </w:r>
    </w:p>
    <w:p>
      <w:pPr>
        <w:spacing w:after="0" w:line="386" w:lineRule="exact"/>
        <w:rPr>
          <w:rFonts w:ascii="Courier New" w:cs="Courier New" w:eastAsia="Courier New" w:hAnsi="Courier New"/>
          <w:sz w:val="16"/>
          <w:szCs w:val="16"/>
          <w:color w:val="auto"/>
        </w:rPr>
      </w:pPr>
    </w:p>
    <w:p>
      <w:pPr>
        <w:ind w:left="732" w:right="1779" w:hanging="732"/>
        <w:spacing w:after="0" w:line="238" w:lineRule="auto"/>
        <w:tabs>
          <w:tab w:leader="none" w:pos="7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$198,448,000 and $132,540,000 under repurchase agreements with lending institutions as of May 29, 1999 and August 29, 1998, respectively. Included in these contingent liabilities as of May 29, 1999 and August 29, 1998 are approximately $8,409,000 and $18,623,000, respectively, of certain dealer receivables subject to recourse agreements with NationsCredit and Green Tree Financial Corporation.</w:t>
      </w:r>
    </w:p>
    <w:p>
      <w:pPr>
        <w:spacing w:after="0" w:line="207" w:lineRule="exact"/>
        <w:rPr>
          <w:rFonts w:ascii="Courier New" w:cs="Courier New" w:eastAsia="Courier New" w:hAnsi="Courier New"/>
          <w:sz w:val="18"/>
          <w:szCs w:val="18"/>
          <w:color w:val="auto"/>
        </w:rPr>
      </w:pPr>
    </w:p>
    <w:p>
      <w:pPr>
        <w:ind w:left="732" w:right="2519" w:hanging="732"/>
        <w:spacing w:after="0" w:line="235" w:lineRule="auto"/>
        <w:tabs>
          <w:tab w:leader="none" w:pos="7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periods indicated, the Company paid cash for the following (dollars in thousands):</w:t>
      </w:r>
    </w:p>
    <w:p>
      <w:pPr>
        <w:spacing w:after="0" w:line="203" w:lineRule="exact"/>
        <w:rPr>
          <w:sz w:val="20"/>
          <w:szCs w:val="20"/>
          <w:color w:val="auto"/>
        </w:rPr>
      </w:pPr>
    </w:p>
    <w:tbl>
      <w:tblPr>
        <w:tblLayout w:type="fixed"/>
        <w:tblInd w:w="1572"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300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THIRTY-NINE WEEKS ENDED</w:t>
            </w:r>
          </w:p>
        </w:tc>
      </w:tr>
      <w:tr>
        <w:trPr>
          <w:trHeight w:val="203"/>
        </w:trPr>
        <w:tc>
          <w:tcPr>
            <w:tcW w:w="1540" w:type="dxa"/>
            <w:vAlign w:val="bottom"/>
          </w:tcPr>
          <w:p>
            <w:pPr>
              <w:spacing w:after="0"/>
              <w:rPr>
                <w:sz w:val="17"/>
                <w:szCs w:val="17"/>
                <w:color w:val="auto"/>
              </w:rPr>
            </w:pP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May 29,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30,</w:t>
            </w: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1540" w:type="dxa"/>
            <w:vAlign w:val="bottom"/>
          </w:tcPr>
          <w:p>
            <w:pPr>
              <w:spacing w:after="0"/>
              <w:rPr>
                <w:sz w:val="17"/>
                <w:szCs w:val="17"/>
                <w:color w:val="auto"/>
              </w:rPr>
            </w:pPr>
          </w:p>
        </w:tc>
        <w:tc>
          <w:tcPr>
            <w:tcW w:w="16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364</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4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18,800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6,849</w:t>
            </w:r>
          </w:p>
        </w:tc>
      </w:tr>
      <w:tr>
        <w:trPr>
          <w:trHeight w:val="608"/>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1380" w:type="dxa"/>
            <w:vAlign w:val="bottom"/>
          </w:tcPr>
          <w:p>
            <w:pPr>
              <w:spacing w:after="0"/>
              <w:rPr>
                <w:sz w:val="24"/>
                <w:szCs w:val="24"/>
                <w:color w:val="auto"/>
              </w:rPr>
            </w:pPr>
          </w:p>
        </w:tc>
      </w:tr>
    </w:tbl>
    <w:p>
      <w:pPr>
        <w:sectPr>
          <w:pgSz w:w="11900" w:h="16838" w:orient="portrait"/>
          <w:cols w:equalWidth="0" w:num="1">
            <w:col w:w="10211"/>
          </w:cols>
          <w:pgMar w:left="248" w:top="919" w:right="1440" w:bottom="159" w:gutter="0" w:footer="0" w:header="0"/>
        </w:sectPr>
      </w:pPr>
    </w:p>
    <w:bookmarkStart w:id="6" w:name="page7"/>
    <w:bookmarkEnd w:id="6"/>
    <w:p>
      <w:pPr>
        <w:ind w:left="740" w:right="1779" w:hanging="732"/>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28, 1998, the Company completed the $36,500,000 repurchase of outstanding shares of its common stock authorized by the Board of Directors on December 29, 1997. Under this repurchase program, 3,612,660 shares were repurchased for an aggregate consideration of $36,499,018. A voluntary program for shareholders owning fewer than 100 shares of the Company's common stock was initiated in November, 1998 in which these shareholders could conveniently sell all their shares or purchase enough additional shares to increase their holdings to 100 shares. A total of 60,823 shares were repurchased from 40 percent of eligible shareholders at a cost of approximately $834,000, an average of $13.72 per share. This program was completed in February, 1999.</w:t>
      </w:r>
    </w:p>
    <w:p>
      <w:pPr>
        <w:spacing w:after="0" w:line="215" w:lineRule="exact"/>
        <w:rPr>
          <w:rFonts w:ascii="Courier New" w:cs="Courier New" w:eastAsia="Courier New" w:hAnsi="Courier New"/>
          <w:sz w:val="18"/>
          <w:szCs w:val="18"/>
          <w:color w:val="auto"/>
        </w:rPr>
      </w:pPr>
    </w:p>
    <w:p>
      <w:pPr>
        <w:ind w:left="740" w:right="21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June 17, 1999, the Board of Directors authorized the repurchase of outstanding shares of the Company's common stock for an aggregate purchase price of up to $15,000,000.</w:t>
      </w:r>
    </w:p>
    <w:p>
      <w:pPr>
        <w:spacing w:after="0" w:line="208" w:lineRule="exact"/>
        <w:rPr>
          <w:rFonts w:ascii="Courier New" w:cs="Courier New" w:eastAsia="Courier New" w:hAnsi="Courier New"/>
          <w:sz w:val="18"/>
          <w:szCs w:val="18"/>
          <w:color w:val="auto"/>
        </w:rPr>
      </w:pPr>
    </w:p>
    <w:p>
      <w:pPr>
        <w:ind w:left="740" w:right="1779" w:hanging="732"/>
        <w:spacing w:after="0" w:line="236"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table reflects the calculation of basic and diluted earnings per share for the 13 and 39 weeks ended May 29, 1999 and May 30,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gridSpan w:val="6"/>
          </w:tcPr>
          <w:p>
            <w:pPr>
              <w:jc w:val="right"/>
              <w:spacing w:after="0"/>
              <w:rPr>
                <w:sz w:val="20"/>
                <w:szCs w:val="20"/>
                <w:color w:val="auto"/>
              </w:rPr>
            </w:pPr>
            <w:r>
              <w:rPr>
                <w:rFonts w:ascii="Courier New" w:cs="Courier New" w:eastAsia="Courier New" w:hAnsi="Courier New"/>
                <w:sz w:val="18"/>
                <w:szCs w:val="18"/>
                <w:color w:val="auto"/>
              </w:rPr>
              <w:t>IN THOUSANDS EXCEPT PER SHARE DATA</w:t>
            </w:r>
          </w:p>
        </w:tc>
        <w:tc>
          <w:tcPr>
            <w:tcW w:w="90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THIRTEEN WEEKS ENDED</w:t>
            </w:r>
          </w:p>
        </w:tc>
        <w:tc>
          <w:tcPr>
            <w:tcW w:w="320" w:type="dxa"/>
            <w:vAlign w:val="bottom"/>
          </w:tcPr>
          <w:p>
            <w:pPr>
              <w:spacing w:after="0"/>
              <w:rPr>
                <w:sz w:val="17"/>
                <w:szCs w:val="17"/>
                <w:color w:val="auto"/>
              </w:rPr>
            </w:pP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THIRTY-NINE WEEKS ENDED</w:t>
            </w:r>
          </w:p>
        </w:tc>
      </w:tr>
      <w:tr>
        <w:trPr>
          <w:trHeight w:val="203"/>
        </w:trPr>
        <w:tc>
          <w:tcPr>
            <w:tcW w:w="43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71"/>
              </w:rPr>
              <w:t>------------------------</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MAY 29,</w:t>
            </w:r>
          </w:p>
        </w:tc>
        <w:tc>
          <w:tcPr>
            <w:tcW w:w="3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MAY 30,</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MAY 29,</w:t>
            </w:r>
          </w:p>
        </w:tc>
        <w:tc>
          <w:tcPr>
            <w:tcW w:w="36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MAY 30,</w:t>
            </w:r>
          </w:p>
        </w:tc>
      </w:tr>
      <w:tr>
        <w:trPr>
          <w:trHeight w:val="203"/>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380" w:type="dxa"/>
            <w:vAlign w:val="bottom"/>
          </w:tcPr>
          <w:p>
            <w:pPr>
              <w:spacing w:after="0"/>
              <w:rPr>
                <w:sz w:val="17"/>
                <w:szCs w:val="17"/>
                <w:color w:val="auto"/>
              </w:rPr>
            </w:pPr>
          </w:p>
        </w:tc>
        <w:tc>
          <w:tcPr>
            <w:tcW w:w="11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c>
          <w:tcPr>
            <w:tcW w:w="3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1999</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14,611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7,334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34,214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17,022</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3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22,190</w:t>
            </w:r>
          </w:p>
        </w:tc>
        <w:tc>
          <w:tcPr>
            <w:tcW w:w="3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23,642</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22,186</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24,434</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basic</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EARNINGS PER SHARE - ASSUMING DILUTION:</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14,611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7,334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34,214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17,022</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outstanding</w:t>
            </w:r>
          </w:p>
        </w:tc>
        <w:tc>
          <w:tcPr>
            <w:tcW w:w="3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22,190</w:t>
            </w:r>
          </w:p>
        </w:tc>
        <w:tc>
          <w:tcPr>
            <w:tcW w:w="3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23,642</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22,186</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24,434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impact of options outstanding</w:t>
            </w:r>
          </w:p>
        </w:tc>
        <w:tc>
          <w:tcPr>
            <w:tcW w:w="3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327</w:t>
            </w:r>
          </w:p>
        </w:tc>
        <w:tc>
          <w:tcPr>
            <w:tcW w:w="3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297</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&amp; potential</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dilutive shares outstanding</w:t>
            </w:r>
          </w:p>
        </w:tc>
        <w:tc>
          <w:tcPr>
            <w:tcW w:w="36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22,517</w:t>
            </w:r>
          </w:p>
        </w:tc>
        <w:tc>
          <w:tcPr>
            <w:tcW w:w="3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23,912</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22,483</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24,630</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assuming dilution</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38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There were options to purchase 14,000 shares of common stock outstanding at a price of $15.375 per share during the 13 weeks ended May 29, 1999 which were not included in the computation of diluted earnings per share because the options' exercise price was greater than the average market price of the common shares.</w:t>
      </w:r>
    </w:p>
    <w:p>
      <w:pPr>
        <w:spacing w:after="0" w:line="209" w:lineRule="exact"/>
        <w:rPr>
          <w:sz w:val="20"/>
          <w:szCs w:val="20"/>
          <w:color w:val="auto"/>
        </w:rPr>
      </w:pPr>
    </w:p>
    <w:p>
      <w:pPr>
        <w:ind w:left="740" w:right="1999" w:hanging="732"/>
        <w:spacing w:after="0" w:line="273" w:lineRule="auto"/>
        <w:tabs>
          <w:tab w:leader="none" w:pos="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was required to adopt Statement of Financial Accounting Standards ("SFAS") No. 130, "Reporting Comprehensive Income" at the beginning of fiscal 1999. The statement requires companies to disclose comprehensive income and its components in their financial statements. The Company has no items of comprehensive income other than net income.</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7" w:name="page8"/>
    <w:bookmarkEnd w:id="7"/>
    <w:p>
      <w:pPr>
        <w:ind w:right="241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Thirteen Weeks Ended May 29, 1999 Compared to Thirteen Weeks Ended May 30, 1998</w:t>
      </w:r>
    </w:p>
    <w:p>
      <w:pPr>
        <w:spacing w:after="0" w:line="22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revenues for the 13 weeks ended May 29, 1999 were $191,546,000 an increase of $41,031,000 or 27.3 percent from the 13 week period ended May 30, 1998. Motor home shipments (Class A and C) were 2,981 units, an increase of 427 units, or 16.7 percent, during the third quarter of fiscal 1999 compared to the third quarter of fiscal 1998. The difference in percentages when comparing the percent increase in revenue dollars for the third quarter of fiscal 1999 to the percent increase in unit shipments for the third quarter of fiscal 1999 was caused by the shipments of more units with slide-out features and the demand for the Company's new high-line (Ultimate) unit. Market conditions for the Company's motor home products as well as in the recreation vehicle industry in general continue to remain very favorable due to low interest rates, low fuel prices, and very high consumer confidence levels. As of May 29, 1999, the Company's order backlog of Class A and Class C motor homes was approximately 2,200 orders, an increase of 170 percent, when compared to the orders on hand at the close of the third quarter in fiscal 1998. The Company includes in its backlog all accepted purchase orders from dealers shippable within the next six months. Orders in backlog can be canceled at the option of the purchaser at any time without penalty and, therefore, backlog may not necessarily be a measure of future sales.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profit, as a percent of net revenues, was 17.6 percent for the 13 weeks ended May 29, 1999 compared to 13.9 percent for the 13 weeks ended May 30, 1998. The Company's gross profit percentage increased as a result of higher volume of motor homes and favorable product mix change during the third quarter of fiscal 1999.</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and delivery expenses were $5,997,000 or 3.1 percent of net revenues during the third quarter of fiscal 1999 compared to $4,645,000 or 3.1 percent of net revenues during the third quarter of fiscal 1998. The increase in dollars can be attributed primarily to the Company's increased advertising expenses during the third quarter of fiscal 1999. The difference is also partially attributed to a reclassification to general and administrative expenses of approximately $570,000 in the Company's dealer recourse reserve during the third quarter of fiscal 1998.</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General and administrative expenses were $6,129,000 or 3.2 percent of net revenues during the 13 weeks ended May 29, 1999 compared to $6,029,000 or 4.0 percent of net revenues during the 13 weeks ended May 30, 1998. The increase in dollars can be attributed to increases in the Company's employee incentive programs during the third quarter of fiscal 1999, partially offset by a reclassification and increase in bad debt reserves recorded during the third quarter of fiscal 1998. Increased sales volume during the third quarter of fiscal 1999 contributed to the decrease in percentage.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had net financial income of $670,000 for the third quarter of fiscal 1999 compared to net financial income of $860,000 for the comparable quarter of fiscal 1998. During the 13 weeks ended May 29, 1999, the Company recorded $639,000 of net interest income and gains of $31,000 in foreign currency transactions. During the 13 weeks ended May 30, 1998, the Company recorded $719,000 of net interest income and gains of $141,000 in foreign currency transactions.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third quarter ended May 29, 1999, the Company had net income of</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$14,611,000, or $.65 per diluted share, compared to the third quarter ended May 30, 1998's net income of $7,334,000, or $.31 per diluted share. Net income increased by 99.2 percent when comparing the third quarter of fiscal 1999 to the third quarter of fiscal 1998 but increased by 109.7 percent on a per diluted share basis when comparing the two quarters due to fewer shares of the Company's common stock being outstanding during the third quarter of fiscal 1999. See Notes 6 and 7.</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8" w:name="page9"/>
    <w:bookmarkEnd w:id="8"/>
    <w:p>
      <w:pPr>
        <w:ind w:right="1779"/>
        <w:spacing w:after="0" w:line="235" w:lineRule="auto"/>
        <w:rPr>
          <w:sz w:val="20"/>
          <w:szCs w:val="20"/>
          <w:color w:val="auto"/>
        </w:rPr>
      </w:pPr>
      <w:r>
        <w:rPr>
          <w:rFonts w:ascii="Courier New" w:cs="Courier New" w:eastAsia="Courier New" w:hAnsi="Courier New"/>
          <w:sz w:val="18"/>
          <w:szCs w:val="18"/>
          <w:color w:val="auto"/>
        </w:rPr>
        <w:t>Thirty-Nine Weeks Ended May 29, 1999 Compared to Thirty-Nine Weeks Ended May 30, 1998</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revenues for the 39 weeks ended May 29, 1999 were $503,342,000, an increase of $108,222,000, or 27.4 percent from the 39 week period ended May 30, 1998. Motor home shipments (Class A and C) were 7,732 units, an increase of 1,107 units, or 16.7 percent, during the 39 weeks ended May 29, 1999 when compared to the 39 weeks ended May 30, 1998. The differences in percentages when comparing the percent increase in revenue dollars for the 39 weeks ended May 29, 1999 to the percent increase in unit shipments for the 39 weeks ended May 29, 1999 was caused by the shipments of more units with slide-out features and the demand for the Company's new high-line (Ultimate) unit. Industry demand for motorized recreation vehicles remained strong during the 39 weeks ended May 29, 1999 and the Company's 1999 products continued to be well received by dealers and retail customers.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profit, as a percent of net revenues, was 16.5 percent for the 39 weeks ended May 29, 1999 compared to 13.6 percent for the 39 weeks ended May 30, 1998. The Company's gross profit percentage increased as a result of higher volume of motor homes and favorable product mix change during the 39 weeks ended May 29, 1999.</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Selling and delivery expenses were $16,593,000 or 3.3 percent of net revenues during the 39 weeks ended May 29, 1999 compared to $14,564,000 or 3.7 percent of net revenues during the 39 weeks ended May 30, 1998. The increase in dollars can be attributed primarily to increases in advertising as well as to an increase in delivery expense during the 39 weeks ended May 29, 1999 when compared to the comparable period of fiscal 1998. Increased sales volume, during the 39 weeks ended May 29, 1999, contributed to the decrease in percentage.</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were $16,112,000 or 3.2 percent of net revenues during the 39 weeks ended May 29, 1999 compared to $15,741,000 or 4.0 percent of net revenues during the 39 weeks ended May 30, 1998. Increases in the Company's employee incentive programs during the fiscal 1999 period primarily contributed to the dollar increase when comparing the two nine-month periods. Partially offsetting the dollar increase in general and administrative expenses was monies the Company received and recorded during the 39 weeks ended May 29, 1999 on a previously fully reserved receivable that was repaid to the Company. Increased sales volume, during the 39 weeks ended May 29, 1999, contributed to the decrease in percentage.</w:t>
      </w: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had net financial income of $1,816,000 for the 39 weeks ended May 29, 1999 compared to net financial income of $2,244,000 for the 39 weeks ended May 30, 1998. During the 39 weeks ended May 29, 1999, the Company recorded $1,844,000 of net interest income and losses of $28,000 in foreign currency transactions. During the 39 weeks ended May 30, 1998, the Company recorded $2,090,000 of net interest income and gains of $154,000 in foreign currency transactions.</w:t>
      </w:r>
    </w:p>
    <w:p>
      <w:pPr>
        <w:spacing w:after="0" w:line="21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For the nine-month period of fiscal 1999, the Company recorded net income of $34,214,000, or $1.52 per diluted share, compared to the nine-month period of fiscal 1998's net income of $17,022,000, or $.69 per diluted share. Net income increased by 101.0 percent when comparing the two nine-month periods but increased by 120.3 percent on a per diluted share basis when comparing the two nine-month periods due to fewer shares of the Company's common stock being outstanding during the 39 week period ended May 29, 1999. See Notes 6 and 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FINANCIAL CONDITION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meets its working capital requirements, capital equipment requirements and cash requirements of subsidiaries with funds generated internally. At May 29, 1999, working capital was $117,249,000, an increase of $25,330,000 from the amount at August 29, 1998. The Company's principal use of cash during the 39 weeks ended May 29, 1999 were an increase of $74,494,000 of dealer receivables, $8,975,000 for the repurchase of shares of the Company's common stock, and $8,711,000 for</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purchases of property and equipment. The Company's principal sources of cash during the 39 weeks ended May 29, 1999 was cash flow from operations and the collection of $57,560,000 in dealer receivables. The Company's sources and uses of cash during the 39 weeks ended May 29, 1999 are set forth in the unaudited consolidated statement of cash flows for that period.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Principal known demands at May 29, 1999 on the Company's liquid assets for the remainder of fiscal 1999 include approximately $1,500,000 of capital expenditures (primarily equipment replacement) and approximately $2,200,000 of cash dividends declared by the Board of Directors on March 18, 1999 (payable on July 2, 1999 to shareholders of record as of June 4, 1999).</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Management currently expects its cash on hand and funds from operations to be sufficient to cover both short-term and long-term operating requirements.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CHANGES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Segment Disclosures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SFAS No. 131, "Disclosures about Segment of and Enterprise and Related Information" was issued in June 1997 and will be adopted by the Company in the fourth quarter of fiscal 1999. The statement establishes standards, which redefine how operating segments are determined, and requires public companies to report financial and descriptive information about reportable operating segments.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and Other Postretirement Benefits Disclosure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SFAS No. 132, "Employer's Disclosure About Pensions and Other Postretirement Benefits" was issued in February 1998 and will be adopted by the Company in the fourth quarter of fiscal 1999. The statement revises employer' s disclosures about pension and other postretirement benefit plans. It does not change the measurement or recognition of those plans.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for Derivative Instruments and Hedging Activities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SFAS No. 133, "Accounting for Derivative Instruments and Hedging Activities" was issued in June 1998 and must be adopted by the Company no later than fiscal 2001. This statement requires that an entity recognizes all derivatives as either assets or liabilities in the statement of financial position and measure these instruments at fair value.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has not completed the process of evaluating the effects of SFAS No. 131, SFAS No. 132 or SFAS No. 133. Since all these pronouncements, except for SFAS No. 133, relate primarily to changes in disclosure requirements, the Company does not believe the new requirements will significantly affect its financial condition or operating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availability of chassis, demand from customers, effects of competition, the general state of the economy, interest rates, consumer confidence, changes in the product or customer mix or revenues and in the level of operating expenses and other factors which may be disclosed throughout this Form 10-Q. Any forecasts and projections in this report are "forward looking statements," and are based on management's current expectations of the Company's near term results, based on current information available pertaining to the Company, including the aforementioned risk factors. Actual results could differ materially.</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YEAR 2000 (Y2K) COMPLIANCE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has conducted a comprehensive review of its computer systems that could be affected by the "Year 2000" issue and began an implementation plan in 1996 to resolve this issue. As the Company was reviewing its needs to be Y2K compliant the Company discovered that software systems, for its Finance and Human Resources needs were already Y2K compliant. With respect to other systems, the Company decided to make corrections for compliance by programming rather than through file conversion. The program corrections were completed in May 1998. All programs are tested individually and in a systems test mode. For all practical purposes the Company has completed this testing and believes it is Y2K compliant. The Company will continue to test personal computers used within the Company on an individual basis and expects to have this testing completed during the fourth quarter of the Company's 1999 fiscal year.</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Company's Plant Engineering and Maintenance Department was charged with the assessment and remediation of any Y2K problems in plant production equipment and in any building infrastructure equipment. Each machine will be checked individually and steps taken at that time to update for Y2K compliance. The completion of this project is scheduled for July 1999 and is on schedule.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Purchasing and Information Systems Departments have contacted all of the Company's major suppliers to determine their readiness for their compliance with the Y2K issue. The responses are being monitored and the Purchasing Department will contact any major supplier that has reported they may have a problem with being Y2K compliant by the start of the calendar year 2000. The largest exposure appears to be the Company's interface with chassis manufacturers for order processing. The Company believes these order processing systems to be year 2000 compliant based on statements from representatives of the companies involved. The chassis suppliers have also advised the Company that the chassis are year 2000 compliant.</w:t>
      </w:r>
    </w:p>
    <w:p>
      <w:pPr>
        <w:spacing w:after="0" w:line="21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Company does not believe that possible noncompliance with Y2K issues by its dealers will have a material impact on the ability of its dealers to purchase and sell products of the Company.</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total cost associated with the modifications required to be Y2K compliant are not expected to exceed $300,000 of which approximately $280,000 has been expensed ($30,000 in fiscal 1999).</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At this time, the Company believes it has addressed all Y2K issues that may arise, therefore, no contingency plan has been developed. If during the Company's in-house testing or if information is received from an outside source that they would be unable to be Y2K compliant, the Company will then develop an appropriate contingency plan to address Y2K problems that may arise.</w:t>
      </w:r>
    </w:p>
    <w:p>
      <w:pPr>
        <w:spacing w:after="0" w:line="18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Readers are cautioned that forward-looking statements contained in the Y2K update should be read in conjunction with the Company's disclosures under the heading: "FORWARD LOOKING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900" w:hanging="944"/>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See Exhibit Index on page 13.</w:t>
      </w:r>
    </w:p>
    <w:p>
      <w:pPr>
        <w:spacing w:after="0" w:line="206" w:lineRule="exact"/>
        <w:rPr>
          <w:rFonts w:ascii="Courier New" w:cs="Courier New" w:eastAsia="Courier New" w:hAnsi="Courier New"/>
          <w:sz w:val="18"/>
          <w:szCs w:val="18"/>
          <w:color w:val="auto"/>
        </w:rPr>
      </w:pPr>
    </w:p>
    <w:p>
      <w:pPr>
        <w:ind w:left="1900" w:right="2099" w:hanging="944"/>
        <w:spacing w:after="0" w:line="23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reports on Form 8-K during the period covered by this report.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8"/>
          <w:szCs w:val="18"/>
          <w:color w:val="auto"/>
        </w:rPr>
        <w:t>July 2, 1999</w:t>
      </w:r>
    </w:p>
    <w:p>
      <w:pPr>
        <w:spacing w:after="0" w:line="4"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Bruce D. Hertzke</w:t>
      </w:r>
    </w:p>
    <w:p>
      <w:pPr>
        <w:ind w:left="100"/>
        <w:spacing w:after="0" w:line="238" w:lineRule="auto"/>
        <w:rPr>
          <w:sz w:val="20"/>
          <w:szCs w:val="20"/>
          <w:color w:val="auto"/>
        </w:rPr>
      </w:pPr>
      <w:r>
        <w:rPr>
          <w:rFonts w:ascii="Courier New" w:cs="Courier New" w:eastAsia="Courier New" w:hAnsi="Courier New"/>
          <w:sz w:val="18"/>
          <w:szCs w:val="18"/>
          <w:color w:val="auto"/>
        </w:rPr>
        <w:t>Chairman of the Board, Chief Executive</w:t>
      </w:r>
    </w:p>
    <w:p>
      <w:pPr>
        <w:ind w:left="100"/>
        <w:spacing w:after="0"/>
        <w:rPr>
          <w:sz w:val="20"/>
          <w:szCs w:val="20"/>
          <w:color w:val="auto"/>
        </w:rPr>
      </w:pPr>
      <w:r>
        <w:rPr>
          <w:rFonts w:ascii="Courier New" w:cs="Courier New" w:eastAsia="Courier New" w:hAnsi="Courier New"/>
          <w:sz w:val="18"/>
          <w:szCs w:val="18"/>
          <w:color w:val="auto"/>
        </w:rPr>
        <w:t>Officer, and President</w:t>
      </w:r>
    </w:p>
    <w:p>
      <w:pPr>
        <w:ind w:left="62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420" w:space="120"/>
            <w:col w:w="2760" w:space="720"/>
            <w:col w:w="61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8"/>
          <w:szCs w:val="18"/>
          <w:color w:val="auto"/>
        </w:rPr>
        <w:t>July 2, 1999</w:t>
      </w:r>
    </w:p>
    <w:p>
      <w:pPr>
        <w:spacing w:after="0" w:line="4"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 Chief Financial Officer</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3">
            <w:col w:w="420" w:space="120"/>
            <w:col w:w="2760" w:space="720"/>
            <w:col w:w="6199"/>
          </w:cols>
          <w:pgMar w:left="240" w:top="919"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919" w:right="1440" w:bottom="1440" w:gutter="0" w:footer="0" w:header="0"/>
          <w:type w:val="continuous"/>
        </w:sectPr>
      </w:pPr>
    </w:p>
    <w:bookmarkStart w:id="13" w:name="page14"/>
    <w:bookmarkEnd w:id="1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18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10j.</w:t>
      </w:r>
      <w:r>
        <w:rPr>
          <w:sz w:val="20"/>
          <w:szCs w:val="20"/>
          <w:color w:val="auto"/>
        </w:rPr>
        <w:tab/>
      </w:r>
      <w:r>
        <w:rPr>
          <w:rFonts w:ascii="Courier New" w:cs="Courier New" w:eastAsia="Courier New" w:hAnsi="Courier New"/>
          <w:sz w:val="18"/>
          <w:szCs w:val="18"/>
          <w:color w:val="auto"/>
        </w:rPr>
        <w:t>Amended and restated Winnebago Industries, Inc. Executive Share Option Plan.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8"/>
          <w:szCs w:val="18"/>
          <w:color w:val="auto"/>
        </w:rPr>
        <w:t>EXHIBIT 10j.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2860"/>
        <w:spacing w:after="0" w:line="238" w:lineRule="auto"/>
        <w:rPr>
          <w:sz w:val="20"/>
          <w:szCs w:val="20"/>
          <w:color w:val="auto"/>
        </w:rPr>
      </w:pPr>
      <w:r>
        <w:rPr>
          <w:rFonts w:ascii="Courier New" w:cs="Courier New" w:eastAsia="Courier New" w:hAnsi="Courier New"/>
          <w:sz w:val="18"/>
          <w:szCs w:val="18"/>
          <w:color w:val="auto"/>
        </w:rPr>
        <w:t>EXECUTIVE SHARE OPTION PLAN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(Amended and Restated Effective July 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spacing w:after="0"/>
        <w:tabs>
          <w:tab w:leader="none" w:pos="8000" w:val="left"/>
        </w:tabs>
        <w:rPr>
          <w:sz w:val="20"/>
          <w:szCs w:val="20"/>
          <w:color w:val="auto"/>
        </w:rPr>
      </w:pPr>
      <w:r>
        <w:rPr>
          <w:rFonts w:ascii="Courier New" w:cs="Courier New" w:eastAsia="Courier New" w:hAnsi="Courier New"/>
          <w:sz w:val="18"/>
          <w:szCs w:val="18"/>
          <w:color w:val="auto"/>
        </w:rPr>
        <w:t>ARTICLE</w:t>
      </w:r>
      <w:r>
        <w:rPr>
          <w:sz w:val="20"/>
          <w:szCs w:val="20"/>
          <w:color w:val="auto"/>
        </w:rPr>
        <w:tab/>
      </w:r>
      <w:r>
        <w:rPr>
          <w:rFonts w:ascii="Courier New" w:cs="Courier New" w:eastAsia="Courier New" w:hAnsi="Courier New"/>
          <w:sz w:val="16"/>
          <w:szCs w:val="16"/>
          <w:color w:val="auto"/>
        </w:rPr>
        <w:t>PAGE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PURPOSE</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DEFINITIONS AND CONSTRUCTION</w:t>
      </w:r>
      <w:r>
        <w:rPr>
          <w:sz w:val="20"/>
          <w:szCs w:val="20"/>
          <w:color w:val="auto"/>
        </w:rPr>
        <w:tab/>
      </w:r>
      <w:r>
        <w:rPr>
          <w:rFonts w:ascii="Courier New" w:cs="Courier New" w:eastAsia="Courier New" w:hAnsi="Courier New"/>
          <w:sz w:val="16"/>
          <w:szCs w:val="16"/>
          <w:color w:val="auto"/>
        </w:rPr>
        <w:t>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III</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OPTION GRANT</w:t>
      </w:r>
      <w:r>
        <w:rPr>
          <w:sz w:val="20"/>
          <w:szCs w:val="20"/>
          <w:color w:val="auto"/>
        </w:rPr>
        <w:tab/>
      </w:r>
      <w:r>
        <w:rPr>
          <w:rFonts w:ascii="Courier New" w:cs="Courier New" w:eastAsia="Courier New" w:hAnsi="Courier New"/>
          <w:sz w:val="16"/>
          <w:szCs w:val="16"/>
          <w:color w:val="auto"/>
        </w:rPr>
        <w:t>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IV</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OPTION EXERCISE</w:t>
      </w:r>
      <w:r>
        <w:rPr>
          <w:sz w:val="20"/>
          <w:szCs w:val="20"/>
          <w:color w:val="auto"/>
        </w:rPr>
        <w:tab/>
      </w:r>
      <w:r>
        <w:rPr>
          <w:rFonts w:ascii="Courier New" w:cs="Courier New" w:eastAsia="Courier New" w:hAnsi="Courier New"/>
          <w:sz w:val="16"/>
          <w:szCs w:val="16"/>
          <w:color w:val="auto"/>
        </w:rPr>
        <w:t>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AMENDMENT OR TERMINATION</w:t>
      </w:r>
      <w:r>
        <w:rPr>
          <w:sz w:val="20"/>
          <w:szCs w:val="20"/>
          <w:color w:val="auto"/>
        </w:rPr>
        <w:tab/>
      </w:r>
      <w:r>
        <w:rPr>
          <w:rFonts w:ascii="Courier New" w:cs="Courier New" w:eastAsia="Courier New" w:hAnsi="Courier New"/>
          <w:sz w:val="16"/>
          <w:szCs w:val="16"/>
          <w:color w:val="auto"/>
        </w:rPr>
        <w:t>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w:t>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ADMINISTRATION</w:t>
      </w:r>
      <w:r>
        <w:rPr>
          <w:sz w:val="20"/>
          <w:szCs w:val="20"/>
          <w:color w:val="auto"/>
        </w:rPr>
        <w:tab/>
      </w:r>
      <w:r>
        <w:rPr>
          <w:rFonts w:ascii="Courier New" w:cs="Courier New" w:eastAsia="Courier New" w:hAnsi="Courier New"/>
          <w:sz w:val="16"/>
          <w:szCs w:val="16"/>
          <w:color w:val="auto"/>
        </w:rPr>
        <w:t>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VII</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TRUST PROVISIONS</w:t>
      </w:r>
      <w:r>
        <w:rPr>
          <w:sz w:val="20"/>
          <w:szCs w:val="20"/>
          <w:color w:val="auto"/>
        </w:rPr>
        <w:tab/>
      </w:r>
      <w:r>
        <w:rPr>
          <w:rFonts w:ascii="Courier New" w:cs="Courier New" w:eastAsia="Courier New" w:hAnsi="Courier New"/>
          <w:sz w:val="16"/>
          <w:szCs w:val="16"/>
          <w:color w:val="auto"/>
        </w:rPr>
        <w:t>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VIII</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MISCELLANEOUS PROVISIONS</w:t>
      </w:r>
      <w:r>
        <w:rPr>
          <w:sz w:val="20"/>
          <w:szCs w:val="20"/>
          <w:color w:val="auto"/>
        </w:rPr>
        <w:tab/>
      </w:r>
      <w:r>
        <w:rPr>
          <w:rFonts w:ascii="Courier New" w:cs="Courier New" w:eastAsia="Courier New" w:hAnsi="Courier New"/>
          <w:sz w:val="16"/>
          <w:szCs w:val="16"/>
          <w:color w:val="auto"/>
        </w:rPr>
        <w:t>10</w:t>
      </w:r>
    </w:p>
    <w:p>
      <w:pPr>
        <w:sectPr>
          <w:pgSz w:w="11900" w:h="16838" w:orient="portrait"/>
          <w:cols w:equalWidth="0" w:num="1">
            <w:col w:w="10219"/>
          </w:cols>
          <w:pgMar w:left="240" w:top="339" w:right="1440" w:bottom="1440" w:gutter="0" w:footer="0" w:header="0"/>
        </w:sectPr>
      </w:pPr>
    </w:p>
    <w:bookmarkStart w:id="15" w:name="page16"/>
    <w:bookmarkEnd w:id="15"/>
    <w:p>
      <w:pPr>
        <w:ind w:left="2860"/>
        <w:spacing w:after="0"/>
        <w:rPr>
          <w:sz w:val="20"/>
          <w:szCs w:val="20"/>
          <w:color w:val="auto"/>
        </w:rPr>
      </w:pPr>
      <w:r>
        <w:rPr>
          <w:rFonts w:ascii="Courier New" w:cs="Courier New" w:eastAsia="Courier New" w:hAnsi="Courier New"/>
          <w:sz w:val="18"/>
          <w:szCs w:val="18"/>
          <w:color w:val="auto"/>
        </w:rPr>
        <w:t>WINNEBAGO INDUSTRIES, INC.</w:t>
      </w:r>
    </w:p>
    <w:p>
      <w:pPr>
        <w:ind w:left="2860"/>
        <w:spacing w:after="0" w:line="238" w:lineRule="auto"/>
        <w:rPr>
          <w:sz w:val="20"/>
          <w:szCs w:val="20"/>
          <w:color w:val="auto"/>
        </w:rPr>
      </w:pPr>
      <w:r>
        <w:rPr>
          <w:rFonts w:ascii="Courier New" w:cs="Courier New" w:eastAsia="Courier New" w:hAnsi="Courier New"/>
          <w:sz w:val="18"/>
          <w:szCs w:val="18"/>
          <w:color w:val="auto"/>
        </w:rPr>
        <w:t>EXECUTIVE SHARE OPTION PLAN</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1.1 PURPOSE. The purpose of the Plan is to provide stock options to certain key individuals, commensurate with their contributions to the success of the Employer, in a form that will provide incentives and rewards for superior performance, encourage the recipients to continue in the employment of the Employer, and allow the recipients to diversify their investment portfolios.</w:t>
      </w:r>
    </w:p>
    <w:p>
      <w:pPr>
        <w:spacing w:after="0" w:line="185"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1.2 INTENT. The Plan is intended to be a nonqualified stock option plan within the meaning of section 83 of the Code. The Plan is not intended to be a plan covered by the Employee Retirement Income Security Act of 1974, as amended.</w:t>
      </w:r>
    </w:p>
    <w:p>
      <w:pPr>
        <w:spacing w:after="0" w:line="37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DEFINITIONS AND CONSTRUCTION</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As used herein, the following capitalized words and phrases shall have the respective meanings set forth below</w:t>
      </w:r>
    </w:p>
    <w:p>
      <w:pPr>
        <w:spacing w:after="0" w:line="208" w:lineRule="exact"/>
        <w:rPr>
          <w:sz w:val="20"/>
          <w:szCs w:val="20"/>
          <w:color w:val="auto"/>
        </w:rPr>
      </w:pPr>
    </w:p>
    <w:p>
      <w:pPr>
        <w:jc w:val="both"/>
        <w:ind w:right="2839" w:firstLine="948"/>
        <w:spacing w:after="0" w:line="236" w:lineRule="auto"/>
        <w:rPr>
          <w:sz w:val="20"/>
          <w:szCs w:val="20"/>
          <w:color w:val="auto"/>
        </w:rPr>
      </w:pPr>
      <w:r>
        <w:rPr>
          <w:rFonts w:ascii="Courier New" w:cs="Courier New" w:eastAsia="Courier New" w:hAnsi="Courier New"/>
          <w:sz w:val="18"/>
          <w:szCs w:val="18"/>
          <w:color w:val="auto"/>
        </w:rPr>
        <w:t>2.1 "BENEFICIARY" means the person or persons designated by a Participant, pursuant to Section 3.7, to exercise an Option after the Participant's death.</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2.2 "BOARD OF DIRECTORS" or "BOARD" means the board of directors of the</w:t>
      </w:r>
    </w:p>
    <w:p>
      <w:pPr>
        <w:spacing w:after="0" w:line="238" w:lineRule="auto"/>
        <w:rPr>
          <w:sz w:val="20"/>
          <w:szCs w:val="20"/>
          <w:color w:val="auto"/>
        </w:rPr>
      </w:pPr>
      <w:r>
        <w:rPr>
          <w:rFonts w:ascii="Courier New" w:cs="Courier New" w:eastAsia="Courier New" w:hAnsi="Courier New"/>
          <w:sz w:val="18"/>
          <w:szCs w:val="18"/>
          <w:color w:val="auto"/>
        </w:rPr>
        <w:t>Employer.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2.3 "CHANGE OF CONTROL" for the purposes of the Plan shall mean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 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purpose of the definition "Change of Control:"</w:t>
      </w:r>
    </w:p>
    <w:p>
      <w:pPr>
        <w:spacing w:after="0" w:line="207" w:lineRule="exact"/>
        <w:rPr>
          <w:sz w:val="20"/>
          <w:szCs w:val="20"/>
          <w:color w:val="auto"/>
        </w:rPr>
      </w:pPr>
    </w:p>
    <w:p>
      <w:pPr>
        <w:ind w:right="1779" w:firstLine="956"/>
        <w:spacing w:after="0" w:line="270"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means (i) any member of the Board of Directors of the Company, while such person is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16" w:name="page17"/>
    <w:bookmarkEnd w:id="16"/>
    <w:p>
      <w:pPr>
        <w:ind w:right="177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Person" means any person or any individual or group of Affiliates or Associates of such Person who acquires the beneficial ownership, directly or indirectly, of 20% or more of the outstanding stock of the Company if such acquisition occurs in whole or in part, except that the term "Acquiring Person" shall not include a Hanson Family Member or an Affiliate or Associate of a Hanson Family Member.</w:t>
      </w:r>
    </w:p>
    <w:p>
      <w:pPr>
        <w:spacing w:after="0" w:line="209"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a person that directly or indirectly through one or more intermediaries, controls, or is controlled by, or is under common control with, the person specified.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any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advisor.</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"Hanson Family Member" means John K. Hanson and Luise V. Hanson (and the executors or administrators of their estates), their lineal descendants (and the executors or administrators of their estates), the spouses of their lineal descendants (and the executors or administrators of their estates), and the John K. and Luise V. Hanson Foundation.</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Winnebago Inc., an Iowa corporation.</w:t>
      </w:r>
    </w:p>
    <w:p>
      <w:pPr>
        <w:spacing w:after="0" w:line="206" w:lineRule="exact"/>
        <w:rPr>
          <w:rFonts w:ascii="Courier New" w:cs="Courier New" w:eastAsia="Courier New" w:hAnsi="Courier New"/>
          <w:sz w:val="18"/>
          <w:szCs w:val="18"/>
          <w:color w:val="auto"/>
        </w:rPr>
      </w:pPr>
    </w:p>
    <w:p>
      <w:pPr>
        <w:ind w:right="2099" w:firstLine="956"/>
        <w:spacing w:after="0" w:line="236"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corporation, limited liability company, partnership, association, joint stock company, trust, unincorporated organization or government or political subdivision thereof.</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2.4 "CODE" means the Internal Revenue Code of 1986, any amendments thereto, and any regulations or rulings issued thereunder.</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2.5 "COMMITTEE" means the Winnebago Compensation Committee appointed in accordance with Section 6.1.</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2.6 "EFFECTIVE DATE" means April 1, 1997 as originally adopted by the Board of Directors. The effective date of this amended and restated plan is July 1, 1999.</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2.7 "EMPLOYEE" means any key individual, including but not limited to a person in an executive position with the Employer, who is employed by the Employer.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2.8 "EMPLOYER" means Winnebago Industries, Inc. and any successor</w:t>
      </w:r>
    </w:p>
    <w:p>
      <w:pPr>
        <w:spacing w:after="0" w:line="238" w:lineRule="auto"/>
        <w:rPr>
          <w:sz w:val="20"/>
          <w:szCs w:val="20"/>
          <w:color w:val="auto"/>
        </w:rPr>
      </w:pPr>
      <w:r>
        <w:rPr>
          <w:rFonts w:ascii="Courier New" w:cs="Courier New" w:eastAsia="Courier New" w:hAnsi="Courier New"/>
          <w:sz w:val="18"/>
          <w:szCs w:val="18"/>
          <w:color w:val="auto"/>
        </w:rPr>
        <w:t>thereto.</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2.9 "ERISA" means the Employee Retirement Income Security Act of 1974, any amendments thereto, and any regulations or rulings issued thereunder.</w:t>
      </w:r>
    </w:p>
    <w:p>
      <w:pPr>
        <w:spacing w:after="0" w:line="170"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2.10 "EXERCISE DATE" means, with respect to any Option, the date on which the Option is exercised by a Participant.</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2.11 "EXERCISE PERIOD" means the period during which a Participant may exercise an Option, as determined under Section 4.1.</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2.12 "EXERCISE PRICE" means the price to be paid by a Participant to exercise an Option, as determined under Section 3.3.</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17" w:name="page18"/>
    <w:bookmarkEnd w:id="17"/>
    <w:p>
      <w:pPr>
        <w:ind w:right="1879" w:firstLine="948"/>
        <w:spacing w:after="0" w:line="235" w:lineRule="auto"/>
        <w:rPr>
          <w:sz w:val="20"/>
          <w:szCs w:val="20"/>
          <w:color w:val="auto"/>
        </w:rPr>
      </w:pPr>
      <w:r>
        <w:rPr>
          <w:rFonts w:ascii="Courier New" w:cs="Courier New" w:eastAsia="Courier New" w:hAnsi="Courier New"/>
          <w:sz w:val="18"/>
          <w:szCs w:val="18"/>
          <w:color w:val="auto"/>
        </w:rPr>
        <w:t>2.13 "GRANT DATE" means, with respect to any Option, the date on which the Option Agreement is executed by the Employer and the Participant.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2.14 "MARKET PRICE" means the closing price of a share of Stock reflected in the consolidated trading tables of the Wall Street Journal (presently the NYSE Composite Transactions), or other recognized market source, as determined by the Committee, on the applicable date of reference hereunder, or if there is no sale on such date, then the closing price on the last previous day on which a sale is reported. In the case of open-end mutual fund shares, the Market Price means the net asset value per share as reported by the fund in such publication on the applicable date of reference hereunder.</w:t>
      </w:r>
    </w:p>
    <w:p>
      <w:pPr>
        <w:spacing w:after="0" w:line="21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2.15 "OPTION" means the right of a Participant, granted by the Employer in accordance with Section 3.2, to purchase Stock from the Employer at the Exercise Price.</w:t>
      </w:r>
    </w:p>
    <w:p>
      <w:pPr>
        <w:spacing w:after="0" w:line="209"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2.16 "OPTION AGREEMENT" means an agreement setting forth the terms of an Option executed by the Employer and a Participant pursuant to Section 3.2.</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2.17 "PARTICIPANT" means any Employee who has been designated by the Human Resources Committee of the Board of Directors of the Employer and who has been granted Options in accordance with the Plan and whose Options have not been exercised in full.</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2.18 "PLAN" means the Winnebago Industries, Inc. Executive Share Option Plan, as set forth herein and from time to time amended.</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2.19 "STOCK" means shares of common or preferred stock of a corporation listed on a national securities exchange (exclusive of the stock of Winnebago Industries, Inc.) or NASDAQ, or shares of a regulated investment company designated by the Committee as subject to purchase through the exercise of an Option.</w:t>
      </w:r>
    </w:p>
    <w:p>
      <w:pPr>
        <w:spacing w:after="0" w:line="209"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2.20 "TERMINATION OF EMPLOYMENT" means an Employee's separation from the service of the Employer (including all subsidiaries and affiliates of the Employer) by reason of resignation, discharge, death or other termination. The Committee may, in its discretion, determine whether any leave or other absence from service constitutes a Termination of Employment for purposes of the Plan.</w:t>
      </w:r>
    </w:p>
    <w:p>
      <w:pPr>
        <w:spacing w:after="0" w:line="185"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2.21 "TRUST" means the trust established pursuant to Article VII to hold the Stock that is subject to purchase through the exercise of an Option.</w:t>
      </w:r>
    </w:p>
    <w:p>
      <w:pPr>
        <w:spacing w:after="0" w:line="170"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2.22 "TRUST AGREEMENT" means an agreement setting forth the terms of the Trust established pursuant to Article VII.</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2.23 "TRUST FUND" means the Stock subject to an Option that is held in the Trust.</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2.24 "TRUSTEE" means the persons or institution acting as trustee of the Trust.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OPTION GRANT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3.1 ELIGIBILITY. Options may be granted to any Employee selected by the Committee from the key Employees of the Employer who have the capability of making a substantial contribution to the success of the Employer. In making this selection and in determining the form and amount of Options, the Committee shall consider any factors that it deems relevant, including the individual's functions, responsibilities, value of services to the Employer and past and potential contributions to the Employer's profitability and growth. Participation shall commence on the next day following the last Saturday of November, February, May, or August subsequent to an Employee's selection by the Committee.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8" w:name="page19"/>
    <w:bookmarkEnd w:id="18"/>
    <w:p>
      <w:pPr>
        <w:ind w:right="1779" w:firstLine="948"/>
        <w:spacing w:after="0" w:line="238" w:lineRule="auto"/>
        <w:rPr>
          <w:sz w:val="20"/>
          <w:szCs w:val="20"/>
          <w:color w:val="auto"/>
        </w:rPr>
      </w:pPr>
      <w:r>
        <w:rPr>
          <w:rFonts w:ascii="Courier New" w:cs="Courier New" w:eastAsia="Courier New" w:hAnsi="Courier New"/>
          <w:sz w:val="18"/>
          <w:szCs w:val="18"/>
          <w:color w:val="auto"/>
        </w:rPr>
        <w:t>3.2 GRANT OF OPTION. Options may be granted by the Committee at any time on or after the Effective Date and prior to the termination of the Plan. Options may be granted, at the discretion of the Committee, in the form of outright awards, in exchange for a specified amount of the future compensation or bonus of the Participant, or in return for the Participant's agreement to relinquish rights to unfunded, nonqualified deferred compensation that he or she has accrued but does not have a current right to receive. While a Participant may agree to exchange all or a portion of any future bonus or incentive compensation payable to him or her for an Option, in the manner prescribed by the Committee and prior to the fiscal year in which such compensation is earned, the maximum percentage of future base compensation which a Participant may exchange for an Option during a calendar year shall not exceed 30 percent. No Committee member may take part in any way in determining the amount of any award of an Opinion to himself or herself.</w:t>
      </w:r>
    </w:p>
    <w:p>
      <w:pPr>
        <w:spacing w:after="0" w:line="208" w:lineRule="exact"/>
        <w:rPr>
          <w:sz w:val="20"/>
          <w:szCs w:val="20"/>
          <w:color w:val="auto"/>
        </w:rPr>
      </w:pPr>
    </w:p>
    <w:p>
      <w:pPr>
        <w:ind w:right="1779" w:firstLine="956"/>
        <w:spacing w:after="0" w:line="238"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SUBMISSION OF REQUESTS TO EXCHANGE COMPENSATION. Any specified exchange of future base compensation or bonus by a Participant for an Option must be executed by the Participant and the Committee before the beginning of the calendar year in which the base compensation will be earned or before the fiscal year in which the bonus will be earned. In the case of a newly eligible Participant, such specified initial request to exchange compensation shall be filed with the Committee within 30 days following the effective date of his or her Plan eligibility and prior to the rendition of any services to which any exchanged base compensation pertains or prior to the commencement of any quarterly fiscal period beginning on the next day following the last Saturday of November, February, May, and August with respect to any specified exchanges of quarterly bonuses.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 AND OPTION AGREEMENT. Options granted in exchange for a specified amount of the future base compensation of the Participant shall be granted in January of each year and shall reflect the requested exchange of base compensation of the Participant for the calendar year.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Options granted in exchange for a specified amount of the future bonus of the Participant shall be granted quarterly following the determination of such bonus as of the last Saturday in November, February, May, and August of each fiscal year and shall reflect the requested exchange of bonus of the Participant for the fiscal quarter (excluding any fiscal quarter during which a Participant's Termination of Employment occurs.) Options granted in the form of outright awards or in exchange for the Participant's agreement to relinquish rights to nonqualified deferred compensation which the Participant does not have a current right to receive may be granted to Participant at any time at the discretion of the Committee.</w:t>
      </w:r>
    </w:p>
    <w:p>
      <w:pPr>
        <w:spacing w:after="0" w:line="215"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Options shall become effective upon the execution by Employer and the Participant of an Option Agreement specifying the Stock, the number of shares subject to the Option the Exercise Price, and such other terms and in such form as the Committee may from time to time determine in accordance with the Plan. Any items not specified in the Plan shall be specified in the Option Agreement.</w:t>
      </w:r>
    </w:p>
    <w:p>
      <w:pPr>
        <w:spacing w:after="0" w:line="185" w:lineRule="exact"/>
        <w:rPr>
          <w:sz w:val="20"/>
          <w:szCs w:val="20"/>
          <w:color w:val="auto"/>
        </w:rPr>
      </w:pPr>
    </w:p>
    <w:p>
      <w:pPr>
        <w:ind w:right="1779" w:firstLine="956"/>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In the event that a Participant' s employment with the Employer terminates prior to the grant of his or her Option in January pertaining to a requested exchange of base compensation, an amount of compensation equivalent to the amount of foregone base compensation, which was to be exchanged for an Option, through the date of Termination of Employment, shall be paid to the Participant by the Employer upon his or her Termination of Employment.</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OPTION GRANTS. The maximum number of underlying cumulative share units permitted to be covered by all Option grants made to any one Participant throughout his or her participation in the Plan is that number of units for which the cumulative Market Price of the Stock, determined as of the Grant Dates, totals $1,333,333.33</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CASH DIVIDENDS AND DISTRIBUTIONS WITH RESPECT TO STOCK. All cash dividends and distributions received with respect to Stock shall be reinvested in additional property of the same kind (or as nearly the same kind as feasible, if property of the same kind is not available). Any property acquired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564"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through reinvestment will be added to the Stock which is subject to an Option Agreement. Any Stock representing shares of an open-end regulated investment company which are acquired through reinvestment of long-term capital gain dividends and return of capital distributions will be added to the Stock which is subject to an Option Agreement. Any Stock representing shares of an open-end regulated investment company which are acquired through reinvestment of ordinary income dividends and exempt-interest dividends will also be added to the Stock which is subject to an Option Agreement.</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3.3 EXERCISE PRICE. The Exercise Price shall be initially determined by the Committee but shall be no less than 25 percent and no more than 100 percent of the Fair Market Value of the Stock on the Grant Date. The Exercise Price shall be adjusted for the following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of a stock dividend, stock split, reverse stock split, rights offering, recapitalization or similar transaction that materially affects the Market Price of the Stock, the Committee shall adjust the Exercise Price so that it retains the same ratio to the Market Price of the Stock as existed immediately before such transactions, or as otherwise provided in the Option Agreement. Any Stock acquired because of one of the above events will immediately be subject to an Option in favor of the Participant on terms identical to those set forth in the pertinent Option Agreement.</w:t>
      </w:r>
    </w:p>
    <w:p>
      <w:pPr>
        <w:spacing w:after="0" w:line="212"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3.4 CONDITIONS OF GRANT. As a condition to the grant of a Stock Option, the Committee may, in its discretion, require a Participant to enter into one or more of the following agreements with the Employer on or before the Grant Date:</w:t>
      </w:r>
    </w:p>
    <w:p>
      <w:pPr>
        <w:spacing w:after="0" w:line="178" w:lineRule="exact"/>
        <w:rPr>
          <w:sz w:val="20"/>
          <w:szCs w:val="20"/>
          <w:color w:val="auto"/>
        </w:rPr>
      </w:pPr>
    </w:p>
    <w:p>
      <w:pPr>
        <w:ind w:right="1779" w:firstLine="956"/>
        <w:spacing w:after="0" w:line="237"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covenant not to compete with the Employer, which shall become effective on the date of Termination of Employment of the Participant with the Employer and which shall contain such terms and conditions as may be required by the Committee.</w:t>
      </w:r>
    </w:p>
    <w:p>
      <w:pPr>
        <w:spacing w:after="0" w:line="207"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agreement to remain in the employ of the Employer for at least six months after the Grant Date of an Option.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3.5 STOCK TO BE HELD IN TRUST. Upon the grant of an Option, the Employer in accordance with the Trust Agreement, shall instruct the Trustee to purchase the Stock underlying each Option Agreement as of the day of the Option Agreement. The Employer shall transfer to the Trustee an amount of funds equal to the Market Price of the Stock. Such funds shall be applied by the Trustee for the purpose of payment for such underlying securities. In addition, if on the date the Committee grants the Option, the principal of the Trust, and any earnings thereon, are not sufficient to purchase such underlying securities, the Employer may transfer to the Trustee an amount of funds sufficient to purchase the underlying securities.</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Trustee shall establish a separate account for each Option Agreement in which the Trustee shall hold funds to purchase securities, as well as securities already purchased, underlying the Option Agreement. The Trustee shall hold the securities in its own name until the Plan Participant exercises the Option to purchase securities.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3.6 SUBSTITUTION OF ASSETS HELD IN TRUST. The Committee may, in its discretion, after consultation with the Participant, substitute Stock of equal Market Price for any Stock subject to purchase through the exercise of an Option. When that substitution occurs, both parties are required to terminate the Option Agreement and to adopt a new Option Agreement which awards an Option of equal Market Price on the new Stock. Such change in Option property shall be considered the grant of a new Option and the terms of this Plan, including Articles III and IV, shall apply to the grant of the new Option, except that the term of the new Option shall not extend beyond the term of the original Option. The Exercise Price of the new Option shall be the same as the Exercise Price of the original Option immediately before the substitution.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20" w:name="page21"/>
    <w:bookmarkEnd w:id="20"/>
    <w:p>
      <w:pPr>
        <w:ind w:right="1879" w:firstLine="948"/>
        <w:spacing w:after="0" w:line="237" w:lineRule="auto"/>
        <w:rPr>
          <w:sz w:val="20"/>
          <w:szCs w:val="20"/>
          <w:color w:val="auto"/>
        </w:rPr>
      </w:pPr>
      <w:r>
        <w:rPr>
          <w:rFonts w:ascii="Courier New" w:cs="Courier New" w:eastAsia="Courier New" w:hAnsi="Courier New"/>
          <w:sz w:val="18"/>
          <w:szCs w:val="18"/>
          <w:color w:val="auto"/>
        </w:rPr>
        <w:t>3.7 DESIGNATION OF BENEFICIARY. AS soon as practicable after the grant of an Option, the Participant shall designate one or more Beneficiaries and successor Beneficiaries, and may change a Beneficiary designation at any time, by filing the prescribed form with the Committee. The consent of the Participant's current Beneficiary shall not be required for a change of Beneficiary. No Beneficiary shall have any rights under the Plan or an Option Agreement during the lifetime of the Participant, except as may otherwise be provided in Section 3.9.</w:t>
      </w:r>
    </w:p>
    <w:p>
      <w:pPr>
        <w:spacing w:after="0" w:line="212" w:lineRule="exact"/>
        <w:rPr>
          <w:sz w:val="20"/>
          <w:szCs w:val="20"/>
          <w:color w:val="auto"/>
        </w:rPr>
      </w:pPr>
    </w:p>
    <w:p>
      <w:pPr>
        <w:jc w:val="both"/>
        <w:ind w:right="1779" w:firstLine="956"/>
        <w:spacing w:after="0" w:line="279" w:lineRule="auto"/>
        <w:tabs>
          <w:tab w:leader="none" w:pos="136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Beneficiary of a Participant who dies without having designated a Beneficiary in accordance with this Section 3.7 and who is lawfully married on the date of death shall be the Participant's surviving spouse.</w:t>
      </w:r>
    </w:p>
    <w:p>
      <w:pPr>
        <w:spacing w:after="0" w:line="178" w:lineRule="exact"/>
        <w:rPr>
          <w:rFonts w:ascii="Courier New" w:cs="Courier New" w:eastAsia="Courier New" w:hAnsi="Courier New"/>
          <w:sz w:val="16"/>
          <w:szCs w:val="16"/>
          <w:color w:val="auto"/>
        </w:rPr>
      </w:pPr>
    </w:p>
    <w:p>
      <w:pPr>
        <w:ind w:right="2099" w:firstLine="956"/>
        <w:spacing w:after="0" w:line="236"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Beneficiary of any other Participant who dies without having designated a Beneficiary in accordance with this Section 3.7 shall be the Participant's estate.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3.8 GENERAL NON-TRANSFERABILITY. No Option granted under this Plan may be transferred, assigned, or alienated (whether by operation of law or otherwise), except as provided herein, and no Option shall be subject to execution, attachment or similar process. An Option may be exercised only by the Participant (or the Participant's Beneficiary pursuant to Section 3.7).</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OPTION EXERCISE</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4.1 EXERCISE PERIOD. A Participant may exercise all or any portion of an Option at any time during the period beginning six months after the Grant Date and ending on the earlier of:</w:t>
      </w:r>
    </w:p>
    <w:p>
      <w:pPr>
        <w:spacing w:after="0" w:line="203" w:lineRule="exact"/>
        <w:rPr>
          <w:sz w:val="20"/>
          <w:szCs w:val="20"/>
          <w:color w:val="auto"/>
        </w:rPr>
      </w:pPr>
    </w:p>
    <w:p>
      <w:pPr>
        <w:ind w:left="2000" w:hanging="412"/>
        <w:spacing w:after="0"/>
        <w:tabs>
          <w:tab w:leader="none" w:pos="20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months after the Participant's date of death, and</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fifteen years after the Grant Date.</w:t>
      </w:r>
    </w:p>
    <w:p>
      <w:pPr>
        <w:spacing w:after="0" w:line="207"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4.2 EXERCISE OF VESTED PORTION OF OPTION. A Participant (or the Participant's Beneficiary pursuant to Section 3.7) may exercise the "Vested Portion" of an Option in accordance with this Section 4.2. The terms of the Participant's Option Agreement will determine the Vested Portion of an Option eligible for exercise in the case of an Option granted to a Participant in the form of an outright award or in exchange for the Participant's agreement to relinquish rights to nonqualified deferred compensation which the Participant does not have a current right to receive. That percentage of a Participant's Option granted in the form of an outright award or in exchange for the Participant's agreement to relinquish rights to nonqualified deferred compensation which the Participant does not have a current right to receive, which is not a Vested Portion of an Option, shall be forfeited by the Participant upon Termination of Employment.</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The Vested Portion of an Option granted in exchange for the base compensation of a Participant is 100 percent if the Participant remains in service with the Employer through the end of the calendar year in which the Option is granted. If the Participant's service with the Employer is terminated during the same calendar year in which the Grant Date occurs, he or she may exercise the Vested Portion of the Option, which is equal to the full number of payroll periods during which the Participant was in the service of the Employer during the calendar year in which the Option was granted, divided by 50. That percentage of a Participant's Option granted in exchange for the base compensation of a Participant which is not a Vested Portion of the Option shall be forfeited by the Participant upon Termination of Employment during the calendar year in which the Option was granted.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30" w:right="1440" w:bottom="1440" w:gutter="0" w:footer="0" w:header="0"/>
        </w:sectPr>
      </w:pPr>
    </w:p>
    <w:bookmarkStart w:id="21" w:name="page22"/>
    <w:bookmarkEnd w:id="21"/>
    <w:p>
      <w:pPr>
        <w:ind w:right="1779" w:firstLine="948"/>
        <w:spacing w:after="0" w:line="237" w:lineRule="auto"/>
        <w:rPr>
          <w:sz w:val="20"/>
          <w:szCs w:val="20"/>
          <w:color w:val="auto"/>
        </w:rPr>
      </w:pPr>
      <w:r>
        <w:rPr>
          <w:rFonts w:ascii="Courier New" w:cs="Courier New" w:eastAsia="Courier New" w:hAnsi="Courier New"/>
          <w:sz w:val="18"/>
          <w:szCs w:val="18"/>
          <w:color w:val="auto"/>
        </w:rPr>
        <w:t>The Participant shall exercise the Vested Portion of the Option by giving written notice to the Committee and (i) tendering full payment of the Exercise Price on or before the date of exercise, or (ii) by obtaining necessary financing from a financial institution which is utilized to pay the Exercise Price. The minimum number of share units allowed to be exercised at any one time is the number of share units for which the Market Price of the Stock totals $2,500.</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the event that the listing, registration, or qualification of the Option or the Stock on any securities exchange or under any state or federal law, or the consent or approval of any governmental regulatory body, or the availability of any exemption therefrom, is necessary as a condition of, or in connection with, the exercise of the Option, then the Option shall not be exercised in whole or in part until such listing, registration, qualification, consent, approval, or exemption has been effected, obtained, or established to the satisfaction of the Committee.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4.3 DELIVERY OF STOCK. On the date of exercise, or as soon as practicable thereafter (but in no event later than five business days after the date of exercise), the Employer shall deliver or cause to be delivered the Stock then being purchased to the Participant (or the Participant's Beneficiary pursuant to Section 3.7). In the event that the listing, registration, or qualification of the Option or the Stock on any securities exchange or under any state or federal law, or the consent or approval of any governmental regulatory body, is necessary as a condition of, or in connection with, the exercise of the Option, then the Option shall not be exercised in whole or in part until such listing, registration, qualification, consent or approval has been effected or obtained.</w:t>
      </w:r>
    </w:p>
    <w:p>
      <w:pPr>
        <w:spacing w:after="0" w:line="21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4.4 TAX WITHHOLDING. Whenever Stock is to be delivered upon exercise of an Option under the Plan, the Employer shall require as a condition of such delivery</w:t>
      </w:r>
    </w:p>
    <w:p>
      <w:pPr>
        <w:spacing w:after="0" w:line="209" w:lineRule="exact"/>
        <w:rPr>
          <w:sz w:val="20"/>
          <w:szCs w:val="20"/>
          <w:color w:val="auto"/>
        </w:rPr>
      </w:pPr>
    </w:p>
    <w:p>
      <w:pPr>
        <w:ind w:right="2319" w:firstLine="956"/>
        <w:spacing w:after="0" w:line="236"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payment by the Participant of an amount sufficient to satisfy all federal, state and local tax withholding, requirements related thereto,</w:t>
      </w:r>
    </w:p>
    <w:p>
      <w:pPr>
        <w:spacing w:after="0" w:line="208" w:lineRule="exact"/>
        <w:rPr>
          <w:rFonts w:ascii="Courier New" w:cs="Courier New" w:eastAsia="Courier New" w:hAnsi="Courier New"/>
          <w:sz w:val="18"/>
          <w:szCs w:val="18"/>
          <w:color w:val="auto"/>
        </w:rPr>
      </w:pPr>
    </w:p>
    <w:p>
      <w:pPr>
        <w:ind w:right="2099" w:firstLine="956"/>
        <w:spacing w:after="0" w:line="235"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withholding of such amount from any Stock to be delivered to the Participant,</w:t>
      </w:r>
    </w:p>
    <w:p>
      <w:pPr>
        <w:spacing w:after="0" w:line="208"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withholding of such amount from compensation otherwise due to the Participant, OR</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at the election of the Participant with the consent of the Employer. Such election shall be made before the date on which the amount of tax to be withheld is determined by the Employer, and such election shall be irrevocable.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4.5 ADDITIONAL WITHHOLDING. With the consent of the Employer, the Participant may elect a greater amount of withholding, not to exceed the estimated amount of the Participant's total tax liability with respect to the delivery of Stock under the Plan. Such election shall be made at the same time and in the same manner as provided under Section 4.4.</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4.6 FAILURE TO EXERCISE. No Option shall be exercised, in whole or in part, after the end of the Exercise Period and the Employer shall have no obligation to deliver or cause to be delivered to the Participant (or the Participants Beneficiary or Assignee) the Stock subject to such Option.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AMENDMENT OR TERMINATION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5.1 PLAN AMENDMENT. The Board may, from time to time in its discretion, amend any provision of the Plan, in whole or in part, with respect to any Participant or group of Participants. Such amendment shall be effective as of the date specified therein and shall be binding upon the Committee, all Participants and Beneficiaries, and all other persons claiming an interest under the Plan.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30" w:right="1440" w:bottom="0" w:gutter="0" w:footer="0" w:header="0"/>
        </w:sectPr>
      </w:pPr>
    </w:p>
    <w:bookmarkStart w:id="22" w:name="page23"/>
    <w:bookmarkEnd w:id="22"/>
    <w:p>
      <w:pPr>
        <w:ind w:right="1779" w:firstLine="948"/>
        <w:spacing w:after="0" w:line="237" w:lineRule="auto"/>
        <w:rPr>
          <w:sz w:val="20"/>
          <w:szCs w:val="20"/>
          <w:color w:val="auto"/>
        </w:rPr>
      </w:pPr>
      <w:r>
        <w:rPr>
          <w:rFonts w:ascii="Courier New" w:cs="Courier New" w:eastAsia="Courier New" w:hAnsi="Courier New"/>
          <w:sz w:val="18"/>
          <w:szCs w:val="18"/>
          <w:color w:val="auto"/>
        </w:rPr>
        <w:t>5.2 PLAN TERMINATION. The Plan shall terminate on the fifteenth anniversary of the original Effective Date or such earlier date as the Board may determine in its discretion. Such termination shall be effective as of the date determined by the Board and shall be binding upon the Committee, all Participants and Beneficiaries, and all other persons claiming an interest under the Plan. Options shall continue to be exercisable after the effective date of such termination, and may be exercised in accordance with Article IV, but no new Options shall be granted. However, in the event of a termination of the Plan in connection with compliance with or any addition or change in the Code or ERISA, federal or state securities laws, or any other law or regulations, all Options shall be required to be exercised immediately.</w:t>
      </w:r>
    </w:p>
    <w:p>
      <w:pPr>
        <w:spacing w:after="0" w:line="21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5.3 AMENDMENT OF OPTIONS. An Option may be amended by the Committee at any time if the Committee determines that an amendment is necessary or advisable as a result of:</w:t>
      </w:r>
    </w:p>
    <w:p>
      <w:pPr>
        <w:spacing w:after="0" w:line="209" w:lineRule="exact"/>
        <w:rPr>
          <w:sz w:val="20"/>
          <w:szCs w:val="20"/>
          <w:color w:val="auto"/>
        </w:rPr>
      </w:pPr>
    </w:p>
    <w:p>
      <w:pPr>
        <w:ind w:right="1779" w:firstLine="956"/>
        <w:spacing w:after="0" w:line="236"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 to or change in the Code or ERISA, a federal or state securities law or any other law or regulation, which occurs after the Grant Date and by its terms applies to the Option,</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substitution of stock held in Trust pursuant to Section 3.6,</w:t>
      </w:r>
    </w:p>
    <w:p>
      <w:pPr>
        <w:spacing w:after="0" w:line="206"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amendment pursuant to Section 5.1, or Plan termination pursuant to Section 5.2, provided that the amendment does not materially affect the terms, conditions and restrictions applicable to the Option, or</w:t>
      </w:r>
    </w:p>
    <w:p>
      <w:pPr>
        <w:spacing w:after="0" w:line="208" w:lineRule="exact"/>
        <w:rPr>
          <w:rFonts w:ascii="Courier New" w:cs="Courier New" w:eastAsia="Courier New" w:hAnsi="Courier New"/>
          <w:sz w:val="18"/>
          <w:szCs w:val="18"/>
          <w:color w:val="auto"/>
        </w:rPr>
      </w:pPr>
    </w:p>
    <w:p>
      <w:pPr>
        <w:ind w:right="2199" w:firstLine="956"/>
        <w:spacing w:after="0" w:line="235"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circumstances not specified in Paragraphs (a), (b), or (c), with the consent of the Participant.</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5.4 CHANGE OF CONTROL. Notwithstanding any other provision of the Plan or an Option Agreement, in the event of a Change of Control:</w:t>
      </w:r>
    </w:p>
    <w:p>
      <w:pPr>
        <w:spacing w:after="0" w:line="208" w:lineRule="exact"/>
        <w:rPr>
          <w:sz w:val="20"/>
          <w:szCs w:val="20"/>
          <w:color w:val="auto"/>
        </w:rPr>
      </w:pPr>
    </w:p>
    <w:p>
      <w:pPr>
        <w:ind w:right="2099" w:firstLine="956"/>
        <w:spacing w:after="0" w:line="236"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not be required to remain in the employ of the Employer for at least six months after the Grant Date of an Option under Section 3.4(b),</w:t>
      </w:r>
    </w:p>
    <w:p>
      <w:pPr>
        <w:spacing w:after="0" w:line="208" w:lineRule="exact"/>
        <w:rPr>
          <w:rFonts w:ascii="Courier New" w:cs="Courier New" w:eastAsia="Courier New" w:hAnsi="Courier New"/>
          <w:sz w:val="18"/>
          <w:szCs w:val="18"/>
          <w:color w:val="auto"/>
        </w:rPr>
      </w:pPr>
    </w:p>
    <w:p>
      <w:pPr>
        <w:ind w:right="2099" w:firstLine="956"/>
        <w:spacing w:after="0" w:line="235"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Period under Section 4.1 shall not end prior to six months after such Change of Control,</w:t>
      </w:r>
    </w:p>
    <w:p>
      <w:pPr>
        <w:spacing w:after="0" w:line="208" w:lineRule="exact"/>
        <w:rPr>
          <w:rFonts w:ascii="Courier New" w:cs="Courier New" w:eastAsia="Courier New" w:hAnsi="Courier New"/>
          <w:sz w:val="18"/>
          <w:szCs w:val="18"/>
          <w:color w:val="auto"/>
        </w:rPr>
      </w:pPr>
    </w:p>
    <w:p>
      <w:pPr>
        <w:ind w:right="2199" w:firstLine="956"/>
        <w:spacing w:after="0" w:line="290" w:lineRule="auto"/>
        <w:tabs>
          <w:tab w:leader="none" w:pos="136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Agreement shall not be amended by the Committee under Section 5.3 for any reason without the consent of the Participant, and</w:t>
      </w:r>
    </w:p>
    <w:p>
      <w:pPr>
        <w:spacing w:after="0" w:line="169" w:lineRule="exact"/>
        <w:rPr>
          <w:rFonts w:ascii="Courier New" w:cs="Courier New" w:eastAsia="Courier New" w:hAnsi="Courier New"/>
          <w:sz w:val="16"/>
          <w:szCs w:val="16"/>
          <w:color w:val="auto"/>
        </w:rPr>
      </w:pPr>
    </w:p>
    <w:p>
      <w:pPr>
        <w:ind w:right="2099" w:firstLine="956"/>
        <w:spacing w:after="0" w:line="237"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may be terminated by the Committee on any date after a Change of Control, in its sole discretion and without the consent of the Participant, if the Committee makes a cash payment to the Participant on such date in an amount equal to the Fair Market Value of the Stock subject to such Option, reduced by the Exercise Price, and multiplied by the number of shares subject to such Option.</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6.1 THE COMMITTEE. The Plan shall be administered by a Committee consisting of one or more persons appointed by the Board of Directors. The Committee shall act by a majority of its members at the time in office and may take action either by vote at a meeting or by consent in writing without a meeting.</w:t>
      </w:r>
    </w:p>
    <w:p>
      <w:pPr>
        <w:spacing w:after="0" w:line="209" w:lineRule="exact"/>
        <w:rPr>
          <w:sz w:val="20"/>
          <w:szCs w:val="20"/>
          <w:color w:val="auto"/>
        </w:rPr>
      </w:pPr>
    </w:p>
    <w:p>
      <w:pPr>
        <w:ind w:right="1879" w:firstLine="956"/>
        <w:spacing w:after="0" w:line="279" w:lineRule="auto"/>
        <w:tabs>
          <w:tab w:leader="none" w:pos="136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may remove any member of the Committee at any time, with or without cause, and may fill any vacancy. If a vacancy occurs, the remaining member or members of the Committee shall have full authority to act.</w:t>
      </w: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30" w:right="1440" w:bottom="1440" w:gutter="0" w:footer="0" w:header="0"/>
        </w:sectPr>
      </w:pPr>
    </w:p>
    <w:bookmarkStart w:id="23" w:name="page24"/>
    <w:bookmarkEnd w:id="23"/>
    <w:p>
      <w:pPr>
        <w:ind w:right="2199" w:firstLine="956"/>
        <w:spacing w:after="0" w:line="237"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member of the Committee may resign by written resignation delivered to the Board. Any such resignation shall become effective upon its receipt by the Board or on such other date as agreed to by the Board and the resigning member.</w:t>
      </w:r>
    </w:p>
    <w:p>
      <w:pPr>
        <w:spacing w:after="0" w:line="207"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6.2 POWERS OF THE COMMITTEE. In carrying out its duties with respect to the general administration of the Plan, the Committee shall have, in addition to any other powers conferred by the Plan or by law, the following powers:</w:t>
      </w:r>
    </w:p>
    <w:p>
      <w:pPr>
        <w:spacing w:after="0" w:line="178" w:lineRule="exact"/>
        <w:rPr>
          <w:sz w:val="20"/>
          <w:szCs w:val="20"/>
          <w:color w:val="auto"/>
        </w:rPr>
      </w:pPr>
    </w:p>
    <w:p>
      <w:pPr>
        <w:ind w:right="1779" w:firstLine="956"/>
        <w:spacing w:after="0" w:line="235"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eligibility to participate in the Plan and eligibility to receive Options;</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grant Options, and to determine the form. amount and timing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Options;</w:t>
      </w:r>
    </w:p>
    <w:p>
      <w:pPr>
        <w:spacing w:after="0" w:line="207"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provisions of the Option Agreements, and to modify such Option Agreements as provided in Section 5.3,</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substitute stock held in Trust as provided in Section 3.6;</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maintain all records necessary for the administration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w:t>
      </w:r>
    </w:p>
    <w:p>
      <w:pPr>
        <w:spacing w:after="0" w:line="207" w:lineRule="exact"/>
        <w:rPr>
          <w:rFonts w:ascii="Courier New" w:cs="Courier New" w:eastAsia="Courier New" w:hAnsi="Courier New"/>
          <w:sz w:val="18"/>
          <w:szCs w:val="18"/>
          <w:color w:val="auto"/>
        </w:rPr>
      </w:pPr>
    </w:p>
    <w:p>
      <w:pPr>
        <w:ind w:right="2099" w:firstLine="956"/>
        <w:spacing w:after="0" w:line="235"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for the administration of the Plan to the extent not inconsistent with the terms thereof,</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direct the Trustee respecting investment of the Trust Fund;</w:t>
      </w:r>
    </w:p>
    <w:p>
      <w:pPr>
        <w:spacing w:after="0" w:line="206"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appoint such individuals and subcommittees as it deems desirable for the conduct of its affairs and the administration of the Plan;</w:t>
      </w:r>
    </w:p>
    <w:p>
      <w:pPr>
        <w:spacing w:after="0" w:line="208" w:lineRule="exact"/>
        <w:rPr>
          <w:rFonts w:ascii="Courier New" w:cs="Courier New" w:eastAsia="Courier New" w:hAnsi="Courier New"/>
          <w:sz w:val="18"/>
          <w:szCs w:val="18"/>
          <w:color w:val="auto"/>
        </w:rPr>
      </w:pPr>
    </w:p>
    <w:p>
      <w:pPr>
        <w:ind w:right="2319" w:firstLine="956"/>
        <w:spacing w:after="0" w:line="235"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counsel, accountants and other consultants to aid in exercising its powers and carrying out its duties under the Plan; and</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perform any other acts necessary, and proper for the conduct of its affairs and the administration of the Plan, except those reserved by the Board.</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6.3 DETERMINATIONS BY THE COMMITTEE. The Committee shall interpret and construe the Plan and the Option Agreements. and its interpretations and determinations shall be conclusive and binding on all Participants, Beneficiaries and any other persons claiming an interest under the Plan or any Option Agreement. The Committee's interpretations and determinations under the Plan and Option Agreements need not be uniform and may be made by it selectively among Participants, Beneficiaries and any other persons whether or not they are similarly situated. The failure of the Committee to strictly enforce the terms and conditions of the Plan or the Option Agreement shall not constitute a waiver of any provision of the Plan or the Option Agreement. No Participant may rely on any act or statement of the Committee or anyone charged with the administration of the Plan which is inconsistent with any of the terms and conditions of the Plan or the Option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6.4 INDEMNIFICATION OF THE COMMITTEE. The Employer shall indemnify and hold harmless each member of the Committee against any and all expenses and liabilities arising out of such member's action or failure to act in such capacity excepting only expenses and liabilities arising out of such member's own willful misconduct or gross negligence.</w:t>
      </w:r>
    </w:p>
    <w:p>
      <w:pPr>
        <w:spacing w:after="0" w:line="209" w:lineRule="exact"/>
        <w:rPr>
          <w:sz w:val="20"/>
          <w:szCs w:val="20"/>
          <w:color w:val="auto"/>
        </w:rPr>
      </w:pPr>
    </w:p>
    <w:p>
      <w:pPr>
        <w:ind w:right="1779" w:firstLine="956"/>
        <w:spacing w:after="0" w:line="237"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and liabilities against which a member of the Committee is indemnified hereunder shall include, without limitation, the amount of any settlement or judgment, costs, counsel fees and related charges reasonably incurred in connection with a claim asserted or a proceeding brought against him or the settlement thereof, provided that the Employer shall not be liable for any settlement to which it does not consent but such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330" w:right="1440" w:bottom="970" w:gutter="0" w:footer="0" w:header="0"/>
        </w:sectPr>
      </w:pPr>
    </w:p>
    <w:bookmarkStart w:id="24" w:name="page25"/>
    <w:bookmarkEnd w:id="24"/>
    <w:p>
      <w:pPr>
        <w:ind w:right="2199" w:firstLine="956"/>
        <w:spacing w:after="0" w:line="235"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right of indemnification shall be in addition to any other rights to which any member of the Committee may be entitled.</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may, at its own expense, settle any claim asserted or proceeding brought against any member of the Committee when such settlement appears to be in the best interests of the Employer, provided that such settlement includes a complete release from liability of such member and is otherwise reasonably acceptable to such member.</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provisions of this Section 6.4 are for the benefit of each member of the Committee, his or her heirs, successors and assigns and as to each such member shall survive the termination of his or her service as such. Any amendment of this Section 6.4 shall not materially impair the rights of members and former members of the Committee thereunder as to any period prior to such amendment.</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6.6 EXPENSES OF THE COMMITTEE. The members of the Committee shall serve without compensation for services as such. All expenses of the Committee shall be paid by the Employer.</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TRUST PROVISIONS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7.1 ESTABLISHMENT OF THE TRUST. The Trust shall be established to hold all Stock contributed by the Employer pursuant to Section 3.5. Except as otherwise provided in Section 7.2, and Section 12 of the Trust Agreement, the Trust shall be irrevocable and no portion of the Trust Fund shall be used for any purpose other than the delivery of Stock pursuant to the exercise of an Option, and the payment of expenses of the Plan and Trust.</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7.2 TRUST STATUS. The Trust is intended to be a grantor trust, within the meaning of section 671 of the Code. of which the Employer is the grantor, and this Plan is to be construed in accordance with that intention. Notwithstanding any other provision of this Plan, the Trust Fund shall remain the property of the Employer and shall be subject to the claims of its creditors in the event of its bankruptcy or insolvency. No Participant shall have any priority claim on the Trust Fund or any security interest or other right superior to the rights of a general creditor of the Employer.</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8.1 HEADINGS. The headings of Articles, Sections and Paragraphs are solely for convenience of reference. If there is any conflict between such headings and the text of this Plan, the text shall control.</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8.2 GENDER. Unless the context clearly requires a different meaning, all pronouns shall refer indifferently to persons of any gender.</w:t>
      </w:r>
    </w:p>
    <w:p>
      <w:pPr>
        <w:spacing w:after="0" w:line="208"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8.3 SINGULAR AND PLURAL. Unless the context clearly requires a different meaning, singular terms shall also include the plural and vice versa.</w:t>
      </w:r>
    </w:p>
    <w:p>
      <w:pPr>
        <w:spacing w:after="0" w:line="170"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8.4 GOVERNING LAW. Except to the extent preempted by federal law the construction and operation of the Plan shall be governed by the laws of the State of Iowa without regard to the choice of law principles of such state.</w:t>
      </w:r>
    </w:p>
    <w:p>
      <w:pPr>
        <w:spacing w:after="0" w:line="178"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8.5 SEVERABILITY. If any provision of this Plan is held illegal or invalid by any court or governmental authority for any reason, the remaining provisions shall remain in full force and effect and shall be construed and enforced in accordance with the purposes of the Plan as if the illegal or invalid provision did not exist.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330" w:right="1440" w:bottom="970" w:gutter="0" w:footer="0" w:header="0"/>
        </w:sectPr>
      </w:pPr>
    </w:p>
    <w:bookmarkStart w:id="25" w:name="page26"/>
    <w:bookmarkEnd w:id="25"/>
    <w:p>
      <w:pPr>
        <w:ind w:right="1999" w:firstLine="948"/>
        <w:spacing w:after="0" w:line="235" w:lineRule="auto"/>
        <w:rPr>
          <w:sz w:val="20"/>
          <w:szCs w:val="20"/>
          <w:color w:val="auto"/>
        </w:rPr>
      </w:pPr>
      <w:r>
        <w:rPr>
          <w:rFonts w:ascii="Courier New" w:cs="Courier New" w:eastAsia="Courier New" w:hAnsi="Courier New"/>
          <w:sz w:val="18"/>
          <w:szCs w:val="18"/>
          <w:color w:val="auto"/>
        </w:rPr>
        <w:t>8.6 NO OBLIGATION TO EXERCISE. The granting of an Option shall impose no obligation upon a Participant to exercise such Option.</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8.7 NO RIGHTS OF SHAREHOLDER. Neither the Participant or, a Beneficiary shall be, or shall have any of the rights and privileges of, a stockholder with respect to any Stock purchasable or issuable upon the exercise of an Option, prior to the date of exercise of such Option.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8.8 NO RIGHT TO CONTINUED EMPLOYMENT. Nothing contained in the Plan shall be deemed to give any person the right to be retained in the employ of the Employer, or to interfere with the right of the Employer to discharge any person at any time without regard to the effect that such discharge shall have upon such person's rights or potential rights, if any, under the Plan. The provisions of the Plan are in addition to, and not a limitation on, any rights that a Participant may have against the Employer by reason of any employment or other agreement with the Employer.</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8.9 NOTICES. Unless otherwise specified in an Option Agreement, any notice to be provided under the Plan to the Committee shall be mailed (by certified mail, postage prepaid) or delivered to the Committee in care of the Employer at its executive offices, and any notice to the Participant shall be mailed (by certified mail, postage prepaid) or delivered to the Participant at the current address shown on the payroll records of the Employer. No notice shall be binding on the Committee until received by the Committee, and no notice shall be binding on the Participant until received by the Participant.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3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AUG-28-1999</w:t>
      </w:r>
    </w:p>
    <w:p>
      <w:pPr>
        <w:ind w:left="3160"/>
        <w:spacing w:after="0"/>
        <w:rPr>
          <w:sz w:val="20"/>
          <w:szCs w:val="20"/>
          <w:color w:val="auto"/>
        </w:rPr>
      </w:pPr>
      <w:r>
        <w:rPr>
          <w:rFonts w:ascii="Courier New" w:cs="Courier New" w:eastAsia="Courier New" w:hAnsi="Courier New"/>
          <w:sz w:val="18"/>
          <w:szCs w:val="18"/>
          <w:color w:val="auto"/>
        </w:rPr>
        <w:t>MAY-29-1999</w:t>
      </w:r>
    </w:p>
    <w:p>
      <w:pPr>
        <w:ind w:left="4320"/>
        <w:spacing w:after="0" w:line="237" w:lineRule="auto"/>
        <w:rPr>
          <w:sz w:val="20"/>
          <w:szCs w:val="20"/>
          <w:color w:val="auto"/>
        </w:rPr>
      </w:pPr>
      <w:r>
        <w:rPr>
          <w:rFonts w:ascii="Courier New" w:cs="Courier New" w:eastAsia="Courier New" w:hAnsi="Courier New"/>
          <w:sz w:val="18"/>
          <w:szCs w:val="18"/>
          <w:color w:val="auto"/>
        </w:rPr>
        <w:t>56,452</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59,573</w:t>
      </w:r>
    </w:p>
    <w:p>
      <w:pPr>
        <w:ind w:left="3780"/>
        <w:spacing w:after="0" w:line="237" w:lineRule="auto"/>
        <w:rPr>
          <w:sz w:val="20"/>
          <w:szCs w:val="20"/>
          <w:color w:val="auto"/>
        </w:rPr>
      </w:pPr>
      <w:r>
        <w:rPr>
          <w:rFonts w:ascii="Courier New" w:cs="Courier New" w:eastAsia="Courier New" w:hAnsi="Courier New"/>
          <w:sz w:val="18"/>
          <w:szCs w:val="18"/>
          <w:color w:val="auto"/>
        </w:rPr>
        <w:t>1,354</w:t>
      </w:r>
    </w:p>
    <w:p>
      <w:pPr>
        <w:ind w:left="3780"/>
        <w:spacing w:after="0"/>
        <w:rPr>
          <w:sz w:val="20"/>
          <w:szCs w:val="20"/>
          <w:color w:val="auto"/>
        </w:rPr>
      </w:pPr>
      <w:r>
        <w:rPr>
          <w:rFonts w:ascii="Courier New" w:cs="Courier New" w:eastAsia="Courier New" w:hAnsi="Courier New"/>
          <w:sz w:val="18"/>
          <w:szCs w:val="18"/>
          <w:color w:val="auto"/>
        </w:rPr>
        <w:t>63,022</w:t>
      </w:r>
    </w:p>
    <w:p>
      <w:pPr>
        <w:ind w:left="3160"/>
        <w:spacing w:after="0" w:line="237" w:lineRule="auto"/>
        <w:rPr>
          <w:sz w:val="20"/>
          <w:szCs w:val="20"/>
          <w:color w:val="auto"/>
        </w:rPr>
      </w:pPr>
      <w:r>
        <w:rPr>
          <w:rFonts w:ascii="Courier New" w:cs="Courier New" w:eastAsia="Courier New" w:hAnsi="Courier New"/>
          <w:sz w:val="18"/>
          <w:szCs w:val="18"/>
          <w:color w:val="auto"/>
        </w:rPr>
        <w:t>205,993</w:t>
      </w:r>
    </w:p>
    <w:p>
      <w:pPr>
        <w:ind w:left="4200"/>
        <w:spacing w:after="0"/>
        <w:rPr>
          <w:sz w:val="20"/>
          <w:szCs w:val="20"/>
          <w:color w:val="auto"/>
        </w:rPr>
      </w:pPr>
      <w:r>
        <w:rPr>
          <w:rFonts w:ascii="Courier New" w:cs="Courier New" w:eastAsia="Courier New" w:hAnsi="Courier New"/>
          <w:sz w:val="18"/>
          <w:szCs w:val="18"/>
          <w:color w:val="auto"/>
        </w:rPr>
        <w:t>119,386</w:t>
      </w:r>
    </w:p>
    <w:p>
      <w:pPr>
        <w:ind w:left="3460"/>
        <w:spacing w:after="0" w:line="237" w:lineRule="auto"/>
        <w:rPr>
          <w:sz w:val="20"/>
          <w:szCs w:val="20"/>
          <w:color w:val="auto"/>
        </w:rPr>
      </w:pPr>
      <w:r>
        <w:rPr>
          <w:rFonts w:ascii="Courier New" w:cs="Courier New" w:eastAsia="Courier New" w:hAnsi="Courier New"/>
          <w:sz w:val="18"/>
          <w:szCs w:val="18"/>
          <w:color w:val="auto"/>
        </w:rPr>
        <w:t>82,253</w:t>
      </w:r>
    </w:p>
    <w:p>
      <w:pPr>
        <w:ind w:left="3360"/>
        <w:spacing w:after="0" w:line="238" w:lineRule="auto"/>
        <w:rPr>
          <w:sz w:val="20"/>
          <w:szCs w:val="20"/>
          <w:color w:val="auto"/>
        </w:rPr>
      </w:pPr>
      <w:r>
        <w:rPr>
          <w:rFonts w:ascii="Courier New" w:cs="Courier New" w:eastAsia="Courier New" w:hAnsi="Courier New"/>
          <w:sz w:val="18"/>
          <w:szCs w:val="18"/>
          <w:color w:val="auto"/>
        </w:rPr>
        <w:t>285,162</w:t>
      </w:r>
    </w:p>
    <w:p>
      <w:pPr>
        <w:ind w:left="2740"/>
        <w:spacing w:after="0"/>
        <w:rPr>
          <w:sz w:val="20"/>
          <w:szCs w:val="20"/>
          <w:color w:val="auto"/>
        </w:rPr>
      </w:pPr>
      <w:r>
        <w:rPr>
          <w:rFonts w:ascii="Courier New" w:cs="Courier New" w:eastAsia="Courier New" w:hAnsi="Courier New"/>
          <w:sz w:val="18"/>
          <w:szCs w:val="18"/>
          <w:color w:val="auto"/>
        </w:rPr>
        <w:t>88,744</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12,937</w:t>
      </w:r>
    </w:p>
    <w:p>
      <w:pPr>
        <w:ind w:left="3780"/>
        <w:spacing w:after="0" w:line="237" w:lineRule="auto"/>
        <w:rPr>
          <w:sz w:val="20"/>
          <w:szCs w:val="20"/>
          <w:color w:val="auto"/>
        </w:rPr>
      </w:pPr>
      <w:r>
        <w:rPr>
          <w:rFonts w:ascii="Courier New" w:cs="Courier New" w:eastAsia="Courier New" w:hAnsi="Courier New"/>
          <w:sz w:val="18"/>
          <w:szCs w:val="18"/>
          <w:color w:val="auto"/>
        </w:rPr>
        <w:t>127,953</w:t>
      </w:r>
    </w:p>
    <w:p>
      <w:pPr>
        <w:ind w:left="1880"/>
        <w:spacing w:after="0" w:line="238" w:lineRule="auto"/>
        <w:rPr>
          <w:sz w:val="20"/>
          <w:szCs w:val="20"/>
          <w:color w:val="auto"/>
        </w:rPr>
      </w:pPr>
      <w:r>
        <w:rPr>
          <w:rFonts w:ascii="Courier New" w:cs="Courier New" w:eastAsia="Courier New" w:hAnsi="Courier New"/>
          <w:sz w:val="18"/>
          <w:szCs w:val="18"/>
          <w:color w:val="auto"/>
        </w:rPr>
        <w:t>285,162</w:t>
      </w:r>
    </w:p>
    <w:p>
      <w:pPr>
        <w:ind w:left="4100"/>
        <w:spacing w:after="0"/>
        <w:rPr>
          <w:sz w:val="20"/>
          <w:szCs w:val="20"/>
          <w:color w:val="auto"/>
        </w:rPr>
      </w:pPr>
      <w:r>
        <w:rPr>
          <w:rFonts w:ascii="Courier New" w:cs="Courier New" w:eastAsia="Courier New" w:hAnsi="Courier New"/>
          <w:sz w:val="18"/>
          <w:szCs w:val="18"/>
          <w:color w:val="auto"/>
        </w:rPr>
        <w:t>191,546</w:t>
      </w:r>
    </w:p>
    <w:p>
      <w:pPr>
        <w:ind w:left="3160"/>
        <w:spacing w:after="0" w:line="237" w:lineRule="auto"/>
        <w:rPr>
          <w:sz w:val="20"/>
          <w:szCs w:val="20"/>
          <w:color w:val="auto"/>
        </w:rPr>
      </w:pPr>
      <w:r>
        <w:rPr>
          <w:rFonts w:ascii="Courier New" w:cs="Courier New" w:eastAsia="Courier New" w:hAnsi="Courier New"/>
          <w:sz w:val="18"/>
          <w:szCs w:val="18"/>
          <w:color w:val="auto"/>
        </w:rPr>
        <w:t>191,546</w:t>
      </w:r>
    </w:p>
    <w:p>
      <w:pPr>
        <w:jc w:val="right"/>
        <w:ind w:right="5059"/>
        <w:spacing w:after="0"/>
        <w:rPr>
          <w:sz w:val="20"/>
          <w:szCs w:val="20"/>
          <w:color w:val="auto"/>
        </w:rPr>
      </w:pPr>
      <w:r>
        <w:rPr>
          <w:rFonts w:ascii="Courier New" w:cs="Courier New" w:eastAsia="Courier New" w:hAnsi="Courier New"/>
          <w:sz w:val="18"/>
          <w:szCs w:val="18"/>
          <w:color w:val="auto"/>
        </w:rPr>
        <w:t>157,804</w:t>
      </w:r>
    </w:p>
    <w:p>
      <w:pPr>
        <w:ind w:left="3460"/>
        <w:spacing w:after="0" w:line="237" w:lineRule="auto"/>
        <w:rPr>
          <w:sz w:val="20"/>
          <w:szCs w:val="20"/>
          <w:color w:val="auto"/>
        </w:rPr>
      </w:pPr>
      <w:r>
        <w:rPr>
          <w:rFonts w:ascii="Courier New" w:cs="Courier New" w:eastAsia="Courier New" w:hAnsi="Courier New"/>
          <w:sz w:val="18"/>
          <w:szCs w:val="18"/>
          <w:color w:val="auto"/>
        </w:rPr>
        <w:t>157,804</w:t>
      </w:r>
    </w:p>
    <w:p>
      <w:pPr>
        <w:ind w:left="3260"/>
        <w:spacing w:after="0"/>
        <w:rPr>
          <w:sz w:val="20"/>
          <w:szCs w:val="20"/>
          <w:color w:val="auto"/>
        </w:rPr>
      </w:pPr>
      <w:r>
        <w:rPr>
          <w:rFonts w:ascii="Courier New" w:cs="Courier New" w:eastAsia="Courier New" w:hAnsi="Courier New"/>
          <w:sz w:val="18"/>
          <w:szCs w:val="18"/>
          <w:color w:val="auto"/>
        </w:rPr>
        <w:t>12,126</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(670)</w:t>
      </w:r>
    </w:p>
    <w:p>
      <w:pPr>
        <w:ind w:left="3360"/>
        <w:spacing w:after="0" w:line="237" w:lineRule="auto"/>
        <w:rPr>
          <w:sz w:val="20"/>
          <w:szCs w:val="20"/>
          <w:color w:val="auto"/>
        </w:rPr>
      </w:pPr>
      <w:r>
        <w:rPr>
          <w:rFonts w:ascii="Courier New" w:cs="Courier New" w:eastAsia="Courier New" w:hAnsi="Courier New"/>
          <w:sz w:val="18"/>
          <w:szCs w:val="18"/>
          <w:color w:val="auto"/>
        </w:rPr>
        <w:t>22,286</w:t>
      </w:r>
    </w:p>
    <w:p>
      <w:pPr>
        <w:ind w:left="3780"/>
        <w:spacing w:after="0" w:line="238" w:lineRule="auto"/>
        <w:rPr>
          <w:sz w:val="20"/>
          <w:szCs w:val="20"/>
          <w:color w:val="auto"/>
        </w:rPr>
      </w:pPr>
      <w:r>
        <w:rPr>
          <w:rFonts w:ascii="Courier New" w:cs="Courier New" w:eastAsia="Courier New" w:hAnsi="Courier New"/>
          <w:sz w:val="18"/>
          <w:szCs w:val="18"/>
          <w:color w:val="auto"/>
        </w:rPr>
        <w:t>7,675</w:t>
      </w:r>
    </w:p>
    <w:p>
      <w:pPr>
        <w:ind w:left="2940"/>
        <w:spacing w:after="0"/>
        <w:rPr>
          <w:sz w:val="20"/>
          <w:szCs w:val="20"/>
          <w:color w:val="auto"/>
        </w:rPr>
      </w:pPr>
      <w:r>
        <w:rPr>
          <w:rFonts w:ascii="Courier New" w:cs="Courier New" w:eastAsia="Courier New" w:hAnsi="Courier New"/>
          <w:sz w:val="18"/>
          <w:szCs w:val="18"/>
          <w:color w:val="auto"/>
        </w:rPr>
        <w:t>14,611</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14,611</w:t>
      </w:r>
    </w:p>
    <w:p>
      <w:pPr>
        <w:ind w:left="4100"/>
        <w:spacing w:after="0" w:line="237" w:lineRule="auto"/>
        <w:rPr>
          <w:sz w:val="20"/>
          <w:szCs w:val="20"/>
          <w:color w:val="auto"/>
        </w:rPr>
      </w:pPr>
      <w:r>
        <w:rPr>
          <w:rFonts w:ascii="Courier New" w:cs="Courier New" w:eastAsia="Courier New" w:hAnsi="Courier New"/>
          <w:sz w:val="18"/>
          <w:szCs w:val="18"/>
          <w:color w:val="auto"/>
        </w:rPr>
        <w:t>.66</w:t>
      </w:r>
    </w:p>
    <w:p>
      <w:pPr>
        <w:ind w:left="3900"/>
        <w:spacing w:after="0" w:line="238" w:lineRule="auto"/>
        <w:rPr>
          <w:sz w:val="20"/>
          <w:szCs w:val="20"/>
          <w:color w:val="auto"/>
        </w:rPr>
      </w:pPr>
      <w:r>
        <w:rPr>
          <w:rFonts w:ascii="Courier New" w:cs="Courier New" w:eastAsia="Courier New" w:hAnsi="Courier New"/>
          <w:sz w:val="18"/>
          <w:szCs w:val="18"/>
          <w:color w:val="auto"/>
        </w:rPr>
        <w:t>.65</w:t>
      </w:r>
    </w:p>
    <w:sectPr>
      <w:pgSz w:w="11900" w:h="16838" w:orient="portrait"/>
      <w:cols w:equalWidth="0" w:num="1">
        <w:col w:w="10099"/>
      </w:cols>
      <w:pgMar w:left="36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3"/>
    </w:lvl>
  </w:abstractNum>
  <w:abstractNum w:abstractNumId="2">
    <w:nsid w:val="1190CDE7"/>
    <w:multiLevelType w:val="hybridMultilevel"/>
    <w:lvl w:ilvl="0">
      <w:lvlJc w:val="left"/>
      <w:lvlText w:val="%1."/>
      <w:numFmt w:val="decimal"/>
      <w:start w:val="6"/>
    </w:lvl>
  </w:abstractNum>
  <w:abstractNum w:abstractNumId="3">
    <w:nsid w:val="66EF438D"/>
    <w:multiLevelType w:val="hybridMultilevel"/>
    <w:lvl w:ilvl="0">
      <w:lvlJc w:val="left"/>
      <w:lvlText w:val="%1."/>
      <w:numFmt w:val="decimal"/>
      <w:start w:val="8"/>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2"/>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3"/>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2019-12-13T08:34:07Z</dcterms:created>
  <dcterms:modified xsi:type="dcterms:W3CDTF">2019-12-13T08:34:07Z</dcterms:modified>
</cp:coreProperties>
</file>