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4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March 18, 2004</w:t>
      </w:r>
    </w:p>
    <w:p>
      <w:pPr>
        <w:spacing w:after="0" w:line="212"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3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Ex.99.1</w:t>
      </w:r>
      <w:r>
        <w:rPr>
          <w:sz w:val="20"/>
          <w:szCs w:val="20"/>
          <w:color w:val="auto"/>
        </w:rPr>
        <w:tab/>
      </w:r>
      <w:r>
        <w:rPr>
          <w:rFonts w:ascii="Arial" w:cs="Arial" w:eastAsia="Arial" w:hAnsi="Arial"/>
          <w:sz w:val="15"/>
          <w:szCs w:val="15"/>
          <w:color w:val="auto"/>
        </w:rPr>
        <w:t>Press Release of Winnebago Industries, Inc. issued on March 18, 2004</w:t>
      </w:r>
    </w:p>
    <w:p>
      <w:pPr>
        <w:spacing w:after="0" w:line="21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4"/>
          <w:szCs w:val="24"/>
          <w:color w:val="auto"/>
        </w:rPr>
      </w:pPr>
    </w:p>
    <w:p>
      <w:pPr>
        <w:ind w:right="140" w:firstLine="348"/>
        <w:spacing w:after="0" w:line="268" w:lineRule="auto"/>
        <w:rPr>
          <w:sz w:val="20"/>
          <w:szCs w:val="20"/>
          <w:color w:val="auto"/>
        </w:rPr>
      </w:pPr>
      <w:r>
        <w:rPr>
          <w:rFonts w:ascii="Arial" w:cs="Arial" w:eastAsia="Arial" w:hAnsi="Arial"/>
          <w:sz w:val="18"/>
          <w:szCs w:val="18"/>
          <w:color w:val="auto"/>
        </w:rPr>
        <w:t>Winnebago Industries, Inc. (Winnebago) is filing herewith a press release issued on March 18, 2004 as Exhibit 99.1 which is included herein. The press release was issued to report second quarter of fiscal 2004 earnings.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March 18, 2004</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4"/>
          <w:szCs w:val="24"/>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1">
            <w:col w:w="11160"/>
          </w:cols>
          <w:pgMar w:left="240" w:top="476" w:right="499" w:bottom="1440" w:gutter="0" w:footer="0" w:header="0"/>
        </w:sectPr>
      </w:pPr>
    </w:p>
    <w:p>
      <w:pPr>
        <w:spacing w:after="0" w:line="208" w:lineRule="exact"/>
        <w:rPr>
          <w:sz w:val="24"/>
          <w:szCs w:val="24"/>
          <w:color w:val="auto"/>
        </w:rPr>
      </w:pPr>
    </w:p>
    <w:p>
      <w:pPr>
        <w:ind w:left="10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476" w:right="499" w:bottom="1440" w:gutter="0" w:footer="0" w:header="0"/>
          <w:type w:val="continuous"/>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Sheila Davis</w:t>
      </w:r>
    </w:p>
    <w:p>
      <w:pPr>
        <w:ind w:left="1480"/>
        <w:spacing w:after="0" w:line="238" w:lineRule="auto"/>
        <w:rPr>
          <w:sz w:val="20"/>
          <w:szCs w:val="20"/>
          <w:color w:val="auto"/>
        </w:rPr>
      </w:pPr>
      <w:r>
        <w:rPr>
          <w:rFonts w:ascii="Courier New" w:cs="Courier New" w:eastAsia="Courier New" w:hAnsi="Courier New"/>
          <w:sz w:val="18"/>
          <w:szCs w:val="18"/>
          <w:color w:val="auto"/>
        </w:rPr>
        <w:t>Public Relations/Investor Relations Manager</w:t>
      </w:r>
    </w:p>
    <w:p>
      <w:pPr>
        <w:ind w:left="1480"/>
        <w:spacing w:after="0"/>
        <w:rPr>
          <w:sz w:val="20"/>
          <w:szCs w:val="20"/>
          <w:color w:val="auto"/>
        </w:rPr>
      </w:pPr>
      <w:r>
        <w:rPr>
          <w:rFonts w:ascii="Courier New" w:cs="Courier New" w:eastAsia="Courier New" w:hAnsi="Courier New"/>
          <w:sz w:val="18"/>
          <w:szCs w:val="18"/>
          <w:color w:val="auto"/>
        </w:rPr>
        <w:t>641/585-6803</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REPORTS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RECORD SECOND QUARTER AND SIX MONTHS RESULTS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FOREST CITY, IOWA, March 18, 2004 -- Winnebago Industries, Inc. (NYSE: WGO), the nation's leading motor home manufacturer, today reported record net income for the second quarter ended February 28, 2004 of $15.9 million, a 29 percent increase compared to net income of $12.3 million for the second quarter of fiscal 2003. On a per share basis, the Company earned a record 46 cents per diluted share for the second quarter of fiscal 2004, a 44 percent increase compared to 32 cents per diluted share for the second quarter of fiscal 2003.</w:t>
      </w:r>
    </w:p>
    <w:p>
      <w:pPr>
        <w:spacing w:after="0" w:line="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Record revenues for the second quarter of fiscal 2004 were $266.0 million, an increase of 43 percent when compared to revenues of $186.0 million for the second quarter of fiscal 2003.</w:t>
      </w:r>
    </w:p>
    <w:p>
      <w:pPr>
        <w:spacing w:after="0" w:line="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Net income for the first six months of fiscal 2004 was a record $33.9 million, a 19 percent increase when compared to net income of $28.6 million for the first six months of fiscal 2003. On a per share basis, the Company earned a record 96 cents per diluted share for the first six months of fiscal 2004, a 28 percent increase compared to 75 cents per diluted share for the first six months of fiscal 2003.</w:t>
      </w:r>
    </w:p>
    <w:p>
      <w:pPr>
        <w:spacing w:after="0" w:line="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For the first six months of fiscal 2004, the Company reported record revenues of $521.0 million, a 24 percent increase compared to $419.3 million for the first six months of fiscal 2003.</w:t>
      </w:r>
    </w:p>
    <w:p>
      <w:pPr>
        <w:spacing w:after="0" w:line="6"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"We are extremely pleased with our strong earnings performance for the second quarter and first six months of fiscal 2004," said Winnebago Industries' Chairman, CEO and President Bruce D. Hertzke. "Sales of our 2004 Class A diesel products have been particularly strong since their debut last fall, resulting in an increase in Class A diesel unit volume of 96 percent in the second quarter of fiscal 2004 compared to the volume for the same period in fiscal 2003. Winnebago Industries also saw growth in Class C sales, with an increase of 41 percent in unit volume compared to the second quarter last year."</w:t>
      </w:r>
    </w:p>
    <w:p>
      <w:pPr>
        <w:spacing w:after="0" w:line="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results of the quarter benefited from strong motor home sales, which were offset in part by a mix of more competitively priced products, an accrual of three cents a share for costs associated with an impending product recall, relatively higher manufacturing expense levels, and higher stock-based incentive compensation expense.</w:t>
      </w:r>
    </w:p>
    <w:p>
      <w:pPr>
        <w:spacing w:after="0" w:line="6"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"Based on our sales order backlog, we are looking forward to the spring and summer selling season," Hertzke said. "On February 28, 2004, Winnebago Industries had 2,933 orders on hand for the Company's motor homes, an increase of 55 percent from the sales order backlog we reported at the end of the second quarter last year of 1,890 motor homes. Our 2004 products continue to perform extremely well in the marketplace. We also continue to believe long-term prospects remain extremely positive. Economic factors have improved since last year at this time. Demographic trends also continue to be in our favor for long-term growth. According to the University of Michigan `Consumer Demographic Profile' study published in 2002 and conducted for the RV industry, long-term prospects for the industry will be favorably impacted due to the increased popularity of RVs, the growth in the prime target audience of people over age 50, and broadening age range of people who are buying motor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March 5, 2004, Winnebago Industries completed the two for one stock split announced on January 14, 2004. All per share information in this release has been adjusted to reflect the stock split.</w:t>
      </w:r>
    </w:p>
    <w:p>
      <w:pPr>
        <w:spacing w:after="0" w:line="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Winnebago Industries will conduct a conference call in conjunction with this release at 10 a.m. ET today, Thursday, March 18, 2004. Members of the news media, investors and the general public are invited to access a live broadcast of the conference call via the Investor Relations page of Company's website at www.winnebagoind.com, at www.shareholder.com/winnebago/medialist.cfm or www.vcall.com. The event will be archived and available for replay for the next 90 days.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WINNEBAGO INDUSTRIES</w:t>
      </w:r>
    </w:p>
    <w:p>
      <w:pPr>
        <w:spacing w:after="0" w:line="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http://www.winnebagoind.com/html/company/investorRelations.html</w:t>
      </w:r>
    </w:p>
    <w:p>
      <w:pPr>
        <w:ind w:left="540"/>
        <w:spacing w:after="0" w:line="238" w:lineRule="auto"/>
        <w:rPr>
          <w:sz w:val="20"/>
          <w:szCs w:val="20"/>
          <w:color w:val="auto"/>
        </w:rPr>
      </w:pPr>
      <w:r>
        <w:rPr>
          <w:rFonts w:ascii="Courier New" w:cs="Courier New" w:eastAsia="Courier New" w:hAnsi="Courier New"/>
          <w:sz w:val="18"/>
          <w:szCs w:val="18"/>
          <w:color w:val="auto"/>
        </w:rPr>
        <w:t>This press release may contain forward-looking statements within the</w:t>
      </w:r>
    </w:p>
    <w:p>
      <w:pPr>
        <w:sectPr>
          <w:pgSz w:w="11900" w:h="16838" w:orient="portrait"/>
          <w:cols w:equalWidth="0" w:num="1">
            <w:col w:w="10219"/>
          </w:cols>
          <w:pgMar w:left="240" w:top="136" w:right="1440" w:bottom="0" w:gutter="0" w:footer="0" w:header="0"/>
        </w:sectPr>
      </w:pPr>
    </w:p>
    <w:bookmarkStart w:id="2" w:name="page3"/>
    <w:bookmarkEnd w:id="2"/>
    <w:p>
      <w:pPr>
        <w:ind w:right="1779"/>
        <w:spacing w:after="0" w:line="238" w:lineRule="auto"/>
        <w:rPr>
          <w:sz w:val="20"/>
          <w:szCs w:val="20"/>
          <w:color w:val="auto"/>
        </w:rPr>
      </w:pPr>
      <w:r>
        <w:rPr>
          <w:rFonts w:ascii="Courier New" w:cs="Courier New" w:eastAsia="Courier New" w:hAnsi="Courier New"/>
          <w:sz w:val="18"/>
          <w:szCs w:val="18"/>
          <w:color w:val="auto"/>
        </w:rPr>
        <w:t>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the availability and price of fuel, a significant increase in interest rates, a slowdown in the economy, availability of chassis,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42"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2000"/>
        <w:spacing w:after="0" w:line="238" w:lineRule="auto"/>
        <w:rPr>
          <w:sz w:val="20"/>
          <w:szCs w:val="20"/>
          <w:color w:val="auto"/>
        </w:rPr>
      </w:pPr>
      <w:r>
        <w:rPr>
          <w:rFonts w:ascii="Courier New" w:cs="Courier New" w:eastAsia="Courier New" w:hAnsi="Courier New"/>
          <w:sz w:val="18"/>
          <w:szCs w:val="18"/>
          <w:color w:val="auto"/>
        </w:rPr>
        <w:t>UNAUDITED CONSOLIDATED STATEMENTS OF INCOME</w:t>
      </w:r>
    </w:p>
    <w:tbl>
      <w:tblPr>
        <w:tblLayout w:type="fixed"/>
        <w:tblInd w:w="0" w:type="dxa"/>
        <w:tblCellMar>
          <w:top w:w="0" w:type="dxa"/>
          <w:left w:w="0" w:type="dxa"/>
          <w:bottom w:w="0" w:type="dxa"/>
          <w:right w:w="0" w:type="dxa"/>
        </w:tblCellMar>
      </w:tblPr>
      <w:tr>
        <w:trPr>
          <w:trHeight w:val="203"/>
        </w:trPr>
        <w:tc>
          <w:tcPr>
            <w:tcW w:w="6440" w:type="dxa"/>
            <w:vAlign w:val="bottom"/>
            <w:gridSpan w:val="6"/>
          </w:tcPr>
          <w:p>
            <w:pPr>
              <w:ind w:left="2120"/>
              <w:spacing w:after="0"/>
              <w:rPr>
                <w:sz w:val="20"/>
                <w:szCs w:val="20"/>
                <w:color w:val="auto"/>
              </w:rPr>
            </w:pPr>
            <w:r>
              <w:rPr>
                <w:rFonts w:ascii="Courier New" w:cs="Courier New" w:eastAsia="Courier New" w:hAnsi="Courier New"/>
                <w:sz w:val="18"/>
                <w:szCs w:val="18"/>
                <w:color w:val="auto"/>
                <w:w w:val="99"/>
              </w:rPr>
              <w:t>(IN THOUSANDS, EXCEPT PER SHARE AMOUNTS)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QUARTER ENDED</w:t>
            </w:r>
          </w:p>
        </w:tc>
        <w:tc>
          <w:tcPr>
            <w:tcW w:w="32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2/28/2004</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3/1/2003</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2/28/2004</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3/1/2003</w:t>
            </w:r>
          </w:p>
        </w:tc>
      </w:tr>
      <w:tr>
        <w:trPr>
          <w:trHeight w:val="203"/>
        </w:trPr>
        <w:tc>
          <w:tcPr>
            <w:tcW w:w="38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$266,033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185,958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520,966</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419,305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231,004</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159,590</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446,472</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357,865</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35,029</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26,368</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74,494</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61,440</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4,461</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4,068</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9,022</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8,755</w:t>
            </w: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6,039</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2,932</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11,777</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8,036</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10,500</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20,799</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16,791</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24,529</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19,368</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53,695</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44,649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income</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586</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24,812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19,788</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54,281</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45,344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8,932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7,898</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20,334</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17,576</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15,880</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11,890</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33,947</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27,768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from discontinued operations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taxes)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$ 15,880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12,309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33,947</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28,587</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(basic)</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 - basic</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33,928</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37,550</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34,613</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(diluted)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 - diluted</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34,545</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38,224</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35,196</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38,226</w:t>
            </w:r>
          </w:p>
        </w:tc>
      </w:tr>
      <w:tr>
        <w:trPr>
          <w:trHeight w:val="203"/>
        </w:trPr>
        <w:tc>
          <w:tcPr>
            <w:tcW w:w="3800" w:type="dxa"/>
            <w:vAlign w:val="bottom"/>
          </w:tcPr>
          <w:p>
            <w:pPr>
              <w:spacing w:after="0"/>
              <w:rPr>
                <w:sz w:val="17"/>
                <w:szCs w:val="17"/>
                <w:color w:val="auto"/>
              </w:rPr>
            </w:pPr>
          </w:p>
        </w:tc>
        <w:tc>
          <w:tcPr>
            <w:tcW w:w="4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January 14, 2004, the Company's Board of Directors declared a two-for-one stock split effected in the form of a 100% stock dividend distributed on March 5, 2004 to shareholders of record as of February 20, 2004. All share and per share amounts have been restated to reflect the retroactive effect of the stock split.</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Certain prior period information has been reclassified to conform to the current year presentation.</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CONSOLIDATED CONDENSED BALANCE SHEETS</w:t>
      </w:r>
    </w:p>
    <w:tbl>
      <w:tblPr>
        <w:tblLayout w:type="fixed"/>
        <w:tblInd w:w="0" w:type="dxa"/>
        <w:tblCellMar>
          <w:top w:w="0" w:type="dxa"/>
          <w:left w:w="0" w:type="dxa"/>
          <w:bottom w:w="0" w:type="dxa"/>
          <w:right w:w="0" w:type="dxa"/>
        </w:tblCellMar>
      </w:tblPr>
      <w:tr>
        <w:trPr>
          <w:trHeight w:val="203"/>
        </w:trPr>
        <w:tc>
          <w:tcPr>
            <w:tcW w:w="506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6180" w:type="dxa"/>
            <w:vAlign w:val="bottom"/>
            <w:gridSpan w:val="2"/>
          </w:tcPr>
          <w:p>
            <w:pPr>
              <w:ind w:left="4640"/>
              <w:spacing w:after="0"/>
              <w:rPr>
                <w:sz w:val="20"/>
                <w:szCs w:val="20"/>
                <w:color w:val="auto"/>
              </w:rPr>
            </w:pPr>
            <w:r>
              <w:rPr>
                <w:rFonts w:ascii="Courier New" w:cs="Courier New" w:eastAsia="Courier New" w:hAnsi="Courier New"/>
                <w:sz w:val="18"/>
                <w:szCs w:val="18"/>
                <w:color w:val="auto"/>
              </w:rPr>
              <w:t>FEB. 28, 2004</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 30, 2003</w:t>
            </w:r>
          </w:p>
        </w:tc>
      </w:tr>
      <w:tr>
        <w:trPr>
          <w:trHeight w:val="203"/>
        </w:trPr>
        <w:tc>
          <w:tcPr>
            <w:tcW w:w="61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$ 56,716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99,381</w:t>
            </w:r>
          </w:p>
        </w:tc>
      </w:tr>
      <w:tr>
        <w:trPr>
          <w:trHeight w:val="405"/>
        </w:trPr>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Receivables</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41,165</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30,885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137,383</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114,282</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14,027</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12,741</w:t>
            </w:r>
          </w:p>
        </w:tc>
      </w:tr>
      <w:tr>
        <w:trPr>
          <w:trHeight w:val="203"/>
        </w:trPr>
        <w:tc>
          <w:tcPr>
            <w:tcW w:w="5060" w:type="dxa"/>
            <w:vAlign w:val="bottom"/>
          </w:tcPr>
          <w:p>
            <w:pPr>
              <w:spacing w:after="0"/>
              <w:rPr>
                <w:sz w:val="17"/>
                <w:szCs w:val="17"/>
                <w:color w:val="auto"/>
              </w:rPr>
            </w:pPr>
          </w:p>
        </w:tc>
        <w:tc>
          <w:tcPr>
            <w:tcW w:w="2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249,291</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257,289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63,412</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63,318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23,165</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22,491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life insurance</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22,421</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22,794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12,891</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11,570</w:t>
            </w:r>
          </w:p>
        </w:tc>
      </w:tr>
      <w:tr>
        <w:trPr>
          <w:trHeight w:val="203"/>
        </w:trPr>
        <w:tc>
          <w:tcPr>
            <w:tcW w:w="5060" w:type="dxa"/>
            <w:vAlign w:val="bottom"/>
          </w:tcPr>
          <w:p>
            <w:pPr>
              <w:spacing w:after="0"/>
              <w:rPr>
                <w:sz w:val="17"/>
                <w:szCs w:val="17"/>
                <w:color w:val="auto"/>
              </w:rPr>
            </w:pPr>
          </w:p>
        </w:tc>
        <w:tc>
          <w:tcPr>
            <w:tcW w:w="2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$371,180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377,462</w:t>
            </w:r>
          </w:p>
        </w:tc>
      </w:tr>
      <w:tr>
        <w:trPr>
          <w:trHeight w:val="405"/>
        </w:trPr>
        <w:tc>
          <w:tcPr>
            <w:tcW w:w="5060" w:type="dxa"/>
            <w:vAlign w:val="bottom"/>
          </w:tcPr>
          <w:p>
            <w:pPr>
              <w:spacing w:after="0"/>
              <w:rPr>
                <w:sz w:val="24"/>
                <w:szCs w:val="24"/>
                <w:color w:val="auto"/>
              </w:rPr>
            </w:pPr>
          </w:p>
        </w:tc>
        <w:tc>
          <w:tcPr>
            <w:tcW w:w="26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$ 50,598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52,239</w:t>
            </w:r>
          </w:p>
        </w:tc>
      </w:tr>
      <w:tr>
        <w:trPr>
          <w:trHeight w:val="405"/>
        </w:trPr>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Income taxes payable</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6,060</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52,368</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40,159</w:t>
            </w:r>
          </w:p>
        </w:tc>
      </w:tr>
      <w:tr>
        <w:trPr>
          <w:trHeight w:val="203"/>
        </w:trPr>
        <w:tc>
          <w:tcPr>
            <w:tcW w:w="5060" w:type="dxa"/>
            <w:vAlign w:val="bottom"/>
          </w:tcPr>
          <w:p>
            <w:pPr>
              <w:spacing w:after="0"/>
              <w:rPr>
                <w:sz w:val="17"/>
                <w:szCs w:val="17"/>
                <w:color w:val="auto"/>
              </w:rPr>
            </w:pPr>
          </w:p>
        </w:tc>
        <w:tc>
          <w:tcPr>
            <w:tcW w:w="2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109,026</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92,398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 retirement health care and</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 benefits</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78,523</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74,438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183,631</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210,626</w:t>
            </w:r>
          </w:p>
        </w:tc>
      </w:tr>
      <w:tr>
        <w:trPr>
          <w:trHeight w:val="203"/>
        </w:trPr>
        <w:tc>
          <w:tcPr>
            <w:tcW w:w="5060" w:type="dxa"/>
            <w:vAlign w:val="bottom"/>
          </w:tcPr>
          <w:p>
            <w:pPr>
              <w:spacing w:after="0"/>
              <w:rPr>
                <w:sz w:val="17"/>
                <w:szCs w:val="17"/>
                <w:color w:val="auto"/>
              </w:rPr>
            </w:pPr>
          </w:p>
        </w:tc>
        <w:tc>
          <w:tcPr>
            <w:tcW w:w="2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$371,180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377,462</w:t>
            </w:r>
          </w:p>
        </w:tc>
      </w:tr>
    </w:tbl>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2"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UNAUDITED CONDENSED CONSOLIDATED STATEMENT OF CASH FLOWS</w:t>
      </w:r>
    </w:p>
    <w:p>
      <w:pPr>
        <w:jc w:val="center"/>
        <w:ind w:right="1779"/>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SIX MONTHS</w:t>
            </w:r>
          </w:p>
        </w:tc>
        <w:tc>
          <w:tcPr>
            <w:tcW w:w="1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2/28/2004</w:t>
            </w:r>
          </w:p>
        </w:tc>
        <w:tc>
          <w:tcPr>
            <w:tcW w:w="12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3/1/2003</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33,947</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28,587</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Income from discontinued operations</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(819)</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8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33,947</w:t>
            </w:r>
          </w:p>
        </w:tc>
        <w:tc>
          <w:tcPr>
            <w:tcW w:w="1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27,768</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 by</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Depreciation and amortization</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4,759</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4,017</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Tax benefit of stock options</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2,328</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867</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504</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389</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 receivable and other assets</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(11,446)</w:t>
            </w:r>
          </w:p>
        </w:tc>
        <w:tc>
          <w:tcPr>
            <w:tcW w:w="1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10,479</w:t>
            </w: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(23,101)</w:t>
            </w:r>
          </w:p>
        </w:tc>
        <w:tc>
          <w:tcPr>
            <w:tcW w:w="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(13,751)</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Increase in deferred income taxes</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(2,248)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(1,412)</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Increase (decrease) in accounts payable and accrued expenses</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10,568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(1,604)</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Increase in income taxes payable</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7,485</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1,737</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Increase in postretirement benefits</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2,891</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2,343</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continuing operations</w:t>
            </w:r>
          </w:p>
        </w:tc>
        <w:tc>
          <w:tcPr>
            <w:tcW w:w="28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25,687</w:t>
            </w:r>
          </w:p>
        </w:tc>
        <w:tc>
          <w:tcPr>
            <w:tcW w:w="1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30,833</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Net cash provided by discontinued operations</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8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25,687</w:t>
            </w:r>
          </w:p>
        </w:tc>
        <w:tc>
          <w:tcPr>
            <w:tcW w:w="1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30,841</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Cash flows used in investing activities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(4,967)</w:t>
            </w:r>
          </w:p>
        </w:tc>
        <w:tc>
          <w:tcPr>
            <w:tcW w:w="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(17,559)</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(115)</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(1,458)</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continuing operations</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(5,082)</w:t>
            </w:r>
          </w:p>
        </w:tc>
        <w:tc>
          <w:tcPr>
            <w:tcW w:w="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(19,017)</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Net cash used in discontinued operations</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(4,255)</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(5,082)</w:t>
            </w:r>
          </w:p>
        </w:tc>
        <w:tc>
          <w:tcPr>
            <w:tcW w:w="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(23,272)</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w w:val="99"/>
              </w:rPr>
              <w:t>Cash flows used in financing activities and capital transactions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(63,979)</w:t>
            </w:r>
          </w:p>
        </w:tc>
        <w:tc>
          <w:tcPr>
            <w:tcW w:w="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(10,521)</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Payment of cash dividends</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(3,517)</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(1,887)</w:t>
            </w:r>
          </w:p>
        </w:tc>
      </w:tr>
      <w:tr>
        <w:trPr>
          <w:trHeight w:val="405"/>
        </w:trPr>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rPr>
              <w:t>Proceeds from issuance of common and treasury stock</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4,226</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2,121</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 and capital transactions</w:t>
            </w:r>
          </w:p>
        </w:tc>
        <w:tc>
          <w:tcPr>
            <w:tcW w:w="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(63,270)</w:t>
            </w:r>
          </w:p>
        </w:tc>
        <w:tc>
          <w:tcPr>
            <w:tcW w:w="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(10,287)</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690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(42,665)</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(2,718)</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Cash and cash equivalents-beginning of period</w:t>
            </w:r>
          </w:p>
        </w:tc>
        <w:tc>
          <w:tcPr>
            <w:tcW w:w="280" w:type="dxa"/>
            <w:vAlign w:val="bottom"/>
          </w:tcPr>
          <w:p>
            <w:pPr>
              <w:spacing w:after="0"/>
              <w:rPr>
                <w:sz w:val="24"/>
                <w:szCs w:val="24"/>
                <w:color w:val="auto"/>
              </w:rPr>
            </w:pP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99,381</w:t>
            </w:r>
          </w:p>
        </w:tc>
        <w:tc>
          <w:tcPr>
            <w:tcW w:w="1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42,225</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Cash and cash equivalents-end of period</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56,716</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39,507</w:t>
            </w:r>
          </w:p>
        </w:tc>
      </w:tr>
      <w:tr>
        <w:trPr>
          <w:trHeight w:val="203"/>
        </w:trPr>
        <w:tc>
          <w:tcPr>
            <w:tcW w:w="69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0219"/>
          </w:cols>
          <w:pgMar w:left="240" w:top="1122" w:right="1440" w:bottom="159" w:gutter="0" w:footer="0" w:header="0"/>
        </w:sectPr>
      </w:pPr>
    </w:p>
    <w:bookmarkStart w:id="6" w:name="page7"/>
    <w:bookmarkEnd w:id="6"/>
    <w:p>
      <w:pPr>
        <w:jc w:val="right"/>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 MOTOR HOME DELIVERIES</w:t>
      </w:r>
    </w:p>
    <w:p>
      <w:pPr>
        <w:jc w:val="center"/>
        <w:ind w:right="1659"/>
        <w:spacing w:after="0"/>
        <w:rPr>
          <w:sz w:val="20"/>
          <w:szCs w:val="20"/>
          <w:color w:val="auto"/>
        </w:rPr>
      </w:pPr>
      <w:r>
        <w:rPr>
          <w:rFonts w:ascii="Courier New" w:cs="Courier New" w:eastAsia="Courier New" w:hAnsi="Courier New"/>
          <w:sz w:val="18"/>
          <w:szCs w:val="18"/>
          <w:color w:val="auto"/>
        </w:rPr>
        <w:t>(VOLUME IN UNITS)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10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QUARTER ENDED</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SIX MONTHS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2440" w:type="dxa"/>
            <w:vAlign w:val="bottom"/>
          </w:tcPr>
          <w:p>
            <w:pPr>
              <w:spacing w:after="0"/>
              <w:rPr>
                <w:sz w:val="17"/>
                <w:szCs w:val="17"/>
                <w:color w:val="auto"/>
              </w:rPr>
            </w:pPr>
          </w:p>
        </w:tc>
        <w:tc>
          <w:tcPr>
            <w:tcW w:w="17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2/28/2004</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3/1/2003</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2/28/2004</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3/1/2003</w:t>
            </w:r>
          </w:p>
        </w:tc>
      </w:tr>
      <w:tr>
        <w:trPr>
          <w:trHeight w:val="203"/>
        </w:trPr>
        <w:tc>
          <w:tcPr>
            <w:tcW w:w="2440" w:type="dxa"/>
            <w:vAlign w:val="bottom"/>
          </w:tcPr>
          <w:p>
            <w:pPr>
              <w:spacing w:after="0"/>
              <w:rPr>
                <w:sz w:val="17"/>
                <w:szCs w:val="17"/>
                <w:color w:val="auto"/>
              </w:rPr>
            </w:pPr>
          </w:p>
        </w:tc>
        <w:tc>
          <w:tcPr>
            <w:tcW w:w="5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Unit deliveries</w:t>
            </w:r>
          </w:p>
        </w:tc>
        <w:tc>
          <w:tcPr>
            <w:tcW w:w="1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gas</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1,268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1,157</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2,677</w:t>
            </w: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diesel</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716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773</w:t>
            </w:r>
          </w:p>
        </w:tc>
      </w:tr>
      <w:tr>
        <w:trPr>
          <w:trHeight w:val="203"/>
        </w:trPr>
        <w:tc>
          <w:tcPr>
            <w:tcW w:w="2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C</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1,038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736</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1,734</w:t>
            </w:r>
          </w:p>
        </w:tc>
      </w:tr>
      <w:tr>
        <w:trPr>
          <w:trHeight w:val="203"/>
        </w:trPr>
        <w:tc>
          <w:tcPr>
            <w:tcW w:w="2440" w:type="dxa"/>
            <w:vAlign w:val="bottom"/>
          </w:tcPr>
          <w:p>
            <w:pPr>
              <w:spacing w:after="0"/>
              <w:rPr>
                <w:sz w:val="17"/>
                <w:szCs w:val="17"/>
                <w:color w:val="auto"/>
              </w:rPr>
            </w:pPr>
          </w:p>
        </w:tc>
        <w:tc>
          <w:tcPr>
            <w:tcW w:w="5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2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deliveries</w:t>
            </w:r>
          </w:p>
        </w:tc>
        <w:tc>
          <w:tcPr>
            <w:tcW w:w="1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3,022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2,259</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5,984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5,184</w:t>
            </w:r>
          </w:p>
        </w:tc>
      </w:tr>
    </w:tbl>
    <w:p>
      <w:pPr>
        <w:spacing w:after="0" w:line="200" w:lineRule="exact"/>
        <w:rPr>
          <w:sz w:val="20"/>
          <w:szCs w:val="20"/>
          <w:color w:val="auto"/>
        </w:rPr>
      </w:pPr>
    </w:p>
    <w:p>
      <w:pPr>
        <w:spacing w:after="0" w:line="20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WINNEBAGO INDUSTRIES, INC.</w:t>
      </w:r>
    </w:p>
    <w:p>
      <w:pPr>
        <w:jc w:val="center"/>
        <w:ind w:right="4099"/>
        <w:spacing w:after="0" w:line="238" w:lineRule="auto"/>
        <w:rPr>
          <w:sz w:val="20"/>
          <w:szCs w:val="20"/>
          <w:color w:val="auto"/>
        </w:rPr>
      </w:pPr>
      <w:r>
        <w:rPr>
          <w:rFonts w:ascii="Courier New" w:cs="Courier New" w:eastAsia="Courier New" w:hAnsi="Courier New"/>
          <w:sz w:val="18"/>
          <w:szCs w:val="18"/>
          <w:color w:val="auto"/>
        </w:rPr>
        <w:t>UNAUDITED BACKLOG AND DEALER INVENTORY</w:t>
      </w:r>
    </w:p>
    <w:p>
      <w:pPr>
        <w:jc w:val="center"/>
        <w:ind w:right="4199"/>
        <w:spacing w:after="0"/>
        <w:rPr>
          <w:sz w:val="20"/>
          <w:szCs w:val="20"/>
          <w:color w:val="auto"/>
        </w:rPr>
      </w:pPr>
      <w:r>
        <w:rPr>
          <w:rFonts w:ascii="Courier New" w:cs="Courier New" w:eastAsia="Courier New" w:hAnsi="Courier New"/>
          <w:sz w:val="18"/>
          <w:szCs w:val="18"/>
          <w:color w:val="auto"/>
        </w:rPr>
        <w:t>(VOLUME IN UNITS)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2/28/2004</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3/1/2003</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 order Backlog</w:t>
            </w: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gas</w:t>
            </w:r>
          </w:p>
        </w:tc>
        <w:tc>
          <w:tcPr>
            <w:tcW w:w="2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732</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diesel</w:t>
            </w:r>
          </w:p>
        </w:tc>
        <w:tc>
          <w:tcPr>
            <w:tcW w:w="2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C</w:t>
            </w:r>
          </w:p>
        </w:tc>
        <w:tc>
          <w:tcPr>
            <w:tcW w:w="2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861</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backlog*</w:t>
            </w:r>
          </w:p>
        </w:tc>
        <w:tc>
          <w:tcPr>
            <w:tcW w:w="2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Dealer inventory</w:t>
            </w:r>
          </w:p>
        </w:tc>
        <w:tc>
          <w:tcPr>
            <w:tcW w:w="2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5,359</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4,944</w:t>
            </w:r>
          </w:p>
        </w:tc>
      </w:tr>
    </w:tbl>
    <w:p>
      <w:pPr>
        <w:spacing w:after="0" w:line="207" w:lineRule="exact"/>
        <w:rPr>
          <w:sz w:val="20"/>
          <w:szCs w:val="20"/>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includes in its backlog all accepted orders from dealers shippable within the next six months. Orders in backlog can be cancelled or postponed at the option of the purchaser at any time without penalty and, therefore, backlog may not necessarily be an accurate measure of future sales.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2019-12-13T08:30:08Z</dcterms:created>
  <dcterms:modified xsi:type="dcterms:W3CDTF">2019-12-13T08:30:08Z</dcterms:modified>
</cp:coreProperties>
</file>