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7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03/18/2004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38,500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4,087,712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4,085,412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4,085,212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4,084,312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8,100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4,076,212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4,073,012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4,063,012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30.11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4,058,012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4,056,312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4,056,212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4,054,812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4,054,312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4,052,812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30.89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4,052,212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4,045,812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4,044,812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4,042,312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4,041,512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4,041,412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4,041,212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4,036,212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31.03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4,026,212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Title.7Title andShares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380" w:type="dxa"/>
            <w:vAlign w:val="bottom"/>
            <w:gridSpan w:val="7"/>
          </w:tcPr>
          <w:p>
            <w:pPr>
              <w:ind w:left="1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John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Derivative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V.Hanson, Managing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13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  <w:highlight w:val="white"/>
              </w:rPr>
              <w:t>Director, Hanson Capital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  <w:highlight w:val="white"/>
              </w:rPr>
              <w:t>03/19/2004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  <w:w w:val="96"/>
              </w:rPr>
              <w:t>Partners, L.L.C.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0" w:type="dxa"/>
            <w:vAlign w:val="bottom"/>
            <w:gridSpan w:val="5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ind w:left="4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758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</w:p>
    <w:p>
      <w:pPr>
        <w:ind w:left="7580" w:right="1060" w:hanging="7535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Persons who respond to the collection of information contained in this form are not required to respond unless the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 displays a currently valid OMB Number.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4600" w:type="dxa"/>
            <w:vAlign w:val="bottom"/>
            <w:vMerge w:val="restart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4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2019-12-16T08:22:15Z</dcterms:created>
  <dcterms:modified xsi:type="dcterms:W3CDTF">2019-12-16T08:22:15Z</dcterms:modified>
</cp:coreProperties>
</file>