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163830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33"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21" w:lineRule="exact"/>
        <w:rPr>
          <w:sz w:val="24"/>
          <w:szCs w:val="24"/>
          <w:color w:val="auto"/>
        </w:rPr>
      </w:pPr>
    </w:p>
    <w:p>
      <w:pPr>
        <w:jc w:val="center"/>
        <w:ind w:right="-79"/>
        <w:spacing w:after="0"/>
        <w:tabs>
          <w:tab w:leader="none" w:pos="1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December 18,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168275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52" w:lineRule="exact"/>
        <w:rPr>
          <w:sz w:val="24"/>
          <w:szCs w:val="24"/>
          <w:color w:val="auto"/>
        </w:rPr>
      </w:pPr>
    </w:p>
    <w:p>
      <w:pPr>
        <w:jc w:val="center"/>
        <w:ind w:right="-9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125" w:lineRule="exact"/>
        <w:rPr>
          <w:sz w:val="24"/>
          <w:szCs w:val="24"/>
          <w:color w:val="auto"/>
        </w:rPr>
      </w:pPr>
    </w:p>
    <w:tbl>
      <w:tblPr>
        <w:tblLayout w:type="fixed"/>
        <w:tblInd w:w="1060" w:type="dxa"/>
        <w:tblCellMar>
          <w:top w:w="0" w:type="dxa"/>
          <w:left w:w="0" w:type="dxa"/>
          <w:bottom w:w="0" w:type="dxa"/>
          <w:right w:w="0" w:type="dxa"/>
        </w:tblCellMar>
      </w:tblPr>
      <w:tr>
        <w:trPr>
          <w:trHeight w:val="262"/>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Iowa</w:t>
            </w:r>
          </w:p>
        </w:tc>
        <w:tc>
          <w:tcPr>
            <w:tcW w:w="2960" w:type="dxa"/>
            <w:vAlign w:val="bottom"/>
          </w:tcPr>
          <w:p>
            <w:pPr>
              <w:jc w:val="right"/>
              <w:ind w:right="1002"/>
              <w:spacing w:after="0"/>
              <w:rPr>
                <w:sz w:val="20"/>
                <w:szCs w:val="20"/>
                <w:color w:val="auto"/>
              </w:rPr>
            </w:pPr>
            <w:r>
              <w:rPr>
                <w:rFonts w:ascii="Arial" w:cs="Arial" w:eastAsia="Arial" w:hAnsi="Arial"/>
                <w:sz w:val="22"/>
                <w:szCs w:val="22"/>
                <w:b w:val="1"/>
                <w:bCs w:val="1"/>
                <w:color w:val="auto"/>
              </w:rPr>
              <w:t>001-06403</w:t>
            </w:r>
          </w:p>
        </w:tc>
        <w:tc>
          <w:tcPr>
            <w:tcW w:w="2300" w:type="dxa"/>
            <w:vAlign w:val="bottom"/>
          </w:tcPr>
          <w:p>
            <w:pPr>
              <w:jc w:val="right"/>
              <w:ind w:right="22"/>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89"/>
              </w:rPr>
              <w:t>(State or Other Jurisdiction</w:t>
            </w:r>
          </w:p>
        </w:tc>
        <w:tc>
          <w:tcPr>
            <w:tcW w:w="2960" w:type="dxa"/>
            <w:vAlign w:val="bottom"/>
          </w:tcPr>
          <w:p>
            <w:pPr>
              <w:jc w:val="center"/>
              <w:ind w:right="82"/>
              <w:spacing w:after="0"/>
              <w:rPr>
                <w:sz w:val="20"/>
                <w:szCs w:val="20"/>
                <w:color w:val="auto"/>
              </w:rPr>
            </w:pPr>
            <w:r>
              <w:rPr>
                <w:rFonts w:ascii="Arial" w:cs="Arial" w:eastAsia="Arial" w:hAnsi="Arial"/>
                <w:sz w:val="18"/>
                <w:szCs w:val="18"/>
                <w:color w:val="auto"/>
                <w:w w:val="90"/>
              </w:rPr>
              <w:t>(Commission File Number)</w:t>
            </w: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0"/>
              </w:rPr>
              <w:t>(IRS Employer</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of Incorporation)</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P.O. Box 152, Forest City, Iowa</w:t>
            </w:r>
          </w:p>
        </w:tc>
        <w:tc>
          <w:tcPr>
            <w:tcW w:w="2960" w:type="dxa"/>
            <w:vAlign w:val="bottom"/>
          </w:tcPr>
          <w:p>
            <w:pPr>
              <w:spacing w:after="0"/>
              <w:rPr>
                <w:sz w:val="24"/>
                <w:szCs w:val="24"/>
                <w:color w:val="auto"/>
              </w:rPr>
            </w:pPr>
          </w:p>
        </w:tc>
        <w:tc>
          <w:tcPr>
            <w:tcW w:w="230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(Address of Principal Executive Offices)</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1"/>
              </w:rPr>
              <w:t>(Zip Code)</w:t>
            </w:r>
          </w:p>
        </w:tc>
      </w:tr>
      <w:tr>
        <w:trPr>
          <w:trHeight w:val="404"/>
        </w:trPr>
        <w:tc>
          <w:tcPr>
            <w:tcW w:w="6260" w:type="dxa"/>
            <w:vAlign w:val="bottom"/>
            <w:gridSpan w:val="2"/>
          </w:tcPr>
          <w:p>
            <w:pPr>
              <w:ind w:left="1720"/>
              <w:spacing w:after="0"/>
              <w:rPr>
                <w:sz w:val="20"/>
                <w:szCs w:val="20"/>
                <w:color w:val="auto"/>
              </w:rPr>
            </w:pPr>
            <w:r>
              <w:rPr>
                <w:rFonts w:ascii="Arial" w:cs="Arial" w:eastAsia="Arial" w:hAnsi="Arial"/>
                <w:sz w:val="22"/>
                <w:szCs w:val="22"/>
                <w:color w:val="auto"/>
                <w:w w:val="89"/>
              </w:rPr>
              <w:t>Registrant’s telephone number, including area code</w:t>
            </w:r>
          </w:p>
        </w:tc>
        <w:tc>
          <w:tcPr>
            <w:tcW w:w="2300" w:type="dxa"/>
            <w:vAlign w:val="bottom"/>
          </w:tcPr>
          <w:p>
            <w:pPr>
              <w:jc w:val="right"/>
              <w:ind w:right="862"/>
              <w:spacing w:after="0"/>
              <w:rPr>
                <w:sz w:val="20"/>
                <w:szCs w:val="20"/>
                <w:color w:val="auto"/>
              </w:rPr>
            </w:pPr>
            <w:r>
              <w:rPr>
                <w:rFonts w:ascii="Arial" w:cs="Arial" w:eastAsia="Arial" w:hAnsi="Arial"/>
                <w:sz w:val="22"/>
                <w:szCs w:val="22"/>
                <w:color w:val="auto"/>
                <w:w w:val="96"/>
              </w:rPr>
              <w:t>641-585-3535</w:t>
            </w:r>
          </w:p>
        </w:tc>
      </w:tr>
    </w:tbl>
    <w:p>
      <w:pPr>
        <w:spacing w:after="0" w:line="130"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167640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61" w:lineRule="exact"/>
        <w:rPr>
          <w:sz w:val="24"/>
          <w:szCs w:val="24"/>
          <w:color w:val="auto"/>
        </w:rPr>
      </w:pPr>
    </w:p>
    <w:p>
      <w:pPr>
        <w:ind w:right="1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320" w:hanging="312"/>
        <w:spacing w:after="0"/>
        <w:tabs>
          <w:tab w:leader="none" w:pos="3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725805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1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Winnebago Industries, Inc. is filing herewith a press release issued on December 18, 2008, as Exhibit 99.1 which is included herein. The press release was issued to report earnings for the first quarter fiscal 2009 ended November 29, 2008.</w:t>
      </w:r>
    </w:p>
    <w:p>
      <w:pPr>
        <w:spacing w:after="0" w:line="99" w:lineRule="exact"/>
        <w:rPr>
          <w:sz w:val="24"/>
          <w:szCs w:val="24"/>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306" w:lineRule="exact"/>
        <w:rPr>
          <w:sz w:val="24"/>
          <w:szCs w:val="24"/>
          <w:color w:val="auto"/>
        </w:rPr>
      </w:pPr>
    </w:p>
    <w:p>
      <w:pPr>
        <w:ind w:left="920" w:hanging="547"/>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6"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Number</w:t>
      </w:r>
      <w:r>
        <w:rPr>
          <w:rFonts w:ascii="Arial" w:cs="Arial" w:eastAsia="Arial" w:hAnsi="Arial"/>
          <w:sz w:val="15"/>
          <w:szCs w:val="15"/>
          <w:b w:val="1"/>
          <w:bCs w:val="1"/>
          <w:color w:val="auto"/>
        </w:rPr>
        <w:t>Description</w:t>
      </w:r>
    </w:p>
    <w:p>
      <w:pPr>
        <w:spacing w:after="0" w:line="246" w:lineRule="exact"/>
        <w:rPr>
          <w:sz w:val="24"/>
          <w:szCs w:val="24"/>
          <w:color w:val="auto"/>
        </w:rPr>
      </w:pPr>
    </w:p>
    <w:p>
      <w:pPr>
        <w:ind w:left="780"/>
        <w:spacing w:after="0"/>
        <w:tabs>
          <w:tab w:leader="none" w:pos="1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December 18, 2008.</w:t>
      </w:r>
    </w:p>
    <w:p>
      <w:pPr>
        <w:spacing w:after="0" w:line="35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158"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4740" w:val="left"/>
        </w:tabs>
        <w:rPr>
          <w:sz w:val="20"/>
          <w:szCs w:val="20"/>
          <w:color w:val="auto"/>
        </w:rPr>
      </w:pPr>
      <w:r>
        <w:rPr>
          <w:rFonts w:ascii="Arial" w:cs="Arial" w:eastAsia="Arial" w:hAnsi="Arial"/>
          <w:sz w:val="18"/>
          <w:szCs w:val="18"/>
          <w:color w:val="auto"/>
        </w:rPr>
        <w:t>Dated: December 18, 2008</w:t>
      </w:r>
      <w:r>
        <w:rPr>
          <w:sz w:val="20"/>
          <w:szCs w:val="20"/>
          <w:color w:val="auto"/>
        </w:rPr>
        <w:tab/>
      </w:r>
      <w:r>
        <w:rPr>
          <w:rFonts w:ascii="Arial" w:cs="Arial" w:eastAsia="Arial" w:hAnsi="Arial"/>
          <w:sz w:val="21"/>
          <w:szCs w:val="21"/>
          <w:color w:val="auto"/>
        </w:rPr>
        <w:t>W</w:t>
      </w:r>
      <w:r>
        <w:rPr>
          <w:rFonts w:ascii="Arial" w:cs="Arial" w:eastAsia="Arial" w:hAnsi="Arial"/>
          <w:sz w:val="16"/>
          <w:szCs w:val="16"/>
          <w:color w:val="auto"/>
        </w:rPr>
        <w:t>INNEBAGO</w:t>
      </w:r>
      <w:r>
        <w:rPr>
          <w:rFonts w:ascii="Arial" w:cs="Arial" w:eastAsia="Arial" w:hAnsi="Arial"/>
          <w:sz w:val="21"/>
          <w:szCs w:val="21"/>
          <w:color w:val="auto"/>
        </w:rPr>
        <w:t xml:space="preserve"> I</w:t>
      </w:r>
      <w:r>
        <w:rPr>
          <w:rFonts w:ascii="Arial" w:cs="Arial" w:eastAsia="Arial" w:hAnsi="Arial"/>
          <w:sz w:val="16"/>
          <w:szCs w:val="16"/>
          <w:color w:val="auto"/>
        </w:rPr>
        <w:t>NDUSTRIES,</w:t>
      </w:r>
      <w:r>
        <w:rPr>
          <w:rFonts w:ascii="Arial" w:cs="Arial" w:eastAsia="Arial" w:hAnsi="Arial"/>
          <w:sz w:val="21"/>
          <w:szCs w:val="21"/>
          <w:color w:val="auto"/>
        </w:rPr>
        <w:t xml:space="preserve"> I</w:t>
      </w:r>
      <w:r>
        <w:rPr>
          <w:rFonts w:ascii="Arial" w:cs="Arial" w:eastAsia="Arial" w:hAnsi="Arial"/>
          <w:sz w:val="16"/>
          <w:szCs w:val="16"/>
          <w:color w:val="auto"/>
        </w:rPr>
        <w:t>NC.</w:t>
      </w:r>
    </w:p>
    <w:p>
      <w:pPr>
        <w:sectPr>
          <w:pgSz w:w="11900" w:h="16838" w:orient="portrait"/>
          <w:cols w:equalWidth="0" w:num="1">
            <w:col w:w="11340"/>
          </w:cols>
          <w:pgMar w:left="240" w:top="786" w:right="319" w:bottom="5" w:gutter="0" w:footer="0" w:header="0"/>
        </w:sectPr>
      </w:pPr>
    </w:p>
    <w:bookmarkStart w:id="1" w:name="page2"/>
    <w:bookmarkEnd w:id="1"/>
    <w:tbl>
      <w:tblPr>
        <w:tblLayout w:type="fixed"/>
        <w:tblInd w:w="420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r>
      <w:tr>
        <w:trPr>
          <w:trHeight w:val="190"/>
        </w:trPr>
        <w:tc>
          <w:tcPr>
            <w:tcW w:w="74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0" w:lineRule="exact"/>
              <w:rPr>
                <w:sz w:val="20"/>
                <w:szCs w:val="20"/>
                <w:color w:val="auto"/>
              </w:rPr>
            </w:pPr>
            <w:r>
              <w:rPr>
                <w:rFonts w:ascii="Arial" w:cs="Arial" w:eastAsia="Arial" w:hAnsi="Arial"/>
                <w:sz w:val="18"/>
                <w:szCs w:val="18"/>
                <w:color w:val="auto"/>
              </w:rPr>
              <w:t>Robert J. Olson</w:t>
            </w:r>
          </w:p>
        </w:tc>
      </w:tr>
      <w:tr>
        <w:trPr>
          <w:trHeight w:val="23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w w:val="97"/>
              </w:rPr>
              <w:t>Chairman of the Board, Chief Executive Officer and President</w:t>
            </w:r>
          </w:p>
        </w:tc>
      </w:tr>
    </w:tbl>
    <w:p>
      <w:pPr>
        <w:spacing w:after="0" w:line="200" w:lineRule="exact"/>
        <w:rPr>
          <w:sz w:val="20"/>
          <w:szCs w:val="20"/>
          <w:color w:val="auto"/>
        </w:rPr>
      </w:pPr>
    </w:p>
    <w:p>
      <w:pPr>
        <w:spacing w:after="0" w:line="207"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EXHIBIT INDEX</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0"/>
          <w:szCs w:val="20"/>
          <w:color w:val="auto"/>
        </w:rPr>
      </w:pPr>
    </w:p>
    <w:p>
      <w:pPr>
        <w:ind w:left="22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December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506730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720"/>
          </w:cols>
          <w:pgMar w:left="800" w:top="388" w:right="137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REPORTS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FIRST QUARTER OF FISCAL YEAR 2009</w:t>
      </w:r>
    </w:p>
    <w:p>
      <w:pPr>
        <w:spacing w:after="0" w:line="20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FOREST CITY, IOWA, December 18, 2008 – Winnebago Industries, Inc. (NYSE:WGO), the nation’s top-selling motor home manufacturer, today reported financial results for the Company’s first quarter of fiscal year 2009 ended November 29, 2008.</w:t>
      </w:r>
    </w:p>
    <w:p>
      <w:pPr>
        <w:spacing w:after="0" w:line="18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Revenues for the 13-week quarter were $69.4 million, a decrease of 67.7 percent, versus revenues of $215.1 million for the 14-week first quarter last year. The Company reported an operating loss of $16.9 million for the first quarter of fiscal 2009 versus operating income of $13.6 million for the first quarter of fiscal 2008. Net loss for the first quarter was $9.6 million versus net income of $10.0 million for the first quarter of fiscal 2008. On a diluted per share basis, the Company had a net loss of 33 cents for the first quarter of fiscal 2009, versus net income of 34 cents for the first quarter last year.</w:t>
      </w:r>
    </w:p>
    <w:p>
      <w:pPr>
        <w:spacing w:after="0" w:line="16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first quarter of fiscal 2009 was negatively impacted by the continued decline in motor home delivery volumes, increased incentives at the wholesale and retail levels and a less favorable mix of products sold. In turn, lower motor home volume resulted in inefficiencies due to reduced utilization of manufacturing facilities. However, during the first quarter, the Company benefited from a reduction in inventories of $27.3 million, which contributed to a 61.1 percent increase in cash and cash equivalents to $28.8 million as of November 29, 2008. Additional cash has been provided from the sale at par of $5.4 million of auction rate securities in December following the end of the quarter, now classified as short term investments.</w:t>
      </w:r>
    </w:p>
    <w:p>
      <w:pPr>
        <w:spacing w:after="0" w:line="170"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 xml:space="preserve">"Current market conditions remain extremely challenging due to the overall decline in the general economy, and a declining housing market and stock market, which continue to erode the American consumer’s sense of wealth,” said Winnebago Industries’ Chairman, CEO and President Bob Olson. “Additionally, the availability and terms of financing at both the wholesale and retail levels are a significant concern. Industry-wide dealer inventories continue to be adjusted downward by lower retail demand. In spite of these difficult challenges, we continue to focus on new product development. At the Annual National RV Trade Show held in Louisville, KY earlier this month, we once again demonstrated our leadership in innovation with the introduction of the exciting new Winnebago Via which was named “Best of Show” by </w:t>
      </w:r>
      <w:r>
        <w:rPr>
          <w:rFonts w:ascii="Arial" w:cs="Arial" w:eastAsia="Arial" w:hAnsi="Arial"/>
          <w:sz w:val="16"/>
          <w:szCs w:val="16"/>
          <w:i w:val="1"/>
          <w:iCs w:val="1"/>
          <w:color w:val="auto"/>
        </w:rPr>
        <w:t>RVBusiness</w:t>
      </w:r>
      <w:r>
        <w:rPr>
          <w:rFonts w:ascii="Arial" w:cs="Arial" w:eastAsia="Arial" w:hAnsi="Arial"/>
          <w:sz w:val="16"/>
          <w:szCs w:val="16"/>
          <w:color w:val="auto"/>
        </w:rPr>
        <w:t xml:space="preserve"> magazine. The new Via and the Itasca Reyo, which we will be building in the coming year, are the industry’s first Class A motor homes built on the Dodge Sprinter chassis. We also introduced several new floorplans as well as two other concept vehicles. The concept vehicles include a Winnebago Adventurer Hybrid, the Company’s first hybrid and the first hybrid motor home to feature an Auxiliary Power Generation unit, as well as a new Itasca Sunstar 32K front engine diesel motor home. The new Via, Adventurer Hybrid and Sunstar 32K all feature superior fuel economy.</w:t>
      </w:r>
    </w:p>
    <w:p>
      <w:pPr>
        <w:spacing w:after="0" w:line="5" w:lineRule="exact"/>
        <w:rPr>
          <w:sz w:val="20"/>
          <w:szCs w:val="20"/>
          <w:color w:val="auto"/>
        </w:rPr>
      </w:pPr>
    </w:p>
    <w:p>
      <w:pPr>
        <w:ind w:right="300"/>
        <w:spacing w:after="0" w:line="209" w:lineRule="auto"/>
        <w:rPr>
          <w:sz w:val="20"/>
          <w:szCs w:val="20"/>
          <w:color w:val="auto"/>
        </w:rPr>
      </w:pPr>
      <w:r>
        <w:rPr>
          <w:rFonts w:ascii="Arial" w:cs="Arial" w:eastAsia="Arial" w:hAnsi="Arial"/>
          <w:sz w:val="18"/>
          <w:szCs w:val="18"/>
          <w:color w:val="auto"/>
        </w:rPr>
        <w:t>We were also honored to receive the Quality Circle Award for our Winnebago and Itasca brands from the Recreation Vehicle Dealers’ Association for the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consecutive year at the show.”</w:t>
      </w:r>
    </w:p>
    <w:p>
      <w:pPr>
        <w:spacing w:after="0" w:line="21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we are pleased with the reception of our new products,” said Olson, “we anticipate continued softness in motor home sales, particularly during our seasonally slow second quarter. Statistical Surveys, the retail reporting service for the RV industry, has reported a decline in retail motor home sales of 48.0 percent for the month of October and 39.5 percent calendar year to date through October 2008 as compared to last year. We continue to lead the industry in retail sales of Class A and Class C motor homes combined with our Winnebago and Itasca brands garnering 18.6 percent of the market calendar year to date through October.”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Olson continued, “Our Winnebago, Itasca and ERA dealer partners’ have a combined total inventory of 3,269 motor homes as of November 29, 2008, a 34.3 percent reduction compared with the high of 4,978 motor homes in inventory at the end of fiscal 2004, and a 25.1 percent reduction as compared to dealer inventory at the end of the first quarter of fiscal 2008. I believe once dealers have reduced their inventory levels to more closely match retail demand, we will experience an increase in deliveries through the replacement of retailed units.”</w:t>
      </w:r>
    </w:p>
    <w:p>
      <w:pPr>
        <w:spacing w:after="0" w:line="16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9 a.m. Central Time today, Thursday, December 18, 2008.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 xml:space="preserve">Winnebago Industries, Inc. is the nation’s top-selling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02"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interest rates and availability of credit, low consumer confidence, availability and price of fuel, a further slowdown in the economy, availability of chassis and other key component parts, sales order cancellations, slower than anticipated sales of new or existing products, new product introductions by competitors, the effect of global tensions,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jc w:val="center"/>
        <w:ind w:left="3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Unaudited Consolidated Statements of Income</w:t>
      </w:r>
    </w:p>
    <w:p>
      <w:pPr>
        <w:sectPr>
          <w:pgSz w:w="11900" w:h="16838" w:orient="portrait"/>
          <w:cols w:equalWidth="0" w:num="1">
            <w:col w:w="11420"/>
          </w:cols>
          <w:pgMar w:left="240" w:top="355" w:right="239" w:bottom="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color w:val="auto"/>
        </w:rPr>
        <w:t>(In thousands, except percent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87"/>
              </w:rPr>
              <w:t>Thirteen Weeks Ended</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86"/>
              </w:rPr>
              <w:t>Fourteen Weeks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4"/>
                <w:szCs w:val="14"/>
                <w:b w:val="1"/>
                <w:bCs w:val="1"/>
                <w:color w:val="auto"/>
                <w:w w:val="86"/>
              </w:rPr>
              <w:t>November 29, 2008</w:t>
            </w: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4"/>
                <w:szCs w:val="14"/>
                <w:b w:val="1"/>
                <w:bCs w:val="1"/>
                <w:color w:val="auto"/>
                <w:w w:val="86"/>
              </w:rPr>
              <w:t>December 1, 2007</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69,398</w:t>
            </w:r>
          </w:p>
        </w:tc>
        <w:tc>
          <w:tcPr>
            <w:tcW w:w="3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w w:val="97"/>
              </w:rPr>
              <w:t>100.0</w:t>
            </w:r>
          </w:p>
        </w:tc>
        <w:tc>
          <w:tcPr>
            <w:tcW w:w="260" w:type="dxa"/>
            <w:vAlign w:val="bottom"/>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215,142</w:t>
            </w:r>
          </w:p>
        </w:tc>
        <w:tc>
          <w:tcPr>
            <w:tcW w:w="3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5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78,292</w:t>
            </w:r>
          </w:p>
        </w:tc>
        <w:tc>
          <w:tcPr>
            <w:tcW w:w="360" w:type="dxa"/>
            <w:vAlign w:val="bottom"/>
            <w:tcBorders>
              <w:bottom w:val="single" w:sz="8" w:color="D6F3E8"/>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112.8</w:t>
            </w:r>
          </w:p>
        </w:tc>
        <w:tc>
          <w:tcPr>
            <w:tcW w:w="340" w:type="dxa"/>
            <w:vAlign w:val="bottom"/>
            <w:tcBorders>
              <w:bottom w:val="single" w:sz="8" w:color="D6F3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189,502</w:t>
            </w:r>
          </w:p>
        </w:tc>
        <w:tc>
          <w:tcPr>
            <w:tcW w:w="340" w:type="dxa"/>
            <w:vAlign w:val="bottom"/>
            <w:tcBorders>
              <w:bottom w:val="single" w:sz="8" w:color="D6F3E8"/>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D6F3E8"/>
          </w:tcPr>
          <w:p>
            <w:pPr>
              <w:ind w:left="160"/>
              <w:spacing w:after="0" w:line="202" w:lineRule="exact"/>
              <w:rPr>
                <w:sz w:val="20"/>
                <w:szCs w:val="20"/>
                <w:color w:val="auto"/>
              </w:rPr>
            </w:pPr>
            <w:r>
              <w:rPr>
                <w:rFonts w:ascii="Arial" w:cs="Arial" w:eastAsia="Arial" w:hAnsi="Arial"/>
                <w:sz w:val="18"/>
                <w:szCs w:val="18"/>
                <w:color w:val="auto"/>
              </w:rPr>
              <w:t>Gross (deficit) profit</w:t>
            </w: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(8,894)</w:t>
            </w:r>
          </w:p>
        </w:tc>
        <w:tc>
          <w:tcPr>
            <w:tcW w:w="3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25,640</w:t>
            </w:r>
          </w:p>
        </w:tc>
        <w:tc>
          <w:tcPr>
            <w:tcW w:w="3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4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400" w:type="dxa"/>
            <w:vAlign w:val="bottom"/>
          </w:tcPr>
          <w:p>
            <w:pPr>
              <w:spacing w:after="0" w:line="188" w:lineRule="exact"/>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60" w:type="dxa"/>
            <w:vAlign w:val="bottom"/>
            <w:tcBorders>
              <w:top w:val="single" w:sz="8" w:color="D6F3E8"/>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40" w:type="dxa"/>
            <w:vAlign w:val="bottom"/>
            <w:tcBorders>
              <w:top w:val="single" w:sz="8" w:color="D6F3E8"/>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160"/>
              <w:spacing w:after="0"/>
              <w:rPr>
                <w:sz w:val="20"/>
                <w:szCs w:val="20"/>
                <w:color w:val="auto"/>
              </w:rPr>
            </w:pPr>
            <w:r>
              <w:rPr>
                <w:rFonts w:ascii="Arial" w:cs="Arial" w:eastAsia="Arial" w:hAnsi="Arial"/>
                <w:sz w:val="18"/>
                <w:szCs w:val="18"/>
                <w:color w:val="auto"/>
              </w:rPr>
              <w:t>Selling</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64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4,331</w:t>
            </w:r>
          </w:p>
        </w:tc>
        <w:tc>
          <w:tcPr>
            <w:tcW w:w="3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6,451</w:t>
            </w:r>
          </w:p>
        </w:tc>
        <w:tc>
          <w:tcPr>
            <w:tcW w:w="3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5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D6F3E8"/>
            </w:tcBorders>
          </w:tcPr>
          <w:p>
            <w:pPr>
              <w:ind w:left="160"/>
              <w:spacing w:after="0" w:line="202"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7,996</w:t>
            </w:r>
          </w:p>
        </w:tc>
        <w:tc>
          <w:tcPr>
            <w:tcW w:w="360" w:type="dxa"/>
            <w:vAlign w:val="bottom"/>
            <w:tcBorders>
              <w:bottom w:val="single" w:sz="8" w:color="D6F3E8"/>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D6F3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12,056</w:t>
            </w:r>
          </w:p>
        </w:tc>
        <w:tc>
          <w:tcPr>
            <w:tcW w:w="340" w:type="dxa"/>
            <w:vAlign w:val="bottom"/>
            <w:tcBorders>
              <w:bottom w:val="single" w:sz="8" w:color="D6F3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Operating (loss) income</w:t>
            </w: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(16,890)</w:t>
            </w:r>
          </w:p>
        </w:tc>
        <w:tc>
          <w:tcPr>
            <w:tcW w:w="3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13,584</w:t>
            </w:r>
          </w:p>
        </w:tc>
        <w:tc>
          <w:tcPr>
            <w:tcW w:w="3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4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Financial income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360" w:type="dxa"/>
            <w:vAlign w:val="bottom"/>
            <w:tcBorders>
              <w:bottom w:val="single" w:sz="8" w:color="D6F3E8"/>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40" w:type="dxa"/>
            <w:vAlign w:val="bottom"/>
            <w:tcBorders>
              <w:bottom w:val="single" w:sz="8" w:color="D6F3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340" w:type="dxa"/>
            <w:vAlign w:val="bottom"/>
            <w:tcBorders>
              <w:bottom w:val="single" w:sz="8" w:color="D6F3E8"/>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(Loss) income before income taxes</w:t>
            </w: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(16,366)</w:t>
            </w:r>
          </w:p>
        </w:tc>
        <w:tc>
          <w:tcPr>
            <w:tcW w:w="3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14,824</w:t>
            </w:r>
          </w:p>
        </w:tc>
        <w:tc>
          <w:tcPr>
            <w:tcW w:w="3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4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(Credit) provision for taxes</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(6,770)</w:t>
            </w:r>
          </w:p>
        </w:tc>
        <w:tc>
          <w:tcPr>
            <w:tcW w:w="2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40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shd w:val="clear" w:color="auto" w:fill="D6F3E8"/>
          </w:tcPr>
          <w:p>
            <w:pPr>
              <w:spacing w:after="0"/>
              <w:rPr>
                <w:sz w:val="18"/>
                <w:szCs w:val="18"/>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(9,596)</w:t>
            </w:r>
          </w:p>
        </w:tc>
        <w:tc>
          <w:tcPr>
            <w:tcW w:w="360" w:type="dxa"/>
            <w:vAlign w:val="bottom"/>
            <w:vMerge w:val="continue"/>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9,962</w:t>
            </w:r>
          </w:p>
        </w:tc>
        <w:tc>
          <w:tcPr>
            <w:tcW w:w="3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4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w:t>
            </w:r>
          </w:p>
        </w:tc>
        <w:tc>
          <w:tcPr>
            <w:tcW w:w="100" w:type="dxa"/>
            <w:vAlign w:val="bottom"/>
            <w:vMerge w:val="continue"/>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D6F3E8"/>
              <w:bottom w:val="single" w:sz="8" w:color="D6F3E8"/>
            </w:tcBorders>
            <w:vMerge w:val="restart"/>
          </w:tcPr>
          <w:p>
            <w:pPr>
              <w:spacing w:after="0" w:line="201" w:lineRule="exact"/>
              <w:rPr>
                <w:sz w:val="20"/>
                <w:szCs w:val="20"/>
                <w:color w:val="auto"/>
              </w:rPr>
            </w:pPr>
            <w:r>
              <w:rPr>
                <w:rFonts w:ascii="Arial" w:cs="Arial" w:eastAsia="Arial" w:hAnsi="Arial"/>
                <w:sz w:val="18"/>
                <w:szCs w:val="18"/>
                <w:color w:val="auto"/>
              </w:rPr>
              <w:t>(Loss) income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bottom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4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260" w:type="dxa"/>
            <w:vAlign w:val="bottom"/>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0.34</w:t>
            </w:r>
          </w:p>
        </w:tc>
        <w:tc>
          <w:tcPr>
            <w:tcW w:w="3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29,027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29,352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29,039</w:t>
            </w:r>
          </w:p>
        </w:tc>
        <w:tc>
          <w:tcPr>
            <w:tcW w:w="3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29,440</w:t>
            </w:r>
          </w:p>
        </w:tc>
        <w:tc>
          <w:tcPr>
            <w:tcW w:w="3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958215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Nov. 29, 2008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Aug. 30, 2008</w:t>
            </w:r>
          </w:p>
        </w:tc>
        <w:tc>
          <w:tcPr>
            <w:tcW w:w="0" w:type="dxa"/>
            <w:vAlign w:val="bottom"/>
          </w:tcPr>
          <w:p>
            <w:pPr>
              <w:spacing w:after="0"/>
              <w:rPr>
                <w:sz w:val="1"/>
                <w:szCs w:val="1"/>
                <w:color w:val="auto"/>
              </w:rPr>
            </w:pPr>
          </w:p>
        </w:tc>
      </w:tr>
      <w:tr>
        <w:trPr>
          <w:trHeight w:val="188"/>
        </w:trPr>
        <w:tc>
          <w:tcPr>
            <w:tcW w:w="846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28,765</w:t>
            </w:r>
          </w:p>
        </w:tc>
        <w:tc>
          <w:tcPr>
            <w:tcW w:w="320" w:type="dxa"/>
            <w:vAlign w:val="bottom"/>
            <w:shd w:val="clear" w:color="auto" w:fill="D6F3E8"/>
          </w:tcPr>
          <w:p>
            <w:pPr>
              <w:spacing w:after="0"/>
              <w:rPr>
                <w:sz w:val="18"/>
                <w:szCs w:val="18"/>
                <w:color w:val="auto"/>
              </w:rPr>
            </w:pPr>
          </w:p>
        </w:tc>
        <w:tc>
          <w:tcPr>
            <w:tcW w:w="1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17,851</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4,648</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9,426</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83,294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110,596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Income taxes receivable</w:t>
            </w:r>
          </w:p>
        </w:tc>
        <w:tc>
          <w:tcPr>
            <w:tcW w:w="18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11,232</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6,618</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Prepaid and other</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13,632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D6F3E8"/>
            </w:tcBorders>
            <w:shd w:val="clear" w:color="auto" w:fill="D6F3E8"/>
          </w:tcPr>
          <w:p>
            <w:pPr>
              <w:ind w:left="280"/>
              <w:spacing w:after="0" w:line="202" w:lineRule="exact"/>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shd w:val="clear" w:color="auto" w:fill="D6F3E8"/>
          </w:tcPr>
          <w:p>
            <w:pPr>
              <w:spacing w:after="0"/>
              <w:rPr>
                <w:sz w:val="18"/>
                <w:szCs w:val="18"/>
                <w:color w:val="auto"/>
              </w:rPr>
            </w:pPr>
          </w:p>
        </w:tc>
        <w:tc>
          <w:tcPr>
            <w:tcW w:w="1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146,971</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1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162,881</w:t>
            </w:r>
          </w:p>
        </w:tc>
        <w:tc>
          <w:tcPr>
            <w:tcW w:w="2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4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38,633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40,097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Long-term investments, less impairments</w:t>
            </w:r>
          </w:p>
        </w:tc>
        <w:tc>
          <w:tcPr>
            <w:tcW w:w="18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32,750</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37,538</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29,033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26,862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Investment in life insurance</w:t>
            </w:r>
          </w:p>
        </w:tc>
        <w:tc>
          <w:tcPr>
            <w:tcW w:w="18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22,280</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22,123</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12,848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15,954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D6F3E8"/>
              <w:bottom w:val="single" w:sz="8" w:color="D6F3E8"/>
            </w:tcBorders>
            <w:shd w:val="clear" w:color="auto" w:fill="D6F3E8"/>
          </w:tcPr>
          <w:p>
            <w:pPr>
              <w:ind w:left="280"/>
              <w:spacing w:after="0" w:line="202" w:lineRule="exact"/>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282,515</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305,455</w:t>
            </w: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84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10,997</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15,631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34,039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38,626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D6F3E8"/>
            </w:tcBorders>
            <w:shd w:val="clear" w:color="auto" w:fill="D6F3E8"/>
          </w:tcPr>
          <w:p>
            <w:pPr>
              <w:ind w:left="280"/>
              <w:spacing w:after="0" w:line="202"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1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45,056</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1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54,333</w:t>
            </w:r>
          </w:p>
        </w:tc>
        <w:tc>
          <w:tcPr>
            <w:tcW w:w="2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46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Unrecognized long-term tax benefit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9,282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18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64,193</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67,729</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80"/>
              <w:spacing w:after="0" w:line="202" w:lineRule="exact"/>
              <w:rPr>
                <w:sz w:val="20"/>
                <w:szCs w:val="20"/>
                <w:color w:val="auto"/>
              </w:rPr>
            </w:pPr>
            <w:r>
              <w:rPr>
                <w:rFonts w:ascii="Arial" w:cs="Arial" w:eastAsia="Arial" w:hAnsi="Arial"/>
                <w:sz w:val="18"/>
                <w:szCs w:val="18"/>
                <w:color w:val="auto"/>
              </w:rPr>
              <w:t>Total long-term liabilities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73,475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163,984</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173,924</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28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282,515</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420"/>
          </w:cols>
          <w:pgMar w:left="240" w:top="13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Thirteen Weeks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Fourteen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Nov. 29, 2008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Dec. 1, 2007</w:t>
            </w:r>
          </w:p>
        </w:tc>
        <w:tc>
          <w:tcPr>
            <w:tcW w:w="0" w:type="dxa"/>
            <w:vAlign w:val="bottom"/>
          </w:tcPr>
          <w:p>
            <w:pPr>
              <w:spacing w:after="0"/>
              <w:rPr>
                <w:sz w:val="1"/>
                <w:szCs w:val="1"/>
                <w:color w:val="auto"/>
              </w:rPr>
            </w:pPr>
          </w:p>
        </w:tc>
      </w:tr>
      <w:tr>
        <w:trPr>
          <w:trHeight w:val="195"/>
        </w:trPr>
        <w:tc>
          <w:tcPr>
            <w:tcW w:w="846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(9,596)</w:t>
            </w:r>
          </w:p>
        </w:tc>
        <w:tc>
          <w:tcPr>
            <w:tcW w:w="2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9,962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Postretirement benefit income and deferred compensation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Increase in cash surrender value of life insurance policies</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Change in assets and liabilities: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(18,909)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Receivables and prepaid assets</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4,704</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(5,951)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Income taxes (receivable) payable and unrecognized tax benefits</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(4,510)</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Postretirement and deferred compensation benefits</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D6F3E8"/>
            </w:tcBorders>
            <w:shd w:val="clear" w:color="auto" w:fill="D6F3E8"/>
          </w:tcPr>
          <w:p>
            <w:pPr>
              <w:ind w:left="8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1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12,866</w:t>
            </w:r>
          </w:p>
        </w:tc>
        <w:tc>
          <w:tcPr>
            <w:tcW w:w="18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1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7,587</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Purchases of investments</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(150,072)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80"/>
              <w:spacing w:after="0"/>
              <w:rPr>
                <w:sz w:val="20"/>
                <w:szCs w:val="20"/>
                <w:color w:val="auto"/>
              </w:rPr>
            </w:pPr>
            <w:r>
              <w:rPr>
                <w:rFonts w:ascii="Arial" w:cs="Arial" w:eastAsia="Arial" w:hAnsi="Arial"/>
                <w:sz w:val="18"/>
                <w:szCs w:val="18"/>
                <w:color w:val="auto"/>
              </w:rPr>
              <w:t>Proceeds from the sale or maturity of investments</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3,100</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163,375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line="202" w:lineRule="exact"/>
              <w:rPr>
                <w:sz w:val="20"/>
                <w:szCs w:val="20"/>
                <w:color w:val="auto"/>
              </w:rPr>
            </w:pPr>
            <w:r>
              <w:rPr>
                <w:rFonts w:ascii="Arial" w:cs="Arial" w:eastAsia="Arial" w:hAnsi="Arial"/>
                <w:sz w:val="18"/>
                <w:szCs w:val="18"/>
                <w:color w:val="auto"/>
              </w:rPr>
              <w:t>Net cash provided by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80" w:type="dxa"/>
            <w:vAlign w:val="bottom"/>
            <w:tcBorders>
              <w:top w:val="single" w:sz="8" w:color="D6F3E8"/>
            </w:tcBorders>
          </w:tcPr>
          <w:p>
            <w:pPr>
              <w:spacing w:after="0"/>
              <w:rPr>
                <w:sz w:val="18"/>
                <w:szCs w:val="18"/>
                <w:color w:val="auto"/>
              </w:rPr>
            </w:pPr>
          </w:p>
        </w:tc>
        <w:tc>
          <w:tcPr>
            <w:tcW w:w="140" w:type="dxa"/>
            <w:vAlign w:val="bottom"/>
            <w:tcBorders>
              <w:top w:val="single" w:sz="8" w:color="D6F3E8"/>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11,367</w:t>
            </w:r>
          </w:p>
        </w:tc>
        <w:tc>
          <w:tcPr>
            <w:tcW w:w="10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80"/>
              <w:spacing w:after="0"/>
              <w:rPr>
                <w:sz w:val="20"/>
                <w:szCs w:val="20"/>
                <w:color w:val="auto"/>
              </w:rPr>
            </w:pPr>
            <w:r>
              <w:rPr>
                <w:rFonts w:ascii="Arial" w:cs="Arial" w:eastAsia="Arial" w:hAnsi="Arial"/>
                <w:sz w:val="18"/>
                <w:szCs w:val="18"/>
                <w:color w:val="auto"/>
              </w:rPr>
              <w:t>Payments for purchase of common stock</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(17,519)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Payments of cash dividends</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(3,489)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80"/>
              <w:spacing w:after="0"/>
              <w:rPr>
                <w:sz w:val="20"/>
                <w:szCs w:val="20"/>
                <w:color w:val="auto"/>
              </w:rPr>
            </w:pPr>
            <w:r>
              <w:rPr>
                <w:rFonts w:ascii="Arial" w:cs="Arial" w:eastAsia="Arial" w:hAnsi="Arial"/>
                <w:sz w:val="18"/>
                <w:szCs w:val="18"/>
                <w:color w:val="auto"/>
              </w:rPr>
              <w:t>Proceeds from issuance of treasury stock</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10,914</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364"/>
        </w:trPr>
        <w:tc>
          <w:tcPr>
            <w:tcW w:w="84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17,851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8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28,765</w:t>
            </w:r>
          </w:p>
        </w:tc>
        <w:tc>
          <w:tcPr>
            <w:tcW w:w="180" w:type="dxa"/>
            <w:vAlign w:val="bottom"/>
            <w:shd w:val="clear" w:color="auto" w:fill="D6F3E8"/>
          </w:tcPr>
          <w:p>
            <w:pPr>
              <w:spacing w:after="0"/>
              <w:rPr>
                <w:sz w:val="18"/>
                <w:szCs w:val="18"/>
                <w:color w:val="auto"/>
              </w:rPr>
            </w:pPr>
          </w:p>
        </w:tc>
        <w:tc>
          <w:tcPr>
            <w:tcW w:w="2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20" w:type="dxa"/>
            <w:vAlign w:val="bottom"/>
            <w:tcBorders>
              <w:bottom w:val="single" w:sz="8" w:color="808080"/>
            </w:tcBorders>
          </w:tcPr>
          <w:p>
            <w:pPr>
              <w:spacing w:after="0"/>
              <w:rPr>
                <w:sz w:val="24"/>
                <w:szCs w:val="24"/>
                <w:color w:val="auto"/>
              </w:rPr>
            </w:pPr>
          </w:p>
        </w:tc>
        <w:tc>
          <w:tcPr>
            <w:tcW w:w="84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-3002915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-3002915</wp:posOffset>
            </wp:positionV>
            <wp:extent cx="2146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Motor Home Deliveries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Thirteen Weeks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Fourteen Weeks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Change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Nov. 29, 2008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Dec. 1, 2007</w:t>
            </w:r>
          </w:p>
        </w:tc>
        <w:tc>
          <w:tcPr>
            <w:tcW w:w="180" w:type="dxa"/>
            <w:vAlign w:val="bottom"/>
          </w:tcPr>
          <w:p>
            <w:pPr>
              <w:spacing w:after="0"/>
              <w:rPr>
                <w:sz w:val="14"/>
                <w:szCs w:val="14"/>
                <w:color w:val="auto"/>
              </w:rPr>
            </w:pPr>
          </w:p>
        </w:tc>
        <w:tc>
          <w:tcPr>
            <w:tcW w:w="1660" w:type="dxa"/>
            <w:vAlign w:val="bottom"/>
            <w:gridSpan w:val="3"/>
          </w:tcPr>
          <w:p>
            <w:pPr>
              <w:ind w:left="420"/>
              <w:spacing w:after="0"/>
              <w:rPr>
                <w:sz w:val="20"/>
                <w:szCs w:val="20"/>
                <w:color w:val="auto"/>
              </w:rPr>
            </w:pPr>
            <w:r>
              <w:rPr>
                <w:rFonts w:ascii="Arial" w:cs="Arial" w:eastAsia="Arial" w:hAnsi="Arial"/>
                <w:sz w:val="14"/>
                <w:szCs w:val="14"/>
                <w:b w:val="1"/>
                <w:bCs w:val="1"/>
                <w:color w:val="auto"/>
              </w:rPr>
              <w:t>Units</w:t>
            </w:r>
          </w:p>
        </w:tc>
        <w:tc>
          <w:tcPr>
            <w:tcW w:w="960" w:type="dxa"/>
            <w:vAlign w:val="bottom"/>
          </w:tcPr>
          <w:p>
            <w:pPr>
              <w:jc w:val="right"/>
              <w:ind w:right="4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D6F3E8"/>
            </w:tcBorders>
            <w:shd w:val="clear" w:color="auto" w:fill="D6F3E8"/>
          </w:tcPr>
          <w:p>
            <w:pPr>
              <w:ind w:left="80"/>
              <w:spacing w:after="0" w:line="202" w:lineRule="exact"/>
              <w:rPr>
                <w:sz w:val="20"/>
                <w:szCs w:val="20"/>
                <w:color w:val="auto"/>
              </w:rPr>
            </w:pPr>
            <w:r>
              <w:rPr>
                <w:rFonts w:ascii="Arial" w:cs="Arial" w:eastAsia="Arial" w:hAnsi="Arial"/>
                <w:sz w:val="18"/>
                <w:szCs w:val="18"/>
                <w:color w:val="auto"/>
              </w:rPr>
              <w:t>Class A Gas</w:t>
            </w:r>
          </w:p>
        </w:tc>
        <w:tc>
          <w:tcPr>
            <w:tcW w:w="168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300" w:type="dxa"/>
            <w:vAlign w:val="bottom"/>
            <w:tcBorders>
              <w:top w:val="single" w:sz="8" w:color="D6F3E8"/>
            </w:tcBorders>
            <w:shd w:val="clear" w:color="auto" w:fill="D6F3E8"/>
          </w:tcPr>
          <w:p>
            <w:pPr>
              <w:spacing w:after="0"/>
              <w:rPr>
                <w:sz w:val="18"/>
                <w:szCs w:val="18"/>
                <w:color w:val="auto"/>
              </w:rPr>
            </w:pPr>
          </w:p>
        </w:tc>
        <w:tc>
          <w:tcPr>
            <w:tcW w:w="114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165</w:t>
            </w:r>
          </w:p>
        </w:tc>
        <w:tc>
          <w:tcPr>
            <w:tcW w:w="4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11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D6F3E8"/>
            </w:tcBorders>
            <w:shd w:val="clear" w:color="auto" w:fill="D6F3E8"/>
          </w:tcPr>
          <w:p>
            <w:pPr>
              <w:spacing w:after="0"/>
              <w:rPr>
                <w:sz w:val="18"/>
                <w:szCs w:val="18"/>
                <w:color w:val="auto"/>
              </w:rPr>
            </w:pPr>
          </w:p>
        </w:tc>
        <w:tc>
          <w:tcPr>
            <w:tcW w:w="114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(671)</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9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Class A Diesel</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8"/>
                <w:szCs w:val="18"/>
                <w:color w:val="auto"/>
              </w:rPr>
            </w:pPr>
          </w:p>
        </w:tc>
        <w:tc>
          <w:tcPr>
            <w:tcW w:w="1480" w:type="dxa"/>
            <w:vAlign w:val="bottom"/>
            <w:gridSpan w:val="2"/>
          </w:tcPr>
          <w:p>
            <w:pPr>
              <w:jc w:val="right"/>
              <w:ind w:right="212"/>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D6F3E8"/>
            </w:tcBorders>
            <w:shd w:val="clear" w:color="auto" w:fill="D6F3E8"/>
          </w:tcPr>
          <w:p>
            <w:pPr>
              <w:ind w:left="160"/>
              <w:spacing w:after="0" w:line="202" w:lineRule="exact"/>
              <w:rPr>
                <w:sz w:val="20"/>
                <w:szCs w:val="20"/>
                <w:color w:val="auto"/>
              </w:rPr>
            </w:pPr>
            <w:r>
              <w:rPr>
                <w:rFonts w:ascii="Arial" w:cs="Arial" w:eastAsia="Arial" w:hAnsi="Arial"/>
                <w:sz w:val="18"/>
                <w:szCs w:val="18"/>
                <w:color w:val="auto"/>
              </w:rPr>
              <w:t>Total Class A</w:t>
            </w:r>
          </w:p>
        </w:tc>
        <w:tc>
          <w:tcPr>
            <w:tcW w:w="168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300" w:type="dxa"/>
            <w:vAlign w:val="bottom"/>
            <w:tcBorders>
              <w:top w:val="single" w:sz="8" w:color="D6F3E8"/>
            </w:tcBorders>
            <w:shd w:val="clear" w:color="auto" w:fill="D6F3E8"/>
          </w:tcPr>
          <w:p>
            <w:pPr>
              <w:spacing w:after="0"/>
              <w:rPr>
                <w:sz w:val="18"/>
                <w:szCs w:val="18"/>
                <w:color w:val="auto"/>
              </w:rPr>
            </w:pPr>
          </w:p>
        </w:tc>
        <w:tc>
          <w:tcPr>
            <w:tcW w:w="114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283</w:t>
            </w:r>
          </w:p>
        </w:tc>
        <w:tc>
          <w:tcPr>
            <w:tcW w:w="4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11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1,199</w:t>
            </w:r>
          </w:p>
        </w:tc>
        <w:tc>
          <w:tcPr>
            <w:tcW w:w="16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D6F3E8"/>
            </w:tcBorders>
            <w:shd w:val="clear" w:color="auto" w:fill="D6F3E8"/>
          </w:tcPr>
          <w:p>
            <w:pPr>
              <w:spacing w:after="0"/>
              <w:rPr>
                <w:sz w:val="18"/>
                <w:szCs w:val="18"/>
                <w:color w:val="auto"/>
              </w:rPr>
            </w:pPr>
          </w:p>
        </w:tc>
        <w:tc>
          <w:tcPr>
            <w:tcW w:w="114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(916)</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9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Class B</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C</w:t>
            </w:r>
          </w:p>
        </w:tc>
        <w:tc>
          <w:tcPr>
            <w:tcW w:w="16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338</w:t>
            </w:r>
          </w:p>
        </w:tc>
        <w:tc>
          <w:tcPr>
            <w:tcW w:w="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80" w:type="dxa"/>
            <w:vAlign w:val="bottom"/>
            <w:gridSpan w:val="3"/>
            <w:shd w:val="clear" w:color="auto" w:fill="D6F3E8"/>
          </w:tcPr>
          <w:p>
            <w:pPr>
              <w:jc w:val="right"/>
              <w:ind w:right="160"/>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D6F3E8"/>
          </w:tcPr>
          <w:p>
            <w:pPr>
              <w:spacing w:after="0"/>
              <w:rPr>
                <w:sz w:val="18"/>
                <w:szCs w:val="18"/>
                <w:color w:val="auto"/>
              </w:rPr>
            </w:pPr>
          </w:p>
        </w:tc>
        <w:tc>
          <w:tcPr>
            <w:tcW w:w="1480" w:type="dxa"/>
            <w:vAlign w:val="bottom"/>
            <w:tcBorders>
              <w:right w:val="single" w:sz="8" w:color="D6F3E8"/>
            </w:tcBorders>
            <w:gridSpan w:val="2"/>
            <w:shd w:val="clear" w:color="auto" w:fill="D6F3E8"/>
          </w:tcPr>
          <w:p>
            <w:pPr>
              <w:jc w:val="right"/>
              <w:ind w:right="212"/>
              <w:spacing w:after="0"/>
              <w:rPr>
                <w:sz w:val="20"/>
                <w:szCs w:val="20"/>
                <w:color w:val="auto"/>
              </w:rPr>
            </w:pPr>
            <w:r>
              <w:rPr>
                <w:rFonts w:ascii="Arial" w:cs="Arial" w:eastAsia="Arial" w:hAnsi="Arial"/>
                <w:sz w:val="18"/>
                <w:szCs w:val="18"/>
                <w:color w:val="auto"/>
              </w:rPr>
              <w:t>(618)</w:t>
            </w: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vMerge w:val="restart"/>
          </w:tcPr>
          <w:p>
            <w:pPr>
              <w:ind w:left="160"/>
              <w:spacing w:after="0"/>
              <w:rPr>
                <w:sz w:val="20"/>
                <w:szCs w:val="20"/>
                <w:color w:val="auto"/>
              </w:rPr>
            </w:pPr>
            <w:r>
              <w:rPr>
                <w:rFonts w:ascii="Arial" w:cs="Arial" w:eastAsia="Arial" w:hAnsi="Arial"/>
                <w:sz w:val="18"/>
                <w:szCs w:val="18"/>
                <w:color w:val="auto"/>
              </w:rPr>
              <w:t>Total deliveries</w:t>
            </w: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2,155</w:t>
            </w:r>
          </w:p>
        </w:tc>
        <w:tc>
          <w:tcPr>
            <w:tcW w:w="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80" w:type="dxa"/>
            <w:vAlign w:val="bottom"/>
            <w:gridSpan w:val="6"/>
          </w:tcPr>
          <w:p>
            <w:pPr>
              <w:jc w:val="center"/>
              <w:ind w:left="772"/>
              <w:spacing w:after="0"/>
              <w:rPr>
                <w:sz w:val="20"/>
                <w:szCs w:val="20"/>
                <w:color w:val="auto"/>
              </w:rPr>
            </w:pPr>
            <w:r>
              <w:rPr>
                <w:rFonts w:ascii="Arial" w:cs="Arial" w:eastAsia="Arial" w:hAnsi="Arial"/>
                <w:sz w:val="18"/>
                <w:szCs w:val="18"/>
                <w:color w:val="auto"/>
                <w:w w:val="89"/>
              </w:rPr>
              <w:t>Winnebago Industries, Inc.</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880" w:type="dxa"/>
            <w:vAlign w:val="bottom"/>
            <w:gridSpan w:val="11"/>
          </w:tcPr>
          <w:p>
            <w:pPr>
              <w:jc w:val="center"/>
              <w:ind w:right="720"/>
              <w:spacing w:after="0"/>
              <w:rPr>
                <w:sz w:val="20"/>
                <w:szCs w:val="20"/>
                <w:color w:val="auto"/>
              </w:rPr>
            </w:pPr>
            <w:r>
              <w:rPr>
                <w:rFonts w:ascii="Arial" w:cs="Arial" w:eastAsia="Arial" w:hAnsi="Arial"/>
                <w:sz w:val="18"/>
                <w:szCs w:val="18"/>
                <w:color w:val="auto"/>
                <w:w w:val="88"/>
              </w:rPr>
              <w:t>Unaudited Sales Order Backlog and Dealer Inventory</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4"/>
          </w:tcPr>
          <w:p>
            <w:pPr>
              <w:jc w:val="center"/>
              <w:ind w:right="940"/>
              <w:spacing w:after="0"/>
              <w:rPr>
                <w:sz w:val="20"/>
                <w:szCs w:val="20"/>
                <w:color w:val="auto"/>
              </w:rPr>
            </w:pPr>
            <w:r>
              <w:rPr>
                <w:rFonts w:ascii="Arial" w:cs="Arial" w:eastAsia="Arial" w:hAnsi="Arial"/>
                <w:sz w:val="18"/>
                <w:szCs w:val="18"/>
                <w:color w:val="auto"/>
                <w:w w:val="94"/>
              </w:rPr>
              <w:t>(Units)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ind w:left="180"/>
              <w:spacing w:after="0"/>
              <w:rPr>
                <w:sz w:val="20"/>
                <w:szCs w:val="20"/>
                <w:color w:val="auto"/>
              </w:rPr>
            </w:pPr>
            <w:r>
              <w:rPr>
                <w:rFonts w:ascii="Arial" w:cs="Arial" w:eastAsia="Arial" w:hAnsi="Arial"/>
                <w:sz w:val="14"/>
                <w:szCs w:val="14"/>
                <w:b w:val="1"/>
                <w:bCs w:val="1"/>
                <w:color w:val="auto"/>
              </w:rPr>
              <w:t>Increase/</w:t>
            </w:r>
          </w:p>
        </w:tc>
        <w:tc>
          <w:tcPr>
            <w:tcW w:w="960" w:type="dxa"/>
            <w:vAlign w:val="bottom"/>
          </w:tcPr>
          <w:p>
            <w:pPr>
              <w:jc w:val="right"/>
              <w:ind w:right="4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ind w:left="140"/>
              <w:spacing w:after="0"/>
              <w:rPr>
                <w:sz w:val="20"/>
                <w:szCs w:val="20"/>
                <w:color w:val="auto"/>
              </w:rPr>
            </w:pPr>
            <w:r>
              <w:rPr>
                <w:rFonts w:ascii="Arial" w:cs="Arial" w:eastAsia="Arial" w:hAnsi="Arial"/>
                <w:sz w:val="14"/>
                <w:szCs w:val="14"/>
                <w:b w:val="1"/>
                <w:bCs w:val="1"/>
                <w:color w:val="auto"/>
              </w:rPr>
              <w:t>Nov. 29, 2008</w:t>
            </w:r>
          </w:p>
        </w:tc>
        <w:tc>
          <w:tcPr>
            <w:tcW w:w="180" w:type="dxa"/>
            <w:vAlign w:val="bottom"/>
          </w:tcPr>
          <w:p>
            <w:pPr>
              <w:spacing w:after="0"/>
              <w:rPr>
                <w:sz w:val="14"/>
                <w:szCs w:val="14"/>
                <w:color w:val="auto"/>
              </w:rPr>
            </w:pPr>
          </w:p>
        </w:tc>
        <w:tc>
          <w:tcPr>
            <w:tcW w:w="14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7"/>
              </w:rPr>
              <w:t>Dec. 1, 2007</w:t>
            </w:r>
          </w:p>
        </w:tc>
        <w:tc>
          <w:tcPr>
            <w:tcW w:w="180" w:type="dxa"/>
            <w:vAlign w:val="bottom"/>
          </w:tcPr>
          <w:p>
            <w:pPr>
              <w:spacing w:after="0"/>
              <w:rPr>
                <w:sz w:val="14"/>
                <w:szCs w:val="14"/>
                <w:color w:val="auto"/>
              </w:rPr>
            </w:pPr>
          </w:p>
        </w:tc>
        <w:tc>
          <w:tcPr>
            <w:tcW w:w="166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Decrease</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Class A Gas</w:t>
            </w:r>
          </w:p>
        </w:tc>
        <w:tc>
          <w:tcPr>
            <w:tcW w:w="168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114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84</w:t>
            </w:r>
          </w:p>
        </w:tc>
        <w:tc>
          <w:tcPr>
            <w:tcW w:w="300" w:type="dxa"/>
            <w:vAlign w:val="bottom"/>
            <w:tcBorders>
              <w:top w:val="single" w:sz="8" w:color="D6F3E8"/>
            </w:tcBorders>
            <w:shd w:val="clear" w:color="auto" w:fill="D6F3E8"/>
          </w:tcPr>
          <w:p>
            <w:pPr>
              <w:spacing w:after="0"/>
              <w:rPr>
                <w:sz w:val="18"/>
                <w:szCs w:val="18"/>
                <w:color w:val="auto"/>
              </w:rPr>
            </w:pPr>
          </w:p>
        </w:tc>
        <w:tc>
          <w:tcPr>
            <w:tcW w:w="4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108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114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(365)</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9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Class A Diesel</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92"/>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72"/>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D6F3E8"/>
            </w:tcBorders>
            <w:shd w:val="clear" w:color="auto" w:fill="D6F3E8"/>
          </w:tcPr>
          <w:p>
            <w:pPr>
              <w:ind w:left="300"/>
              <w:spacing w:after="0" w:line="202" w:lineRule="exact"/>
              <w:rPr>
                <w:sz w:val="20"/>
                <w:szCs w:val="20"/>
                <w:color w:val="auto"/>
              </w:rPr>
            </w:pPr>
            <w:r>
              <w:rPr>
                <w:rFonts w:ascii="Arial" w:cs="Arial" w:eastAsia="Arial" w:hAnsi="Arial"/>
                <w:sz w:val="18"/>
                <w:szCs w:val="18"/>
                <w:color w:val="auto"/>
              </w:rPr>
              <w:t>Total Class A</w:t>
            </w:r>
          </w:p>
        </w:tc>
        <w:tc>
          <w:tcPr>
            <w:tcW w:w="168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114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Borders>
              <w:top w:val="single" w:sz="8" w:color="D6F3E8"/>
            </w:tcBorders>
            <w:shd w:val="clear" w:color="auto" w:fill="D6F3E8"/>
          </w:tcPr>
          <w:p>
            <w:pPr>
              <w:spacing w:after="0"/>
              <w:rPr>
                <w:sz w:val="18"/>
                <w:szCs w:val="18"/>
                <w:color w:val="auto"/>
              </w:rPr>
            </w:pPr>
          </w:p>
        </w:tc>
        <w:tc>
          <w:tcPr>
            <w:tcW w:w="4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108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748</w:t>
            </w:r>
          </w:p>
        </w:tc>
        <w:tc>
          <w:tcPr>
            <w:tcW w:w="18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114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(629)</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9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Class B</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D6F3E8"/>
          </w:tcPr>
          <w:p>
            <w:pPr>
              <w:spacing w:after="0"/>
              <w:rPr>
                <w:sz w:val="20"/>
                <w:szCs w:val="20"/>
                <w:color w:val="auto"/>
              </w:rPr>
            </w:pPr>
            <w:r>
              <w:rPr>
                <w:rFonts w:ascii="Arial" w:cs="Arial" w:eastAsia="Arial" w:hAnsi="Arial"/>
                <w:sz w:val="18"/>
                <w:szCs w:val="18"/>
                <w:color w:val="auto"/>
              </w:rPr>
              <w:t>Class C</w:t>
            </w:r>
          </w:p>
        </w:tc>
        <w:tc>
          <w:tcPr>
            <w:tcW w:w="16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440" w:type="dxa"/>
            <w:vAlign w:val="bottom"/>
            <w:gridSpan w:val="3"/>
            <w:shd w:val="clear" w:color="auto" w:fill="D6F3E8"/>
          </w:tcPr>
          <w:p>
            <w:pPr>
              <w:jc w:val="right"/>
              <w:ind w:right="232"/>
              <w:spacing w:after="0"/>
              <w:rPr>
                <w:sz w:val="20"/>
                <w:szCs w:val="20"/>
                <w:color w:val="auto"/>
              </w:rPr>
            </w:pPr>
            <w:r>
              <w:rPr>
                <w:rFonts w:ascii="Arial" w:cs="Arial" w:eastAsia="Arial" w:hAnsi="Arial"/>
                <w:sz w:val="18"/>
                <w:szCs w:val="18"/>
                <w:color w:val="auto"/>
              </w:rPr>
              <w:t>211</w:t>
            </w:r>
          </w:p>
        </w:tc>
        <w:tc>
          <w:tcPr>
            <w:tcW w:w="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60" w:type="dxa"/>
            <w:vAlign w:val="bottom"/>
            <w:gridSpan w:val="3"/>
            <w:shd w:val="clear" w:color="auto" w:fill="D6F3E8"/>
          </w:tcPr>
          <w:p>
            <w:pPr>
              <w:jc w:val="right"/>
              <w:ind w:right="92"/>
              <w:spacing w:after="0"/>
              <w:rPr>
                <w:sz w:val="20"/>
                <w:szCs w:val="20"/>
                <w:color w:val="auto"/>
              </w:rPr>
            </w:pPr>
            <w:r>
              <w:rPr>
                <w:rFonts w:ascii="Arial" w:cs="Arial" w:eastAsia="Arial" w:hAnsi="Arial"/>
                <w:sz w:val="18"/>
                <w:szCs w:val="18"/>
                <w:color w:val="auto"/>
              </w:rPr>
              <w:t>1,085</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480" w:type="dxa"/>
            <w:vAlign w:val="bottom"/>
            <w:tcBorders>
              <w:right w:val="single" w:sz="8" w:color="D6F3E8"/>
            </w:tcBorders>
            <w:gridSpan w:val="2"/>
            <w:shd w:val="clear" w:color="auto" w:fill="D6F3E8"/>
          </w:tcPr>
          <w:p>
            <w:pPr>
              <w:jc w:val="right"/>
              <w:ind w:right="272"/>
              <w:spacing w:after="0"/>
              <w:rPr>
                <w:sz w:val="20"/>
                <w:szCs w:val="20"/>
                <w:color w:val="auto"/>
              </w:rPr>
            </w:pPr>
            <w:r>
              <w:rPr>
                <w:rFonts w:ascii="Arial" w:cs="Arial" w:eastAsia="Arial" w:hAnsi="Arial"/>
                <w:sz w:val="18"/>
                <w:szCs w:val="18"/>
                <w:color w:val="auto"/>
              </w:rPr>
              <w:t>(874)</w:t>
            </w: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vMerge w:val="restart"/>
          </w:tcPr>
          <w:p>
            <w:pPr>
              <w:ind w:left="300"/>
              <w:spacing w:after="0"/>
              <w:rPr>
                <w:sz w:val="20"/>
                <w:szCs w:val="20"/>
                <w:color w:val="auto"/>
              </w:rPr>
            </w:pPr>
            <w:r>
              <w:rPr>
                <w:rFonts w:ascii="Arial" w:cs="Arial" w:eastAsia="Arial" w:hAnsi="Arial"/>
                <w:sz w:val="18"/>
                <w:szCs w:val="18"/>
                <w:color w:val="auto"/>
              </w:rPr>
              <w:t>Total backlog*</w:t>
            </w:r>
          </w:p>
        </w:tc>
        <w:tc>
          <w:tcPr>
            <w:tcW w:w="1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tcBorders>
              <w:right w:val="single" w:sz="8" w:color="D6F3E8"/>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D6F3E8"/>
            </w:tcBorders>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1,833</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6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D6F3E8"/>
          </w:tcPr>
          <w:p>
            <w:pPr>
              <w:spacing w:after="0"/>
              <w:rPr>
                <w:sz w:val="20"/>
                <w:szCs w:val="20"/>
                <w:color w:val="auto"/>
              </w:rPr>
            </w:pPr>
            <w:r>
              <w:rPr>
                <w:rFonts w:ascii="Arial" w:cs="Arial" w:eastAsia="Arial" w:hAnsi="Arial"/>
                <w:sz w:val="18"/>
                <w:szCs w:val="18"/>
                <w:color w:val="auto"/>
                <w:w w:val="92"/>
              </w:rPr>
              <w:t>Total approximate revenue dollars (in thousands)</w:t>
            </w:r>
          </w:p>
        </w:tc>
        <w:tc>
          <w:tcPr>
            <w:tcW w:w="180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27,648</w:t>
            </w:r>
          </w:p>
        </w:tc>
        <w:tc>
          <w:tcPr>
            <w:tcW w:w="300" w:type="dxa"/>
            <w:vAlign w:val="bottom"/>
            <w:shd w:val="clear" w:color="auto" w:fill="D6F3E8"/>
          </w:tcPr>
          <w:p>
            <w:pPr>
              <w:spacing w:after="0"/>
              <w:rPr>
                <w:sz w:val="18"/>
                <w:szCs w:val="18"/>
                <w:color w:val="auto"/>
              </w:rPr>
            </w:pPr>
          </w:p>
        </w:tc>
        <w:tc>
          <w:tcPr>
            <w:tcW w:w="40" w:type="dxa"/>
            <w:vAlign w:val="bottom"/>
            <w:shd w:val="clear" w:color="auto" w:fill="D6F3E8"/>
          </w:tcPr>
          <w:p>
            <w:pPr>
              <w:spacing w:after="0"/>
              <w:rPr>
                <w:sz w:val="18"/>
                <w:szCs w:val="18"/>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D6F3E8"/>
          </w:tcPr>
          <w:p>
            <w:pPr>
              <w:jc w:val="right"/>
              <w:ind w:right="92"/>
              <w:spacing w:after="0"/>
              <w:rPr>
                <w:sz w:val="20"/>
                <w:szCs w:val="20"/>
                <w:color w:val="auto"/>
              </w:rPr>
            </w:pPr>
            <w:r>
              <w:rPr>
                <w:rFonts w:ascii="Arial" w:cs="Arial" w:eastAsia="Arial" w:hAnsi="Arial"/>
                <w:sz w:val="18"/>
                <w:szCs w:val="18"/>
                <w:color w:val="auto"/>
              </w:rPr>
              <w:t>161,743</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D6F3E8"/>
            </w:tcBorders>
            <w:gridSpan w:val="2"/>
            <w:shd w:val="clear" w:color="auto" w:fill="D6F3E8"/>
          </w:tcPr>
          <w:p>
            <w:pPr>
              <w:jc w:val="right"/>
              <w:ind w:right="272"/>
              <w:spacing w:after="0"/>
              <w:rPr>
                <w:sz w:val="20"/>
                <w:szCs w:val="20"/>
                <w:color w:val="auto"/>
              </w:rPr>
            </w:pPr>
            <w:r>
              <w:rPr>
                <w:rFonts w:ascii="Arial" w:cs="Arial" w:eastAsia="Arial" w:hAnsi="Arial"/>
                <w:sz w:val="18"/>
                <w:szCs w:val="18"/>
                <w:color w:val="auto"/>
              </w:rPr>
              <w:t>(134,095)</w:t>
            </w: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Dealer inventory</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3,269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92"/>
              <w:spacing w:after="0"/>
              <w:rPr>
                <w:sz w:val="20"/>
                <w:szCs w:val="20"/>
                <w:color w:val="auto"/>
              </w:rPr>
            </w:pPr>
            <w:r>
              <w:rPr>
                <w:rFonts w:ascii="Arial" w:cs="Arial" w:eastAsia="Arial" w:hAnsi="Arial"/>
                <w:sz w:val="18"/>
                <w:szCs w:val="18"/>
                <w:color w:val="auto"/>
              </w:rPr>
              <w:t>4,364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72"/>
              <w:spacing w:after="0"/>
              <w:rPr>
                <w:sz w:val="20"/>
                <w:szCs w:val="20"/>
                <w:color w:val="auto"/>
              </w:rPr>
            </w:pPr>
            <w:r>
              <w:rPr>
                <w:rFonts w:ascii="Arial" w:cs="Arial" w:eastAsia="Arial" w:hAnsi="Arial"/>
                <w:sz w:val="18"/>
                <w:szCs w:val="18"/>
                <w:color w:val="auto"/>
              </w:rPr>
              <w:t>(1,095)</w:t>
            </w:r>
          </w:p>
        </w:tc>
        <w:tc>
          <w:tcPr>
            <w:tcW w:w="1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ind w:right="740" w:firstLine="8"/>
        <w:spacing w:after="0" w:line="370" w:lineRule="auto"/>
        <w:tabs>
          <w:tab w:leader="none" w:pos="132"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ectPr>
          <w:pgSz w:w="11900" w:h="16838" w:orient="portrait"/>
          <w:cols w:equalWidth="0" w:num="1">
            <w:col w:w="11420"/>
          </w:cols>
          <w:pgMar w:left="240" w:top="114"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5"/>
          <w:szCs w:val="15"/>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562610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9019"/>
      </w:cols>
      <w:pgMar w:left="1440" w:top="1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2019-12-13T08:29:09Z</dcterms:created>
  <dcterms:modified xsi:type="dcterms:W3CDTF">2019-12-13T08:29:09Z</dcterms:modified>
</cp:coreProperties>
</file>