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tabs>
          <w:tab w:leader="none" w:pos="1180" w:val="left"/>
          <w:tab w:leader="none" w:pos="5020" w:val="left"/>
          <w:tab w:leader="none" w:pos="8420" w:val="left"/>
        </w:tabs>
        <w:rPr>
          <w:sz w:val="20"/>
          <w:szCs w:val="20"/>
          <w:color w:val="auto"/>
        </w:rPr>
      </w:pPr>
      <w:r>
        <w:rPr>
          <w:rFonts w:ascii="Arial" w:cs="Arial" w:eastAsia="Arial" w:hAnsi="Arial"/>
          <w:sz w:val="18"/>
          <w:szCs w:val="18"/>
          <w:color w:val="auto"/>
        </w:rPr>
        <w:t>CUSIP NO.</w:t>
        <w:tab/>
        <w:t>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 of 14</w:t>
      </w:r>
    </w:p>
    <w:p>
      <w:pPr>
        <w:spacing w:after="0" w:line="200" w:lineRule="exact"/>
        <w:rPr>
          <w:sz w:val="24"/>
          <w:szCs w:val="24"/>
          <w:color w:val="auto"/>
        </w:rPr>
      </w:pPr>
    </w:p>
    <w:p>
      <w:pPr>
        <w:spacing w:after="0" w:line="322"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UNITED STATES</w:t>
      </w:r>
    </w:p>
    <w:p>
      <w:pPr>
        <w:spacing w:after="0" w:line="36"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SECURITIES AND EXCHANGE COMMISSION</w:t>
      </w:r>
    </w:p>
    <w:p>
      <w:pPr>
        <w:spacing w:after="0" w:line="36"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SCHEDULE 13G</w:t>
      </w:r>
    </w:p>
    <w:p>
      <w:pPr>
        <w:spacing w:after="0" w:line="279" w:lineRule="exact"/>
        <w:rPr>
          <w:sz w:val="24"/>
          <w:szCs w:val="24"/>
          <w:color w:val="auto"/>
        </w:rPr>
      </w:pPr>
    </w:p>
    <w:p>
      <w:pPr>
        <w:ind w:left="2440"/>
        <w:spacing w:after="0"/>
        <w:rPr>
          <w:sz w:val="20"/>
          <w:szCs w:val="20"/>
          <w:color w:val="auto"/>
        </w:rPr>
      </w:pPr>
      <w:r>
        <w:rPr>
          <w:rFonts w:ascii="Arial" w:cs="Arial" w:eastAsia="Arial" w:hAnsi="Arial"/>
          <w:sz w:val="18"/>
          <w:szCs w:val="18"/>
          <w:color w:val="auto"/>
        </w:rPr>
        <w:t>Under the Securities Exchange Act of 1934</w:t>
      </w:r>
    </w:p>
    <w:p>
      <w:pPr>
        <w:spacing w:after="0" w:line="36"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(Amendment No. 2)*</w:t>
      </w:r>
    </w:p>
    <w:p>
      <w:pPr>
        <w:spacing w:after="0" w:line="279"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WINNEBAGO INDUSTRIES, INC.</w:t>
      </w:r>
    </w:p>
    <w:p>
      <w:pPr>
        <w:spacing w:after="0" w:line="36"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(Name of Issuer)</w:t>
      </w:r>
    </w:p>
    <w:p>
      <w:pPr>
        <w:spacing w:after="0" w:line="279"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Common Stock ($.50 par value)</w:t>
      </w:r>
    </w:p>
    <w:p>
      <w:pPr>
        <w:spacing w:after="0" w:line="36"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(Title of Class of Securities)</w:t>
      </w:r>
    </w:p>
    <w:p>
      <w:pPr>
        <w:spacing w:after="0" w:line="279"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974637100</w:t>
      </w:r>
    </w:p>
    <w:p>
      <w:pPr>
        <w:spacing w:after="0" w:line="36"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(CUSIP Number)</w:t>
      </w:r>
    </w:p>
    <w:p>
      <w:pPr>
        <w:spacing w:after="0" w:line="279"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December 31, 2009</w:t>
      </w:r>
    </w:p>
    <w:p>
      <w:pPr>
        <w:spacing w:after="0" w:line="279" w:lineRule="exact"/>
        <w:rPr>
          <w:sz w:val="24"/>
          <w:szCs w:val="24"/>
          <w:color w:val="auto"/>
        </w:rPr>
      </w:pPr>
    </w:p>
    <w:p>
      <w:pPr>
        <w:ind w:left="1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49" w:lineRule="exact"/>
        <w:rPr>
          <w:sz w:val="24"/>
          <w:szCs w:val="24"/>
          <w:color w:val="auto"/>
        </w:rPr>
      </w:pPr>
    </w:p>
    <w:p>
      <w:pPr>
        <w:ind w:left="440" w:hanging="436"/>
        <w:spacing w:after="0"/>
        <w:tabs>
          <w:tab w:leader="none" w:pos="44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13d-1(b)</w:t>
      </w:r>
    </w:p>
    <w:p>
      <w:pPr>
        <w:spacing w:after="0" w:line="3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22"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4199"/>
        <w:spacing w:after="0" w:line="317"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w:t>
      </w:r>
    </w:p>
    <w:p>
      <w:pPr>
        <w:ind w:right="3459"/>
        <w:spacing w:after="0" w:line="299" w:lineRule="auto"/>
        <w:rPr>
          <w:sz w:val="20"/>
          <w:szCs w:val="20"/>
          <w:color w:val="auto"/>
        </w:rPr>
      </w:pPr>
      <w:r>
        <w:rPr>
          <w:rFonts w:ascii="Arial" w:cs="Arial" w:eastAsia="Arial" w:hAnsi="Arial"/>
          <w:sz w:val="18"/>
          <w:szCs w:val="18"/>
          <w:color w:val="auto"/>
        </w:rPr>
        <w:t>subsequent amendment containing information which would alter the disclosures provided in a prior cover page.</w:t>
      </w:r>
    </w:p>
    <w:p>
      <w:pPr>
        <w:spacing w:after="0" w:line="214" w:lineRule="exact"/>
        <w:rPr>
          <w:sz w:val="24"/>
          <w:szCs w:val="24"/>
          <w:color w:val="auto"/>
        </w:rPr>
      </w:pPr>
    </w:p>
    <w:p>
      <w:pPr>
        <w:ind w:right="3899"/>
        <w:spacing w:after="0" w:line="333"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-135890</wp:posOffset>
            </wp:positionH>
            <wp:positionV relativeFrom="paragraph">
              <wp:posOffset>289560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99"/>
          </w:cols>
          <w:pgMar w:left="460" w:top="482" w:right="1440" w:bottom="1440" w:gutter="0" w:footer="0" w:header="0"/>
        </w:sectPr>
      </w:pPr>
    </w:p>
    <w:bookmarkStart w:id="1" w:name="page2"/>
    <w:bookmarkEnd w:id="1"/>
    <w:p>
      <w:pPr>
        <w:spacing w:after="0"/>
        <w:tabs>
          <w:tab w:leader="none" w:pos="1060" w:val="left"/>
          <w:tab w:leader="none" w:pos="4900" w:val="left"/>
          <w:tab w:leader="none" w:pos="8300" w:val="left"/>
        </w:tabs>
        <w:rPr>
          <w:sz w:val="20"/>
          <w:szCs w:val="20"/>
          <w:color w:val="auto"/>
        </w:rPr>
      </w:pPr>
      <w:r>
        <w:rPr>
          <w:rFonts w:ascii="Arial" w:cs="Arial" w:eastAsia="Arial" w:hAnsi="Arial"/>
          <w:sz w:val="18"/>
          <w:szCs w:val="18"/>
          <w:color w:val="auto"/>
        </w:rPr>
        <w:t>CUSIP NO.</w:t>
        <w:tab/>
        <w:t>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14</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860" w:right="6259" w:hanging="652"/>
        <w:spacing w:after="0" w:line="634"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Franklin Resources, Inc.</w:t>
      </w:r>
    </w:p>
    <w:p>
      <w:pPr>
        <w:ind w:left="860" w:hanging="652"/>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79" w:lineRule="exact"/>
        <w:rPr>
          <w:rFonts w:ascii="Arial" w:cs="Arial" w:eastAsia="Arial" w:hAnsi="Arial"/>
          <w:sz w:val="18"/>
          <w:szCs w:val="18"/>
          <w:color w:val="auto"/>
        </w:rPr>
      </w:pPr>
    </w:p>
    <w:p>
      <w:pPr>
        <w:spacing w:after="0"/>
        <w:tabs>
          <w:tab w:leader="none" w:pos="0" w:val="left"/>
        </w:tabs>
        <w:numPr>
          <w:ilvl w:val="1"/>
          <w:numId w:val="2"/>
        </w:numPr>
        <w:rPr>
          <w:rFonts w:ascii="Arial" w:cs="Arial" w:eastAsia="Arial" w:hAnsi="Arial"/>
          <w:sz w:val="18"/>
          <w:szCs w:val="18"/>
          <w:color w:val="auto"/>
        </w:rPr>
      </w:pPr>
    </w:p>
    <w:p>
      <w:pPr>
        <w:spacing w:after="0" w:line="36" w:lineRule="exact"/>
        <w:rPr>
          <w:rFonts w:ascii="Arial" w:cs="Arial" w:eastAsia="Arial" w:hAnsi="Arial"/>
          <w:sz w:val="18"/>
          <w:szCs w:val="18"/>
          <w:color w:val="auto"/>
        </w:rPr>
      </w:pPr>
    </w:p>
    <w:p>
      <w:pPr>
        <w:ind w:left="1280" w:hanging="423"/>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79" w:lineRule="exact"/>
        <w:rPr>
          <w:rFonts w:ascii="Arial" w:cs="Arial" w:eastAsia="Arial" w:hAnsi="Arial"/>
          <w:sz w:val="18"/>
          <w:szCs w:val="18"/>
          <w:color w:val="auto"/>
        </w:rPr>
      </w:pPr>
    </w:p>
    <w:p>
      <w:pPr>
        <w:ind w:left="860" w:hanging="652"/>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860" w:hanging="652"/>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Delaware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OF SHARES BENEFICIALLY OWNED BY EACH REPORTING PERSON WITH:</w:t>
      </w:r>
    </w:p>
    <w:p>
      <w:pPr>
        <w:spacing w:after="0" w:line="302" w:lineRule="exact"/>
        <w:rPr>
          <w:sz w:val="20"/>
          <w:szCs w:val="20"/>
          <w:color w:val="auto"/>
        </w:rPr>
      </w:pPr>
    </w:p>
    <w:p>
      <w:pPr>
        <w:ind w:left="1500" w:right="6559" w:hanging="643"/>
        <w:spacing w:after="0" w:line="563"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 (See Item 4)</w:t>
      </w:r>
    </w:p>
    <w:p>
      <w:pPr>
        <w:spacing w:after="0" w:line="1" w:lineRule="exact"/>
        <w:rPr>
          <w:rFonts w:ascii="Arial" w:cs="Arial" w:eastAsia="Arial" w:hAnsi="Arial"/>
          <w:sz w:val="18"/>
          <w:szCs w:val="18"/>
          <w:color w:val="auto"/>
        </w:rPr>
      </w:pPr>
    </w:p>
    <w:p>
      <w:pPr>
        <w:ind w:left="1500" w:right="6299" w:hanging="643"/>
        <w:spacing w:after="0" w:line="563"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VOTING POWER (See Item 4)</w:t>
      </w:r>
    </w:p>
    <w:p>
      <w:pPr>
        <w:spacing w:after="0" w:line="1" w:lineRule="exact"/>
        <w:rPr>
          <w:rFonts w:ascii="Arial" w:cs="Arial" w:eastAsia="Arial" w:hAnsi="Arial"/>
          <w:sz w:val="18"/>
          <w:szCs w:val="18"/>
          <w:color w:val="auto"/>
        </w:rPr>
      </w:pPr>
    </w:p>
    <w:p>
      <w:pPr>
        <w:ind w:left="1500" w:right="6179" w:hanging="643"/>
        <w:spacing w:after="0" w:line="563"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(See Item 4)</w:t>
      </w:r>
    </w:p>
    <w:p>
      <w:pPr>
        <w:spacing w:after="0" w:line="1" w:lineRule="exact"/>
        <w:rPr>
          <w:rFonts w:ascii="Arial" w:cs="Arial" w:eastAsia="Arial" w:hAnsi="Arial"/>
          <w:sz w:val="18"/>
          <w:szCs w:val="18"/>
          <w:color w:val="auto"/>
        </w:rPr>
      </w:pPr>
    </w:p>
    <w:p>
      <w:pPr>
        <w:ind w:left="1500" w:right="5899" w:hanging="643"/>
        <w:spacing w:after="0" w:line="563"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(See Item 4)</w:t>
      </w:r>
    </w:p>
    <w:p>
      <w:pPr>
        <w:spacing w:after="0" w:line="1" w:lineRule="exact"/>
        <w:rPr>
          <w:rFonts w:ascii="Arial" w:cs="Arial" w:eastAsia="Arial" w:hAnsi="Arial"/>
          <w:sz w:val="18"/>
          <w:szCs w:val="18"/>
          <w:color w:val="auto"/>
        </w:rPr>
      </w:pPr>
    </w:p>
    <w:p>
      <w:pPr>
        <w:ind w:left="860" w:right="2619" w:hanging="652"/>
        <w:spacing w:after="0" w:line="563"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1,619,150</w:t>
      </w:r>
    </w:p>
    <w:p>
      <w:pPr>
        <w:spacing w:after="0" w:line="1" w:lineRule="exact"/>
        <w:rPr>
          <w:rFonts w:ascii="Arial" w:cs="Arial" w:eastAsia="Arial" w:hAnsi="Arial"/>
          <w:sz w:val="18"/>
          <w:szCs w:val="18"/>
          <w:color w:val="auto"/>
        </w:rPr>
      </w:pPr>
    </w:p>
    <w:p>
      <w:pPr>
        <w:ind w:left="860" w:right="4039" w:hanging="652"/>
        <w:spacing w:after="0" w:line="299"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13" w:lineRule="exact"/>
        <w:rPr>
          <w:rFonts w:ascii="Arial" w:cs="Arial" w:eastAsia="Arial" w:hAnsi="Arial"/>
          <w:sz w:val="18"/>
          <w:szCs w:val="18"/>
          <w:color w:val="auto"/>
        </w:rPr>
      </w:pPr>
    </w:p>
    <w:p>
      <w:pPr>
        <w:ind w:left="860" w:right="4079" w:hanging="652"/>
        <w:spacing w:after="0" w:line="563"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1" w:lineRule="exact"/>
        <w:rPr>
          <w:rFonts w:ascii="Arial" w:cs="Arial" w:eastAsia="Arial" w:hAnsi="Arial"/>
          <w:sz w:val="18"/>
          <w:szCs w:val="18"/>
          <w:color w:val="auto"/>
        </w:rPr>
      </w:pPr>
    </w:p>
    <w:p>
      <w:pPr>
        <w:ind w:left="860" w:right="6579" w:hanging="652"/>
        <w:spacing w:after="0" w:line="684"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TYPE OF REPORTING PERSON 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117475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 w:name="page3"/>
    <w:bookmarkEnd w:id="2"/>
    <w:p>
      <w:pPr>
        <w:spacing w:after="0"/>
        <w:tabs>
          <w:tab w:leader="none" w:pos="1060" w:val="left"/>
          <w:tab w:leader="none" w:pos="4900" w:val="left"/>
          <w:tab w:leader="none" w:pos="8300" w:val="left"/>
        </w:tabs>
        <w:rPr>
          <w:sz w:val="20"/>
          <w:szCs w:val="20"/>
          <w:color w:val="auto"/>
        </w:rPr>
      </w:pPr>
      <w:r>
        <w:rPr>
          <w:rFonts w:ascii="Arial" w:cs="Arial" w:eastAsia="Arial" w:hAnsi="Arial"/>
          <w:sz w:val="18"/>
          <w:szCs w:val="18"/>
          <w:color w:val="auto"/>
        </w:rPr>
        <w:t>CUSIP NO.</w:t>
        <w:tab/>
        <w:t>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14</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860" w:right="6259" w:hanging="652"/>
        <w:spacing w:after="0" w:line="563"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Charles B. Johnson</w:t>
      </w:r>
    </w:p>
    <w:p>
      <w:pPr>
        <w:spacing w:after="0" w:line="1" w:lineRule="exact"/>
        <w:rPr>
          <w:rFonts w:ascii="Arial" w:cs="Arial" w:eastAsia="Arial" w:hAnsi="Arial"/>
          <w:sz w:val="18"/>
          <w:szCs w:val="18"/>
          <w:color w:val="auto"/>
        </w:rPr>
      </w:pPr>
    </w:p>
    <w:p>
      <w:pPr>
        <w:ind w:left="860" w:hanging="652"/>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79" w:lineRule="exact"/>
        <w:rPr>
          <w:rFonts w:ascii="Arial" w:cs="Arial" w:eastAsia="Arial" w:hAnsi="Arial"/>
          <w:sz w:val="18"/>
          <w:szCs w:val="18"/>
          <w:color w:val="auto"/>
        </w:rPr>
      </w:pPr>
    </w:p>
    <w:p>
      <w:pPr>
        <w:spacing w:after="0"/>
        <w:tabs>
          <w:tab w:leader="none" w:pos="0" w:val="left"/>
        </w:tabs>
        <w:numPr>
          <w:ilvl w:val="1"/>
          <w:numId w:val="5"/>
        </w:numPr>
        <w:rPr>
          <w:rFonts w:ascii="Arial" w:cs="Arial" w:eastAsia="Arial" w:hAnsi="Arial"/>
          <w:sz w:val="18"/>
          <w:szCs w:val="18"/>
          <w:color w:val="auto"/>
        </w:rPr>
      </w:pPr>
    </w:p>
    <w:p>
      <w:pPr>
        <w:spacing w:after="0" w:line="36" w:lineRule="exact"/>
        <w:rPr>
          <w:rFonts w:ascii="Arial" w:cs="Arial" w:eastAsia="Arial" w:hAnsi="Arial"/>
          <w:sz w:val="18"/>
          <w:szCs w:val="18"/>
          <w:color w:val="auto"/>
        </w:rPr>
      </w:pPr>
    </w:p>
    <w:p>
      <w:pPr>
        <w:ind w:left="1280" w:hanging="423"/>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279" w:lineRule="exact"/>
        <w:rPr>
          <w:rFonts w:ascii="Arial" w:cs="Arial" w:eastAsia="Arial" w:hAnsi="Arial"/>
          <w:sz w:val="18"/>
          <w:szCs w:val="18"/>
          <w:color w:val="auto"/>
        </w:rPr>
      </w:pPr>
    </w:p>
    <w:p>
      <w:pPr>
        <w:ind w:left="860" w:hanging="652"/>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860" w:hanging="652"/>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USA</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OF SHARES BENEFICIALLY OWNED BY EACH REPORTING PERSON WITH:</w:t>
      </w:r>
    </w:p>
    <w:p>
      <w:pPr>
        <w:spacing w:after="0" w:line="302" w:lineRule="exact"/>
        <w:rPr>
          <w:sz w:val="20"/>
          <w:szCs w:val="20"/>
          <w:color w:val="auto"/>
        </w:rPr>
      </w:pPr>
    </w:p>
    <w:p>
      <w:pPr>
        <w:ind w:left="1500" w:right="6559" w:hanging="643"/>
        <w:spacing w:after="0" w:line="563"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VOTING POWER (See Item 4)</w:t>
      </w:r>
    </w:p>
    <w:p>
      <w:pPr>
        <w:spacing w:after="0" w:line="1" w:lineRule="exact"/>
        <w:rPr>
          <w:rFonts w:ascii="Arial" w:cs="Arial" w:eastAsia="Arial" w:hAnsi="Arial"/>
          <w:sz w:val="18"/>
          <w:szCs w:val="18"/>
          <w:color w:val="auto"/>
        </w:rPr>
      </w:pPr>
    </w:p>
    <w:p>
      <w:pPr>
        <w:ind w:left="1500" w:right="6299" w:hanging="643"/>
        <w:spacing w:after="0" w:line="563"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VOTING POWER (See Item 4)</w:t>
      </w:r>
    </w:p>
    <w:p>
      <w:pPr>
        <w:spacing w:after="0" w:line="1" w:lineRule="exact"/>
        <w:rPr>
          <w:rFonts w:ascii="Arial" w:cs="Arial" w:eastAsia="Arial" w:hAnsi="Arial"/>
          <w:sz w:val="18"/>
          <w:szCs w:val="18"/>
          <w:color w:val="auto"/>
        </w:rPr>
      </w:pPr>
    </w:p>
    <w:p>
      <w:pPr>
        <w:ind w:left="1500" w:right="6179" w:hanging="643"/>
        <w:spacing w:after="0" w:line="563"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DISPOSITIVE POWER (See Item 4)</w:t>
      </w:r>
    </w:p>
    <w:p>
      <w:pPr>
        <w:spacing w:after="0" w:line="1" w:lineRule="exact"/>
        <w:rPr>
          <w:rFonts w:ascii="Arial" w:cs="Arial" w:eastAsia="Arial" w:hAnsi="Arial"/>
          <w:sz w:val="18"/>
          <w:szCs w:val="18"/>
          <w:color w:val="auto"/>
        </w:rPr>
      </w:pPr>
    </w:p>
    <w:p>
      <w:pPr>
        <w:ind w:left="1500" w:right="5899" w:hanging="643"/>
        <w:spacing w:after="0" w:line="563"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 (See Item 4)</w:t>
      </w:r>
    </w:p>
    <w:p>
      <w:pPr>
        <w:spacing w:after="0" w:line="1" w:lineRule="exact"/>
        <w:rPr>
          <w:rFonts w:ascii="Arial" w:cs="Arial" w:eastAsia="Arial" w:hAnsi="Arial"/>
          <w:sz w:val="18"/>
          <w:szCs w:val="18"/>
          <w:color w:val="auto"/>
        </w:rPr>
      </w:pPr>
    </w:p>
    <w:p>
      <w:pPr>
        <w:ind w:left="860" w:right="2619" w:hanging="652"/>
        <w:spacing w:after="0" w:line="563"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1,619,150</w:t>
      </w:r>
    </w:p>
    <w:p>
      <w:pPr>
        <w:spacing w:after="0" w:line="1" w:lineRule="exact"/>
        <w:rPr>
          <w:rFonts w:ascii="Arial" w:cs="Arial" w:eastAsia="Arial" w:hAnsi="Arial"/>
          <w:sz w:val="18"/>
          <w:szCs w:val="18"/>
          <w:color w:val="auto"/>
        </w:rPr>
      </w:pPr>
    </w:p>
    <w:p>
      <w:pPr>
        <w:ind w:left="860" w:right="4039" w:hanging="652"/>
        <w:spacing w:after="0" w:line="299"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13" w:lineRule="exact"/>
        <w:rPr>
          <w:rFonts w:ascii="Arial" w:cs="Arial" w:eastAsia="Arial" w:hAnsi="Arial"/>
          <w:sz w:val="18"/>
          <w:szCs w:val="18"/>
          <w:color w:val="auto"/>
        </w:rPr>
      </w:pPr>
    </w:p>
    <w:p>
      <w:pPr>
        <w:ind w:left="860" w:right="4079" w:hanging="652"/>
        <w:spacing w:after="0" w:line="563"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1" w:lineRule="exact"/>
        <w:rPr>
          <w:rFonts w:ascii="Arial" w:cs="Arial" w:eastAsia="Arial" w:hAnsi="Arial"/>
          <w:sz w:val="18"/>
          <w:szCs w:val="18"/>
          <w:color w:val="auto"/>
        </w:rPr>
      </w:pPr>
    </w:p>
    <w:p>
      <w:pPr>
        <w:ind w:left="860" w:right="6579" w:hanging="652"/>
        <w:spacing w:after="0" w:line="581"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147320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 w:name="page4"/>
    <w:bookmarkEnd w:id="3"/>
    <w:p>
      <w:pPr>
        <w:spacing w:after="0"/>
        <w:tabs>
          <w:tab w:leader="none" w:pos="1060" w:val="left"/>
          <w:tab w:leader="none" w:pos="4900" w:val="left"/>
          <w:tab w:leader="none" w:pos="8300" w:val="left"/>
        </w:tabs>
        <w:rPr>
          <w:sz w:val="20"/>
          <w:szCs w:val="20"/>
          <w:color w:val="auto"/>
        </w:rPr>
      </w:pPr>
      <w:r>
        <w:rPr>
          <w:rFonts w:ascii="Arial" w:cs="Arial" w:eastAsia="Arial" w:hAnsi="Arial"/>
          <w:sz w:val="18"/>
          <w:szCs w:val="18"/>
          <w:color w:val="auto"/>
        </w:rPr>
        <w:t>CUSIP NO.</w:t>
        <w:tab/>
        <w:t>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14</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860" w:right="6259" w:hanging="652"/>
        <w:spacing w:after="0" w:line="634"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Rupert H. Johnson, Jr.</w:t>
      </w:r>
    </w:p>
    <w:p>
      <w:pPr>
        <w:ind w:left="860" w:hanging="65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79" w:lineRule="exact"/>
        <w:rPr>
          <w:rFonts w:ascii="Arial" w:cs="Arial" w:eastAsia="Arial" w:hAnsi="Arial"/>
          <w:sz w:val="18"/>
          <w:szCs w:val="18"/>
          <w:color w:val="auto"/>
        </w:rPr>
      </w:pPr>
    </w:p>
    <w:p>
      <w:pPr>
        <w:spacing w:after="0"/>
        <w:tabs>
          <w:tab w:leader="none" w:pos="0" w:val="left"/>
        </w:tabs>
        <w:numPr>
          <w:ilvl w:val="1"/>
          <w:numId w:val="8"/>
        </w:numPr>
        <w:rPr>
          <w:rFonts w:ascii="Arial" w:cs="Arial" w:eastAsia="Arial" w:hAnsi="Arial"/>
          <w:sz w:val="18"/>
          <w:szCs w:val="18"/>
          <w:color w:val="auto"/>
        </w:rPr>
      </w:pPr>
    </w:p>
    <w:p>
      <w:pPr>
        <w:spacing w:after="0" w:line="36" w:lineRule="exact"/>
        <w:rPr>
          <w:rFonts w:ascii="Arial" w:cs="Arial" w:eastAsia="Arial" w:hAnsi="Arial"/>
          <w:sz w:val="18"/>
          <w:szCs w:val="18"/>
          <w:color w:val="auto"/>
        </w:rPr>
      </w:pPr>
    </w:p>
    <w:p>
      <w:pPr>
        <w:ind w:left="1280" w:hanging="423"/>
        <w:spacing w:after="0"/>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279" w:lineRule="exact"/>
        <w:rPr>
          <w:rFonts w:ascii="Arial" w:cs="Arial" w:eastAsia="Arial" w:hAnsi="Arial"/>
          <w:sz w:val="18"/>
          <w:szCs w:val="18"/>
          <w:color w:val="auto"/>
        </w:rPr>
      </w:pPr>
    </w:p>
    <w:p>
      <w:pPr>
        <w:ind w:left="860" w:hanging="65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860" w:hanging="65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USA</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NUMBER OF SHARES BENEFICIALLY OWNED BY EACH REPORTING PERSON WITH:</w:t>
      </w:r>
    </w:p>
    <w:p>
      <w:pPr>
        <w:spacing w:after="0" w:line="302" w:lineRule="exact"/>
        <w:rPr>
          <w:sz w:val="20"/>
          <w:szCs w:val="20"/>
          <w:color w:val="auto"/>
        </w:rPr>
      </w:pPr>
    </w:p>
    <w:p>
      <w:pPr>
        <w:ind w:left="1500" w:right="6559" w:hanging="643"/>
        <w:spacing w:after="0" w:line="5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VOTING POWER (See Item 4)</w:t>
      </w:r>
    </w:p>
    <w:p>
      <w:pPr>
        <w:spacing w:after="0" w:line="1" w:lineRule="exact"/>
        <w:rPr>
          <w:rFonts w:ascii="Arial" w:cs="Arial" w:eastAsia="Arial" w:hAnsi="Arial"/>
          <w:sz w:val="18"/>
          <w:szCs w:val="18"/>
          <w:color w:val="auto"/>
        </w:rPr>
      </w:pPr>
    </w:p>
    <w:p>
      <w:pPr>
        <w:ind w:left="1500" w:right="6299" w:hanging="643"/>
        <w:spacing w:after="0" w:line="5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VOTING POWER (See Item 4)</w:t>
      </w:r>
    </w:p>
    <w:p>
      <w:pPr>
        <w:spacing w:after="0" w:line="1" w:lineRule="exact"/>
        <w:rPr>
          <w:rFonts w:ascii="Arial" w:cs="Arial" w:eastAsia="Arial" w:hAnsi="Arial"/>
          <w:sz w:val="18"/>
          <w:szCs w:val="18"/>
          <w:color w:val="auto"/>
        </w:rPr>
      </w:pPr>
    </w:p>
    <w:p>
      <w:pPr>
        <w:ind w:left="1500" w:right="6179" w:hanging="643"/>
        <w:spacing w:after="0" w:line="5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DISPOSITIVE POWER (See Item 4)</w:t>
      </w:r>
    </w:p>
    <w:p>
      <w:pPr>
        <w:spacing w:after="0" w:line="1" w:lineRule="exact"/>
        <w:rPr>
          <w:rFonts w:ascii="Arial" w:cs="Arial" w:eastAsia="Arial" w:hAnsi="Arial"/>
          <w:sz w:val="18"/>
          <w:szCs w:val="18"/>
          <w:color w:val="auto"/>
        </w:rPr>
      </w:pPr>
    </w:p>
    <w:p>
      <w:pPr>
        <w:ind w:left="1500" w:right="5899" w:hanging="643"/>
        <w:spacing w:after="0" w:line="5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 (See Item 4)</w:t>
      </w:r>
    </w:p>
    <w:p>
      <w:pPr>
        <w:spacing w:after="0" w:line="1" w:lineRule="exact"/>
        <w:rPr>
          <w:rFonts w:ascii="Arial" w:cs="Arial" w:eastAsia="Arial" w:hAnsi="Arial"/>
          <w:sz w:val="18"/>
          <w:szCs w:val="18"/>
          <w:color w:val="auto"/>
        </w:rPr>
      </w:pPr>
    </w:p>
    <w:p>
      <w:pPr>
        <w:ind w:left="1080" w:right="2619" w:hanging="872"/>
        <w:spacing w:after="0" w:line="563" w:lineRule="auto"/>
        <w:tabs>
          <w:tab w:leader="none" w:pos="8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1,619,150</w:t>
      </w:r>
    </w:p>
    <w:p>
      <w:pPr>
        <w:spacing w:after="0" w:line="1" w:lineRule="exact"/>
        <w:rPr>
          <w:rFonts w:ascii="Arial" w:cs="Arial" w:eastAsia="Arial" w:hAnsi="Arial"/>
          <w:sz w:val="18"/>
          <w:szCs w:val="18"/>
          <w:color w:val="auto"/>
        </w:rPr>
      </w:pPr>
    </w:p>
    <w:p>
      <w:pPr>
        <w:ind w:left="860" w:right="4039" w:hanging="652"/>
        <w:spacing w:after="0" w:line="299"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13" w:lineRule="exact"/>
        <w:rPr>
          <w:rFonts w:ascii="Arial" w:cs="Arial" w:eastAsia="Arial" w:hAnsi="Arial"/>
          <w:sz w:val="18"/>
          <w:szCs w:val="18"/>
          <w:color w:val="auto"/>
        </w:rPr>
      </w:pPr>
    </w:p>
    <w:p>
      <w:pPr>
        <w:ind w:left="860" w:right="4079" w:hanging="652"/>
        <w:spacing w:after="0" w:line="563"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1" w:lineRule="exact"/>
        <w:rPr>
          <w:rFonts w:ascii="Arial" w:cs="Arial" w:eastAsia="Arial" w:hAnsi="Arial"/>
          <w:sz w:val="18"/>
          <w:szCs w:val="18"/>
          <w:color w:val="auto"/>
        </w:rPr>
      </w:pPr>
    </w:p>
    <w:p>
      <w:pPr>
        <w:ind w:left="860" w:right="6579" w:hanging="652"/>
        <w:spacing w:after="0" w:line="581"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147320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4" w:name="page5"/>
    <w:bookmarkEnd w:id="4"/>
    <w:p>
      <w:pPr>
        <w:spacing w:after="0"/>
        <w:tabs>
          <w:tab w:leader="none" w:pos="1060" w:val="left"/>
          <w:tab w:leader="none" w:pos="4900" w:val="left"/>
          <w:tab w:leader="none" w:pos="8300" w:val="left"/>
        </w:tabs>
        <w:rPr>
          <w:sz w:val="20"/>
          <w:szCs w:val="20"/>
          <w:color w:val="auto"/>
        </w:rPr>
      </w:pPr>
      <w:r>
        <w:rPr>
          <w:rFonts w:ascii="Arial" w:cs="Arial" w:eastAsia="Arial" w:hAnsi="Arial"/>
          <w:sz w:val="18"/>
          <w:szCs w:val="18"/>
          <w:color w:val="auto"/>
        </w:rPr>
        <w:t>CUSIP NO.</w:t>
        <w:tab/>
        <w:t>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14</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920" w:right="6199" w:hanging="712"/>
        <w:spacing w:after="0" w:line="634"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Franklin Advisory Services, LLC</w:t>
      </w:r>
    </w:p>
    <w:p>
      <w:pPr>
        <w:ind w:left="920" w:hanging="7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79" w:lineRule="exact"/>
        <w:rPr>
          <w:rFonts w:ascii="Arial" w:cs="Arial" w:eastAsia="Arial" w:hAnsi="Arial"/>
          <w:sz w:val="18"/>
          <w:szCs w:val="18"/>
          <w:color w:val="auto"/>
        </w:rPr>
      </w:pPr>
    </w:p>
    <w:p>
      <w:pPr>
        <w:spacing w:after="0"/>
        <w:tabs>
          <w:tab w:leader="none" w:pos="0" w:val="left"/>
        </w:tabs>
        <w:numPr>
          <w:ilvl w:val="1"/>
          <w:numId w:val="11"/>
        </w:numPr>
        <w:rPr>
          <w:rFonts w:ascii="Arial" w:cs="Arial" w:eastAsia="Arial" w:hAnsi="Arial"/>
          <w:sz w:val="18"/>
          <w:szCs w:val="18"/>
          <w:color w:val="auto"/>
        </w:rPr>
      </w:pPr>
    </w:p>
    <w:p>
      <w:pPr>
        <w:spacing w:after="0" w:line="36" w:lineRule="exact"/>
        <w:rPr>
          <w:rFonts w:ascii="Arial" w:cs="Arial" w:eastAsia="Arial" w:hAnsi="Arial"/>
          <w:sz w:val="18"/>
          <w:szCs w:val="18"/>
          <w:color w:val="auto"/>
        </w:rPr>
      </w:pPr>
    </w:p>
    <w:p>
      <w:pPr>
        <w:ind w:left="1360" w:hanging="436"/>
        <w:spacing w:after="0"/>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X</w:t>
      </w:r>
    </w:p>
    <w:p>
      <w:pPr>
        <w:spacing w:after="0" w:line="36" w:lineRule="exact"/>
        <w:rPr>
          <w:rFonts w:ascii="Arial" w:cs="Arial" w:eastAsia="Arial" w:hAnsi="Arial"/>
          <w:sz w:val="18"/>
          <w:szCs w:val="18"/>
          <w:color w:val="auto"/>
        </w:rPr>
      </w:pPr>
    </w:p>
    <w:p>
      <w:pPr>
        <w:ind w:left="920" w:hanging="7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920" w:right="5379" w:hanging="712"/>
        <w:spacing w:after="0" w:line="563"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NUMBER OF SHARES BENEFICIALLY OWNED BY EACH REPORTING PERSON WITH:</w:t>
      </w:r>
    </w:p>
    <w:p>
      <w:pPr>
        <w:spacing w:after="0" w:line="302" w:lineRule="exact"/>
        <w:rPr>
          <w:sz w:val="20"/>
          <w:szCs w:val="20"/>
          <w:color w:val="auto"/>
        </w:rPr>
      </w:pPr>
    </w:p>
    <w:p>
      <w:pPr>
        <w:ind w:left="1500" w:right="6559" w:hanging="643"/>
        <w:spacing w:after="0" w:line="563" w:lineRule="auto"/>
        <w:tabs>
          <w:tab w:leader="none" w:pos="1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VOTING POWER 1,545,150</w:t>
      </w:r>
    </w:p>
    <w:p>
      <w:pPr>
        <w:spacing w:after="0" w:line="1" w:lineRule="exact"/>
        <w:rPr>
          <w:rFonts w:ascii="Arial" w:cs="Arial" w:eastAsia="Arial" w:hAnsi="Arial"/>
          <w:sz w:val="18"/>
          <w:szCs w:val="18"/>
          <w:color w:val="auto"/>
        </w:rPr>
      </w:pPr>
    </w:p>
    <w:p>
      <w:pPr>
        <w:ind w:left="1620" w:right="6299" w:hanging="763"/>
        <w:spacing w:after="0" w:line="563" w:lineRule="auto"/>
        <w:tabs>
          <w:tab w:leader="none" w:pos="15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1500" w:right="6179" w:hanging="643"/>
        <w:spacing w:after="0" w:line="563" w:lineRule="auto"/>
        <w:tabs>
          <w:tab w:leader="none" w:pos="1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DISPOSITIVE POWER 1,619,150</w:t>
      </w:r>
    </w:p>
    <w:p>
      <w:pPr>
        <w:spacing w:after="0" w:line="1" w:lineRule="exact"/>
        <w:rPr>
          <w:rFonts w:ascii="Arial" w:cs="Arial" w:eastAsia="Arial" w:hAnsi="Arial"/>
          <w:sz w:val="18"/>
          <w:szCs w:val="18"/>
          <w:color w:val="auto"/>
        </w:rPr>
      </w:pPr>
    </w:p>
    <w:p>
      <w:pPr>
        <w:ind w:left="1620" w:right="5899" w:hanging="763"/>
        <w:spacing w:after="0" w:line="563" w:lineRule="auto"/>
        <w:tabs>
          <w:tab w:leader="none" w:pos="15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960" w:right="2559" w:hanging="752"/>
        <w:spacing w:after="0" w:line="563" w:lineRule="auto"/>
        <w:tabs>
          <w:tab w:leader="none" w:pos="9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1,619,150</w:t>
      </w:r>
    </w:p>
    <w:p>
      <w:pPr>
        <w:spacing w:after="0" w:line="1" w:lineRule="exact"/>
        <w:rPr>
          <w:rFonts w:ascii="Arial" w:cs="Arial" w:eastAsia="Arial" w:hAnsi="Arial"/>
          <w:sz w:val="18"/>
          <w:szCs w:val="18"/>
          <w:color w:val="auto"/>
        </w:rPr>
      </w:pPr>
    </w:p>
    <w:p>
      <w:pPr>
        <w:ind w:left="920" w:right="3979" w:hanging="712"/>
        <w:spacing w:after="0" w:line="299"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13" w:lineRule="exact"/>
        <w:rPr>
          <w:rFonts w:ascii="Arial" w:cs="Arial" w:eastAsia="Arial" w:hAnsi="Arial"/>
          <w:sz w:val="18"/>
          <w:szCs w:val="18"/>
          <w:color w:val="auto"/>
        </w:rPr>
      </w:pPr>
    </w:p>
    <w:p>
      <w:pPr>
        <w:ind w:left="920" w:right="4019" w:hanging="712"/>
        <w:spacing w:after="0" w:line="563"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5.6%</w:t>
      </w:r>
    </w:p>
    <w:p>
      <w:pPr>
        <w:spacing w:after="0" w:line="1" w:lineRule="exact"/>
        <w:rPr>
          <w:rFonts w:ascii="Arial" w:cs="Arial" w:eastAsia="Arial" w:hAnsi="Arial"/>
          <w:sz w:val="18"/>
          <w:szCs w:val="18"/>
          <w:color w:val="auto"/>
        </w:rPr>
      </w:pPr>
    </w:p>
    <w:p>
      <w:pPr>
        <w:ind w:left="920" w:right="6519" w:hanging="712"/>
        <w:spacing w:after="0" w:line="58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147320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5" w:name="page6"/>
    <w:bookmarkEnd w:id="5"/>
    <w:p>
      <w:pPr>
        <w:spacing w:after="0"/>
        <w:tabs>
          <w:tab w:leader="none" w:pos="1060" w:val="left"/>
          <w:tab w:leader="none" w:pos="4900" w:val="left"/>
          <w:tab w:leader="none" w:pos="8300" w:val="left"/>
        </w:tabs>
        <w:rPr>
          <w:sz w:val="20"/>
          <w:szCs w:val="20"/>
          <w:color w:val="auto"/>
        </w:rPr>
      </w:pPr>
      <w:r>
        <w:rPr>
          <w:rFonts w:ascii="Arial" w:cs="Arial" w:eastAsia="Arial" w:hAnsi="Arial"/>
          <w:sz w:val="18"/>
          <w:szCs w:val="18"/>
          <w:color w:val="auto"/>
        </w:rPr>
        <w:t>CUSIP NO.</w:t>
        <w:tab/>
        <w:t>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14</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1.</w:t>
      </w:r>
    </w:p>
    <w:p>
      <w:pPr>
        <w:spacing w:after="0" w:line="279" w:lineRule="exact"/>
        <w:rPr>
          <w:sz w:val="20"/>
          <w:szCs w:val="20"/>
          <w:color w:val="auto"/>
        </w:rPr>
      </w:pPr>
    </w:p>
    <w:p>
      <w:pPr>
        <w:ind w:left="880" w:hanging="67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79"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WINNEBAGO INDUSTRIES, INC.</w:t>
      </w:r>
    </w:p>
    <w:p>
      <w:pPr>
        <w:spacing w:after="0" w:line="279" w:lineRule="exact"/>
        <w:rPr>
          <w:rFonts w:ascii="Arial" w:cs="Arial" w:eastAsia="Arial" w:hAnsi="Arial"/>
          <w:sz w:val="18"/>
          <w:szCs w:val="18"/>
          <w:color w:val="auto"/>
        </w:rPr>
      </w:pPr>
    </w:p>
    <w:p>
      <w:pPr>
        <w:ind w:left="880" w:hanging="67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79"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P.O. Box 152</w:t>
      </w:r>
    </w:p>
    <w:p>
      <w:pPr>
        <w:spacing w:after="0" w:line="36"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Forest City, IA 50436</w:t>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Item 2.</w:t>
      </w:r>
    </w:p>
    <w:p>
      <w:pPr>
        <w:spacing w:after="0" w:line="279" w:lineRule="exact"/>
        <w:rPr>
          <w:sz w:val="20"/>
          <w:szCs w:val="20"/>
          <w:color w:val="auto"/>
        </w:rPr>
      </w:pPr>
    </w:p>
    <w:p>
      <w:pPr>
        <w:ind w:left="880" w:hanging="67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79"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Franklin Resources, Inc.</w:t>
      </w:r>
    </w:p>
    <w:p>
      <w:pPr>
        <w:spacing w:after="0" w:line="279"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Charles B. Johnson</w:t>
      </w:r>
    </w:p>
    <w:p>
      <w:pPr>
        <w:spacing w:after="0" w:line="279"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8"/>
          <w:szCs w:val="18"/>
          <w:color w:val="auto"/>
        </w:rPr>
        <w:t>Rupert H. Johnson, Jr.</w:t>
      </w:r>
    </w:p>
    <w:p>
      <w:pPr>
        <w:spacing w:after="0" w:line="279" w:lineRule="exact"/>
        <w:rPr>
          <w:sz w:val="20"/>
          <w:szCs w:val="20"/>
          <w:color w:val="auto"/>
        </w:rPr>
      </w:pPr>
    </w:p>
    <w:p>
      <w:pPr>
        <w:ind w:left="880"/>
        <w:spacing w:after="0"/>
        <w:tabs>
          <w:tab w:leader="none" w:pos="160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Franklin Advisory Services, LLC</w:t>
      </w:r>
    </w:p>
    <w:p>
      <w:pPr>
        <w:spacing w:after="0" w:line="279" w:lineRule="exact"/>
        <w:rPr>
          <w:sz w:val="20"/>
          <w:szCs w:val="20"/>
          <w:color w:val="auto"/>
        </w:rPr>
      </w:pPr>
    </w:p>
    <w:p>
      <w:pPr>
        <w:ind w:left="860" w:hanging="652"/>
        <w:spacing w:after="0"/>
        <w:tabs>
          <w:tab w:leader="none" w:pos="8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Address of Principal Business Office or, if none, Residence</w:t>
      </w:r>
    </w:p>
    <w:p>
      <w:pPr>
        <w:spacing w:after="0" w:line="31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 (ii), and (iii):</w:t>
      </w:r>
    </w:p>
    <w:p>
      <w:pPr>
        <w:spacing w:after="0" w:line="3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One Franklin Parkway</w:t>
      </w:r>
    </w:p>
    <w:p>
      <w:pPr>
        <w:spacing w:after="0" w:line="3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San Mateo, CA 94403-1906</w:t>
      </w:r>
    </w:p>
    <w:p>
      <w:pPr>
        <w:spacing w:after="0" w:line="279" w:lineRule="exact"/>
        <w:rPr>
          <w:sz w:val="20"/>
          <w:szCs w:val="20"/>
          <w:color w:val="auto"/>
        </w:rPr>
      </w:pPr>
    </w:p>
    <w:p>
      <w:pPr>
        <w:ind w:left="820"/>
        <w:spacing w:after="0"/>
        <w:tabs>
          <w:tab w:leader="none" w:pos="148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One Parker Plaza, Ninth Floor</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Fort Lee, NJ 07024-2938</w:t>
      </w:r>
    </w:p>
    <w:p>
      <w:pPr>
        <w:spacing w:after="0" w:line="279" w:lineRule="exact"/>
        <w:rPr>
          <w:sz w:val="20"/>
          <w:szCs w:val="20"/>
          <w:color w:val="auto"/>
        </w:rPr>
      </w:pPr>
    </w:p>
    <w:p>
      <w:pPr>
        <w:ind w:left="860" w:hanging="652"/>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79"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5"/>
          <w:szCs w:val="15"/>
          <w:color w:val="auto"/>
        </w:rPr>
        <w:t>Delaware</w:t>
      </w:r>
    </w:p>
    <w:p>
      <w:pPr>
        <w:spacing w:after="0" w:line="36"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(ii) and (iii): USA</w:t>
      </w:r>
    </w:p>
    <w:p>
      <w:pPr>
        <w:spacing w:after="0" w:line="36"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(iv):</w:t>
      </w:r>
      <w:r>
        <w:rPr>
          <w:rFonts w:ascii="Arial" w:cs="Arial" w:eastAsia="Arial" w:hAnsi="Arial"/>
          <w:sz w:val="16"/>
          <w:szCs w:val="16"/>
          <w:color w:val="auto"/>
        </w:rPr>
        <w:t>Delaware</w:t>
      </w:r>
    </w:p>
    <w:p>
      <w:pPr>
        <w:spacing w:after="0" w:line="279" w:lineRule="exact"/>
        <w:rPr>
          <w:rFonts w:ascii="Arial" w:cs="Arial" w:eastAsia="Arial" w:hAnsi="Arial"/>
          <w:sz w:val="18"/>
          <w:szCs w:val="18"/>
          <w:color w:val="auto"/>
        </w:rPr>
      </w:pPr>
    </w:p>
    <w:p>
      <w:pPr>
        <w:ind w:left="860" w:right="6759" w:hanging="652"/>
        <w:spacing w:after="0" w:line="634"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Title of Class of Securities Common Stock ($.50 par value)</w:t>
      </w:r>
    </w:p>
    <w:p>
      <w:pPr>
        <w:ind w:left="860" w:right="7899" w:hanging="652"/>
        <w:spacing w:after="0" w:line="684"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CUSIP Number 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117475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CUSIP NO.   974637100</w:t>
            </w:r>
          </w:p>
        </w:tc>
        <w:tc>
          <w:tcPr>
            <w:tcW w:w="1820" w:type="dxa"/>
            <w:vAlign w:val="bottom"/>
          </w:tcPr>
          <w:p>
            <w:pPr>
              <w:ind w:left="1520"/>
              <w:spacing w:after="0"/>
              <w:rPr>
                <w:sz w:val="20"/>
                <w:szCs w:val="20"/>
                <w:color w:val="auto"/>
              </w:rPr>
            </w:pPr>
            <w:r>
              <w:rPr>
                <w:rFonts w:ascii="Arial" w:cs="Arial" w:eastAsia="Arial" w:hAnsi="Arial"/>
                <w:sz w:val="18"/>
                <w:szCs w:val="18"/>
                <w:color w:val="auto"/>
                <w:w w:val="82"/>
              </w:rPr>
              <w:t>13G</w:t>
            </w:r>
          </w:p>
        </w:tc>
      </w:tr>
    </w:tbl>
    <w:p>
      <w:pPr>
        <w:spacing w:after="0" w:line="200" w:lineRule="exact"/>
        <w:rPr>
          <w:sz w:val="20"/>
          <w:szCs w:val="20"/>
          <w:color w:val="auto"/>
        </w:rPr>
      </w:pPr>
    </w:p>
    <w:p>
      <w:pPr>
        <w:spacing w:after="0" w:line="307" w:lineRule="exact"/>
        <w:rPr>
          <w:sz w:val="20"/>
          <w:szCs w:val="20"/>
          <w:color w:val="auto"/>
        </w:rPr>
      </w:pPr>
    </w:p>
    <w:p>
      <w:pPr>
        <w:ind w:left="980" w:right="1360" w:hanging="769"/>
        <w:spacing w:after="0" w:line="281" w:lineRule="auto"/>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color w:val="auto"/>
        </w:rPr>
        <w:t>If this statement is filed pursuant to §§240.13d-1(b) or 240.13d-2(b) or (c), check whether the person filing is a:</w:t>
      </w:r>
    </w:p>
    <w:p>
      <w:pPr>
        <w:spacing w:after="0" w:line="2" w:lineRule="exact"/>
        <w:rPr>
          <w:sz w:val="20"/>
          <w:szCs w:val="20"/>
          <w:color w:val="auto"/>
        </w:rPr>
      </w:pPr>
    </w:p>
    <w:p>
      <w:pPr>
        <w:ind w:left="1320" w:hanging="315"/>
        <w:spacing w:after="0"/>
        <w:tabs>
          <w:tab w:leader="none" w:pos="1320" w:val="left"/>
        </w:tabs>
        <w:numPr>
          <w:ilvl w:val="2"/>
          <w:numId w:val="18"/>
        </w:numPr>
        <w:rPr>
          <w:rFonts w:ascii="Arial" w:cs="Arial" w:eastAsia="Arial" w:hAnsi="Arial"/>
          <w:sz w:val="16"/>
          <w:szCs w:val="16"/>
          <w:color w:val="auto"/>
        </w:rPr>
      </w:pPr>
      <w:r>
        <w:rPr>
          <w:rFonts w:ascii="Arial" w:cs="Arial" w:eastAsia="Arial" w:hAnsi="Arial"/>
          <w:sz w:val="16"/>
          <w:szCs w:val="16"/>
          <w:color w:val="auto"/>
        </w:rPr>
        <w:t>o Broker or dealer registered under section 15 of the Act (15 U.S.C. 78o).</w:t>
      </w:r>
    </w:p>
    <w:p>
      <w:pPr>
        <w:spacing w:after="0" w:line="302" w:lineRule="exact"/>
        <w:rPr>
          <w:rFonts w:ascii="Arial" w:cs="Arial" w:eastAsia="Arial" w:hAnsi="Arial"/>
          <w:sz w:val="16"/>
          <w:szCs w:val="16"/>
          <w:color w:val="auto"/>
        </w:rPr>
      </w:pPr>
    </w:p>
    <w:p>
      <w:pPr>
        <w:ind w:left="1300" w:hanging="322"/>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36" w:lineRule="exact"/>
        <w:rPr>
          <w:rFonts w:ascii="Arial" w:cs="Arial" w:eastAsia="Arial" w:hAnsi="Arial"/>
          <w:sz w:val="18"/>
          <w:szCs w:val="18"/>
          <w:color w:val="auto"/>
        </w:rPr>
      </w:pPr>
    </w:p>
    <w:p>
      <w:pPr>
        <w:ind w:left="1280" w:right="1160" w:hanging="315"/>
        <w:spacing w:after="0" w:line="281"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1" w:lineRule="exact"/>
        <w:rPr>
          <w:rFonts w:ascii="Arial" w:cs="Arial" w:eastAsia="Arial" w:hAnsi="Arial"/>
          <w:sz w:val="18"/>
          <w:szCs w:val="18"/>
          <w:color w:val="auto"/>
        </w:rPr>
      </w:pPr>
    </w:p>
    <w:p>
      <w:pPr>
        <w:ind w:left="1280" w:right="860" w:hanging="315"/>
        <w:spacing w:after="0" w:line="299"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200" w:lineRule="exact"/>
        <w:rPr>
          <w:rFonts w:ascii="Arial" w:cs="Arial" w:eastAsia="Arial" w:hAnsi="Arial"/>
          <w:sz w:val="18"/>
          <w:szCs w:val="18"/>
          <w:color w:val="auto"/>
        </w:rPr>
      </w:pPr>
    </w:p>
    <w:p>
      <w:pPr>
        <w:ind w:left="1280" w:hanging="315"/>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22"/>
          <w:szCs w:val="22"/>
          <w:color w:val="auto"/>
        </w:rPr>
        <w:t xml:space="preserve">x </w:t>
      </w:r>
      <w:r>
        <w:rPr>
          <w:rFonts w:ascii="Arial" w:cs="Arial" w:eastAsia="Arial" w:hAnsi="Arial"/>
          <w:sz w:val="17"/>
          <w:szCs w:val="17"/>
          <w:color w:val="auto"/>
        </w:rPr>
        <w:t>An investment adviser in accordance with §240.13d-1(b)(1)(ii)(E);</w:t>
      </w:r>
    </w:p>
    <w:p>
      <w:pPr>
        <w:spacing w:after="0" w:line="246" w:lineRule="exact"/>
        <w:rPr>
          <w:rFonts w:ascii="Arial" w:cs="Arial" w:eastAsia="Arial" w:hAnsi="Arial"/>
          <w:sz w:val="18"/>
          <w:szCs w:val="18"/>
          <w:color w:val="auto"/>
        </w:rPr>
      </w:pPr>
    </w:p>
    <w:p>
      <w:pPr>
        <w:ind w:left="1280" w:right="1580" w:hanging="315"/>
        <w:spacing w:after="0" w:line="274"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§240.13d-1(b)(1)(ii)(F);</w:t>
      </w:r>
    </w:p>
    <w:p>
      <w:pPr>
        <w:ind w:left="1280" w:right="1660" w:hanging="315"/>
        <w:spacing w:after="0" w:line="227"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22"/>
          <w:szCs w:val="22"/>
          <w:color w:val="auto"/>
        </w:rPr>
        <w:t xml:space="preserve">x </w:t>
      </w:r>
      <w:r>
        <w:rPr>
          <w:rFonts w:ascii="Arial" w:cs="Arial" w:eastAsia="Arial" w:hAnsi="Arial"/>
          <w:sz w:val="17"/>
          <w:szCs w:val="17"/>
          <w:color w:val="auto"/>
        </w:rPr>
        <w:t>A parent holding company or control person in accordance with</w:t>
      </w:r>
      <w:r>
        <w:rPr>
          <w:rFonts w:ascii="Arial" w:cs="Arial" w:eastAsia="Arial" w:hAnsi="Arial"/>
          <w:sz w:val="22"/>
          <w:szCs w:val="22"/>
          <w:color w:val="auto"/>
        </w:rPr>
        <w:t xml:space="preserve"> </w:t>
      </w:r>
      <w:r>
        <w:rPr>
          <w:rFonts w:ascii="Arial" w:cs="Arial" w:eastAsia="Arial" w:hAnsi="Arial"/>
          <w:sz w:val="17"/>
          <w:szCs w:val="17"/>
          <w:color w:val="auto"/>
        </w:rPr>
        <w:t>§240.13d-1(b)(1)(ii)(G);</w:t>
      </w:r>
    </w:p>
    <w:p>
      <w:pPr>
        <w:spacing w:after="0" w:line="20" w:lineRule="exact"/>
        <w:rPr>
          <w:rFonts w:ascii="Arial" w:cs="Arial" w:eastAsia="Arial" w:hAnsi="Arial"/>
          <w:sz w:val="18"/>
          <w:szCs w:val="18"/>
          <w:color w:val="auto"/>
        </w:rPr>
      </w:pPr>
    </w:p>
    <w:p>
      <w:pPr>
        <w:ind w:left="1280" w:right="1140" w:hanging="315"/>
        <w:spacing w:after="0" w:line="281"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 A savings associations as defined in Section 3(b) of the Federal Deposit Insurance Act (12 U.S.C. 1813);</w:t>
      </w:r>
    </w:p>
    <w:p>
      <w:pPr>
        <w:spacing w:after="0" w:line="1" w:lineRule="exact"/>
        <w:rPr>
          <w:rFonts w:ascii="Arial" w:cs="Arial" w:eastAsia="Arial" w:hAnsi="Arial"/>
          <w:sz w:val="18"/>
          <w:szCs w:val="18"/>
          <w:color w:val="auto"/>
        </w:rPr>
      </w:pPr>
    </w:p>
    <w:p>
      <w:pPr>
        <w:ind w:left="1280" w:right="900" w:hanging="315"/>
        <w:spacing w:after="0" w:line="290"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222" w:lineRule="exact"/>
        <w:rPr>
          <w:rFonts w:ascii="Arial" w:cs="Arial" w:eastAsia="Arial" w:hAnsi="Arial"/>
          <w:sz w:val="18"/>
          <w:szCs w:val="18"/>
          <w:color w:val="auto"/>
        </w:rPr>
      </w:pPr>
    </w:p>
    <w:p>
      <w:pPr>
        <w:ind w:left="1280" w:hanging="315"/>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 A non-U.S. institution in accordance with §240.13d-1(b)(ii)(J);</w:t>
      </w:r>
    </w:p>
    <w:p>
      <w:pPr>
        <w:spacing w:after="0" w:line="279" w:lineRule="exact"/>
        <w:rPr>
          <w:rFonts w:ascii="Arial" w:cs="Arial" w:eastAsia="Arial" w:hAnsi="Arial"/>
          <w:sz w:val="18"/>
          <w:szCs w:val="18"/>
          <w:color w:val="auto"/>
        </w:rPr>
      </w:pPr>
    </w:p>
    <w:p>
      <w:pPr>
        <w:ind w:left="1280" w:hanging="315"/>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 Group, in accordance with §240.13d 1(b)(1)(ii)(K).</w:t>
      </w:r>
    </w:p>
    <w:p>
      <w:pPr>
        <w:spacing w:after="0" w:line="279" w:lineRule="exact"/>
        <w:rPr>
          <w:sz w:val="20"/>
          <w:szCs w:val="20"/>
          <w:color w:val="auto"/>
        </w:rPr>
      </w:pPr>
    </w:p>
    <w:p>
      <w:pPr>
        <w:ind w:left="420" w:right="1340"/>
        <w:spacing w:after="0" w:line="299" w:lineRule="auto"/>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214" w:lineRule="exact"/>
        <w:rPr>
          <w:sz w:val="20"/>
          <w:szCs w:val="20"/>
          <w:color w:val="auto"/>
        </w:rPr>
      </w:pPr>
    </w:p>
    <w:p>
      <w:pPr>
        <w:ind w:left="200"/>
        <w:spacing w:after="0"/>
        <w:tabs>
          <w:tab w:leader="none" w:pos="12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79" w:lineRule="exact"/>
        <w:rPr>
          <w:sz w:val="20"/>
          <w:szCs w:val="20"/>
          <w:color w:val="auto"/>
        </w:rPr>
      </w:pPr>
    </w:p>
    <w:p>
      <w:pPr>
        <w:ind w:left="200" w:right="1220"/>
        <w:spacing w:after="0" w:line="322" w:lineRule="auto"/>
        <w:rPr>
          <w:sz w:val="20"/>
          <w:szCs w:val="20"/>
          <w:color w:val="auto"/>
        </w:rPr>
      </w:pPr>
      <w:r>
        <w:rPr>
          <w:rFonts w:ascii="Arial" w:cs="Arial" w:eastAsia="Arial" w:hAnsi="Arial"/>
          <w:sz w:val="16"/>
          <w:szCs w:val="16"/>
          <w:color w:val="auto"/>
        </w:rPr>
        <w:t>The securities reported herein (the “Securities”) are beneficially owned by one or more open- or closed-end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Item 7. Investment management contracts grant to the Investment Management Subsidiaries all investment and/or voting power over the securities owned by such investment management clients, unless otherwise noted in this Item 4. Therefore, for purposes of Rule 13d-3 under the Act, the Investment Management Subsidiaries may be deemed to be the beneficial owners of the Securities.</w:t>
      </w:r>
    </w:p>
    <w:p>
      <w:pPr>
        <w:spacing w:after="0" w:line="202" w:lineRule="exact"/>
        <w:rPr>
          <w:sz w:val="20"/>
          <w:szCs w:val="20"/>
          <w:color w:val="auto"/>
        </w:rPr>
      </w:pPr>
    </w:p>
    <w:p>
      <w:pPr>
        <w:ind w:left="200" w:right="1120"/>
        <w:spacing w:after="0" w:line="317" w:lineRule="auto"/>
        <w:rPr>
          <w:sz w:val="20"/>
          <w:szCs w:val="20"/>
          <w:color w:val="auto"/>
        </w:rPr>
      </w:pPr>
      <w:r>
        <w:rPr>
          <w:rFonts w:ascii="Arial" w:cs="Arial" w:eastAsia="Arial" w:hAnsi="Arial"/>
          <w:sz w:val="16"/>
          <w:szCs w:val="16"/>
          <w:color w:val="auto"/>
        </w:rPr>
        <w:t>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an indirect wholly-owned Investment Management Subsidiary, are exercised independently from FRI and from all other Investment Management Subsidiaries (FRI, its affiliates and the Investment Management Subsidiaries other than FMA are collectively, “FRI affiliates”). Furthermore,</w:t>
      </w:r>
    </w:p>
    <w:p>
      <w:pPr>
        <w:spacing w:after="0" w:line="1" w:lineRule="exact"/>
        <w:rPr>
          <w:sz w:val="20"/>
          <w:szCs w:val="20"/>
          <w:color w:val="auto"/>
        </w:rPr>
      </w:pPr>
    </w:p>
    <w:p>
      <w:pPr>
        <w:ind w:left="200" w:right="1380"/>
        <w:spacing w:after="0" w:line="327" w:lineRule="auto"/>
        <w:rPr>
          <w:sz w:val="20"/>
          <w:szCs w:val="20"/>
          <w:color w:val="auto"/>
        </w:rPr>
      </w:pPr>
      <w:r>
        <w:rPr>
          <w:rFonts w:ascii="Arial" w:cs="Arial" w:eastAsia="Arial" w:hAnsi="Arial"/>
          <w:sz w:val="16"/>
          <w:szCs w:val="16"/>
          <w:color w:val="auto"/>
        </w:rPr>
        <w:t>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291465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7 of 14</w:t>
      </w:r>
    </w:p>
    <w:p>
      <w:pPr>
        <w:sectPr>
          <w:pgSz w:w="11900" w:h="16838" w:orient="portrait"/>
          <w:cols w:equalWidth="0" w:num="2">
            <w:col w:w="7600" w:space="720"/>
            <w:col w:w="1559"/>
          </w:cols>
          <w:pgMar w:left="580" w:top="13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CUSIP NO.   974637100</w:t>
            </w:r>
          </w:p>
        </w:tc>
        <w:tc>
          <w:tcPr>
            <w:tcW w:w="1820" w:type="dxa"/>
            <w:vAlign w:val="bottom"/>
          </w:tcPr>
          <w:p>
            <w:pPr>
              <w:ind w:left="1520"/>
              <w:spacing w:after="0"/>
              <w:rPr>
                <w:sz w:val="20"/>
                <w:szCs w:val="20"/>
                <w:color w:val="auto"/>
              </w:rPr>
            </w:pPr>
            <w:r>
              <w:rPr>
                <w:rFonts w:ascii="Arial" w:cs="Arial" w:eastAsia="Arial" w:hAnsi="Arial"/>
                <w:sz w:val="18"/>
                <w:szCs w:val="18"/>
                <w:color w:val="auto"/>
                <w:w w:val="82"/>
              </w:rPr>
              <w:t>13G</w:t>
            </w:r>
          </w:p>
        </w:tc>
      </w:tr>
    </w:tbl>
    <w:p>
      <w:pPr>
        <w:spacing w:after="0" w:line="200" w:lineRule="exact"/>
        <w:rPr>
          <w:sz w:val="20"/>
          <w:szCs w:val="20"/>
          <w:color w:val="auto"/>
        </w:rPr>
      </w:pPr>
    </w:p>
    <w:p>
      <w:pPr>
        <w:spacing w:after="0" w:line="307" w:lineRule="exact"/>
        <w:rPr>
          <w:sz w:val="20"/>
          <w:szCs w:val="20"/>
          <w:color w:val="auto"/>
        </w:rPr>
      </w:pPr>
    </w:p>
    <w:p>
      <w:pPr>
        <w:ind w:left="100" w:right="1360"/>
        <w:spacing w:after="0" w:line="317" w:lineRule="auto"/>
        <w:rPr>
          <w:sz w:val="20"/>
          <w:szCs w:val="20"/>
          <w:color w:val="auto"/>
        </w:rPr>
      </w:pPr>
      <w:r>
        <w:rPr>
          <w:rFonts w:ascii="Arial" w:cs="Arial" w:eastAsia="Arial" w:hAnsi="Arial"/>
          <w:sz w:val="16"/>
          <w:szCs w:val="16"/>
          <w:color w:val="auto"/>
        </w:rPr>
        <w:t>Charles B. Johnson and Rupert H. Johnson, Jr. (the “Principal Shareholders”) each own in excess of 10% of the outstanding common stock of FRI and are the principal stockholders of FRI. FRI and the Principal Shareholders may be deemed to be, for purposes of Rule 13d-3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w:t>
      </w:r>
    </w:p>
    <w:p>
      <w:pPr>
        <w:spacing w:after="0" w:line="1" w:lineRule="exact"/>
        <w:rPr>
          <w:sz w:val="20"/>
          <w:szCs w:val="20"/>
          <w:color w:val="auto"/>
        </w:rPr>
      </w:pPr>
    </w:p>
    <w:p>
      <w:pPr>
        <w:ind w:left="100" w:right="1480"/>
        <w:spacing w:after="0" w:line="327" w:lineRule="auto"/>
        <w:rPr>
          <w:sz w:val="20"/>
          <w:szCs w:val="20"/>
          <w:color w:val="auto"/>
        </w:rPr>
      </w:pPr>
      <w:r>
        <w:rPr>
          <w:rFonts w:ascii="Arial" w:cs="Arial" w:eastAsia="Arial" w:hAnsi="Arial"/>
          <w:sz w:val="16"/>
          <w:szCs w:val="16"/>
          <w:color w:val="auto"/>
        </w:rPr>
        <w:t>FRI, the Principal Shareholders and each of the Investment Management Subsidiaries disclaim any pecuniary interest in any of the Securities. In addition, the filing of this Schedule 13G on behalf of the Principal Shareholders, FRI and FRI affiliates, as applicable, should not be construed as an admission that any of them is, and each of them disclaims that it is, the beneficial owner, as defined in Rule 13d-3, of any of the Securities.</w:t>
      </w:r>
    </w:p>
    <w:p>
      <w:pPr>
        <w:spacing w:after="0" w:line="198" w:lineRule="exact"/>
        <w:rPr>
          <w:sz w:val="20"/>
          <w:szCs w:val="20"/>
          <w:color w:val="auto"/>
        </w:rPr>
      </w:pPr>
    </w:p>
    <w:p>
      <w:pPr>
        <w:ind w:left="100" w:right="1440"/>
        <w:spacing w:after="0" w:line="285" w:lineRule="auto"/>
        <w:rPr>
          <w:sz w:val="20"/>
          <w:szCs w:val="20"/>
          <w:color w:val="auto"/>
        </w:rPr>
      </w:pPr>
      <w:r>
        <w:rPr>
          <w:rFonts w:ascii="Arial" w:cs="Arial" w:eastAsia="Arial" w:hAnsi="Arial"/>
          <w:sz w:val="18"/>
          <w:szCs w:val="18"/>
          <w:color w:val="auto"/>
        </w:rPr>
        <w:t>FRI, the Principal Shareholders, and each of the Investment Management Subsidiaries believe that they are not a “group” within the meaning of Rule 13d-5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27" w:lineRule="exact"/>
        <w:rPr>
          <w:sz w:val="20"/>
          <w:szCs w:val="20"/>
          <w:color w:val="auto"/>
        </w:rPr>
      </w:pPr>
    </w:p>
    <w:p>
      <w:pPr>
        <w:ind w:left="1500" w:right="4080" w:hanging="752"/>
        <w:spacing w:after="0" w:line="563" w:lineRule="auto"/>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 1,619,150</w:t>
      </w:r>
    </w:p>
    <w:p>
      <w:pPr>
        <w:spacing w:after="0" w:line="1" w:lineRule="exact"/>
        <w:rPr>
          <w:rFonts w:ascii="Arial" w:cs="Arial" w:eastAsia="Arial" w:hAnsi="Arial"/>
          <w:sz w:val="18"/>
          <w:szCs w:val="18"/>
          <w:color w:val="auto"/>
        </w:rPr>
      </w:pPr>
    </w:p>
    <w:p>
      <w:pPr>
        <w:ind w:left="1500" w:hanging="752"/>
        <w:spacing w:after="0"/>
        <w:tabs>
          <w:tab w:leader="none" w:pos="1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79"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5.6%</w:t>
      </w:r>
    </w:p>
    <w:p>
      <w:pPr>
        <w:spacing w:after="0" w:line="279" w:lineRule="exact"/>
        <w:rPr>
          <w:rFonts w:ascii="Arial" w:cs="Arial" w:eastAsia="Arial" w:hAnsi="Arial"/>
          <w:sz w:val="18"/>
          <w:szCs w:val="18"/>
          <w:color w:val="auto"/>
        </w:rPr>
      </w:pPr>
    </w:p>
    <w:p>
      <w:pPr>
        <w:ind w:left="1620" w:hanging="872"/>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79" w:lineRule="exact"/>
        <w:rPr>
          <w:rFonts w:ascii="Arial" w:cs="Arial" w:eastAsia="Arial" w:hAnsi="Arial"/>
          <w:sz w:val="18"/>
          <w:szCs w:val="18"/>
          <w:color w:val="auto"/>
        </w:rPr>
      </w:pPr>
    </w:p>
    <w:p>
      <w:pPr>
        <w:ind w:left="1720" w:right="3040" w:hanging="377"/>
        <w:spacing w:after="0" w:line="563" w:lineRule="auto"/>
        <w:tabs>
          <w:tab w:leader="none" w:pos="1828"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Sole power to vote or to direct the vote Franklin Resources, Inc.:</w:t>
      </w:r>
    </w:p>
    <w:p>
      <w:pPr>
        <w:spacing w:after="0" w:line="1" w:lineRule="exact"/>
        <w:rPr>
          <w:rFonts w:ascii="Arial" w:cs="Arial" w:eastAsia="Arial" w:hAnsi="Arial"/>
          <w:sz w:val="18"/>
          <w:szCs w:val="18"/>
          <w:color w:val="auto"/>
        </w:rPr>
      </w:pPr>
    </w:p>
    <w:p>
      <w:pPr>
        <w:ind w:left="1720" w:right="4260"/>
        <w:spacing w:after="0" w:line="676" w:lineRule="auto"/>
        <w:rPr>
          <w:rFonts w:ascii="Arial" w:cs="Arial" w:eastAsia="Arial" w:hAnsi="Arial"/>
          <w:sz w:val="18"/>
          <w:szCs w:val="18"/>
          <w:color w:val="auto"/>
        </w:rPr>
      </w:pPr>
      <w:r>
        <w:rPr>
          <w:rFonts w:ascii="Arial" w:cs="Arial" w:eastAsia="Arial" w:hAnsi="Arial"/>
          <w:sz w:val="15"/>
          <w:szCs w:val="15"/>
          <w:color w:val="auto"/>
        </w:rPr>
        <w:t>Charles B. Johnson: Rupert H. Johnson, Jr.:</w:t>
      </w:r>
    </w:p>
    <w:p>
      <w:pPr>
        <w:ind w:left="1720"/>
        <w:spacing w:after="0"/>
        <w:rPr>
          <w:rFonts w:ascii="Arial" w:cs="Arial" w:eastAsia="Arial" w:hAnsi="Arial"/>
          <w:sz w:val="18"/>
          <w:szCs w:val="18"/>
          <w:color w:val="auto"/>
        </w:rPr>
      </w:pPr>
      <w:r>
        <w:rPr>
          <w:rFonts w:ascii="Arial" w:cs="Arial" w:eastAsia="Arial" w:hAnsi="Arial"/>
          <w:sz w:val="18"/>
          <w:szCs w:val="18"/>
          <w:color w:val="auto"/>
        </w:rPr>
        <w:t>Franklin Advisory Services, LLC:</w:t>
      </w:r>
    </w:p>
    <w:p>
      <w:pPr>
        <w:spacing w:after="0" w:line="279" w:lineRule="exact"/>
        <w:rPr>
          <w:sz w:val="20"/>
          <w:szCs w:val="20"/>
          <w:color w:val="auto"/>
        </w:rPr>
      </w:pPr>
    </w:p>
    <w:p>
      <w:pPr>
        <w:ind w:left="1960" w:right="2740" w:hanging="604"/>
        <w:spacing w:after="0" w:line="563" w:lineRule="auto"/>
        <w:tabs>
          <w:tab w:leader="none" w:pos="19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 w:lineRule="exact"/>
        <w:rPr>
          <w:rFonts w:ascii="Arial" w:cs="Arial" w:eastAsia="Arial" w:hAnsi="Arial"/>
          <w:sz w:val="18"/>
          <w:szCs w:val="18"/>
          <w:color w:val="auto"/>
        </w:rPr>
      </w:pPr>
    </w:p>
    <w:p>
      <w:pPr>
        <w:ind w:left="1780" w:right="2040" w:hanging="532"/>
        <w:spacing w:after="0" w:line="563" w:lineRule="auto"/>
        <w:tabs>
          <w:tab w:leader="none" w:pos="1929"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Franklin Resources, Inc.:</w:t>
      </w:r>
    </w:p>
    <w:p>
      <w:pPr>
        <w:spacing w:after="0" w:line="1" w:lineRule="exact"/>
        <w:rPr>
          <w:rFonts w:ascii="Arial" w:cs="Arial" w:eastAsia="Arial" w:hAnsi="Arial"/>
          <w:sz w:val="18"/>
          <w:szCs w:val="18"/>
          <w:color w:val="auto"/>
        </w:rPr>
      </w:pPr>
    </w:p>
    <w:p>
      <w:pPr>
        <w:ind w:left="1780" w:right="4200"/>
        <w:spacing w:after="0" w:line="676" w:lineRule="auto"/>
        <w:rPr>
          <w:rFonts w:ascii="Arial" w:cs="Arial" w:eastAsia="Arial" w:hAnsi="Arial"/>
          <w:sz w:val="18"/>
          <w:szCs w:val="18"/>
          <w:color w:val="auto"/>
        </w:rPr>
      </w:pPr>
      <w:r>
        <w:rPr>
          <w:rFonts w:ascii="Arial" w:cs="Arial" w:eastAsia="Arial" w:hAnsi="Arial"/>
          <w:sz w:val="15"/>
          <w:szCs w:val="15"/>
          <w:color w:val="auto"/>
        </w:rPr>
        <w:t>Charles B. Johnson: Rupert H. Johnson, Jr.:</w:t>
      </w:r>
    </w:p>
    <w:p>
      <w:pPr>
        <w:ind w:left="1820"/>
        <w:spacing w:after="0"/>
        <w:rPr>
          <w:rFonts w:ascii="Arial" w:cs="Arial" w:eastAsia="Arial" w:hAnsi="Arial"/>
          <w:sz w:val="18"/>
          <w:szCs w:val="18"/>
          <w:color w:val="auto"/>
        </w:rPr>
      </w:pPr>
      <w:r>
        <w:rPr>
          <w:rFonts w:ascii="Arial" w:cs="Arial" w:eastAsia="Arial" w:hAnsi="Arial"/>
          <w:sz w:val="18"/>
          <w:szCs w:val="18"/>
          <w:color w:val="auto"/>
        </w:rPr>
        <w:t>Franklin Advisory Services, LLC:</w:t>
      </w:r>
    </w:p>
    <w:p>
      <w:pPr>
        <w:spacing w:after="0" w:line="279" w:lineRule="exact"/>
        <w:rPr>
          <w:rFonts w:ascii="Arial" w:cs="Arial" w:eastAsia="Arial" w:hAnsi="Arial"/>
          <w:sz w:val="18"/>
          <w:szCs w:val="18"/>
          <w:color w:val="auto"/>
        </w:rPr>
      </w:pPr>
    </w:p>
    <w:p>
      <w:pPr>
        <w:ind w:left="2300" w:right="1860" w:hanging="903"/>
        <w:spacing w:after="0" w:line="581" w:lineRule="auto"/>
        <w:tabs>
          <w:tab w:leader="none" w:pos="1935" w:val="left"/>
        </w:tabs>
        <w:numPr>
          <w:ilvl w:val="2"/>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147320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Page 8 of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0</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0</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0</w:t>
      </w:r>
    </w:p>
    <w:p>
      <w:pPr>
        <w:spacing w:after="0" w:line="27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1,545,150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0</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0</w:t>
      </w:r>
    </w:p>
    <w:p>
      <w:pPr>
        <w:spacing w:after="0" w:line="27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0</w:t>
      </w:r>
    </w:p>
    <w:p>
      <w:pPr>
        <w:spacing w:after="0" w:line="27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1,619,150</w:t>
      </w:r>
    </w:p>
    <w:p>
      <w:pPr>
        <w:sectPr>
          <w:pgSz w:w="11900" w:h="16838" w:orient="portrait"/>
          <w:cols w:equalWidth="0" w:num="2">
            <w:col w:w="7600" w:space="720"/>
            <w:col w:w="1559"/>
          </w:cols>
          <w:pgMar w:left="580" w:top="131" w:right="1440" w:bottom="798"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CUSIP NO.   974637100</w:t>
            </w:r>
          </w:p>
        </w:tc>
        <w:tc>
          <w:tcPr>
            <w:tcW w:w="1820" w:type="dxa"/>
            <w:vAlign w:val="bottom"/>
          </w:tcPr>
          <w:p>
            <w:pPr>
              <w:ind w:left="1520"/>
              <w:spacing w:after="0"/>
              <w:rPr>
                <w:sz w:val="20"/>
                <w:szCs w:val="20"/>
                <w:color w:val="auto"/>
              </w:rPr>
            </w:pPr>
            <w:r>
              <w:rPr>
                <w:rFonts w:ascii="Arial" w:cs="Arial" w:eastAsia="Arial" w:hAnsi="Arial"/>
                <w:sz w:val="18"/>
                <w:szCs w:val="18"/>
                <w:color w:val="auto"/>
                <w:w w:val="82"/>
              </w:rPr>
              <w:t>13G</w:t>
            </w:r>
          </w:p>
        </w:tc>
      </w:tr>
    </w:tbl>
    <w:p>
      <w:pPr>
        <w:spacing w:after="0" w:line="264"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27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If this statement is being filed to report the fact that as of the date</w:t>
      </w:r>
    </w:p>
    <w:p>
      <w:pPr>
        <w:spacing w:after="0" w:line="36" w:lineRule="exact"/>
        <w:rPr>
          <w:sz w:val="20"/>
          <w:szCs w:val="20"/>
          <w:color w:val="auto"/>
        </w:rPr>
      </w:pPr>
    </w:p>
    <w:p>
      <w:pPr>
        <w:ind w:left="1180" w:right="1260"/>
        <w:spacing w:after="0" w:line="367" w:lineRule="auto"/>
        <w:rPr>
          <w:sz w:val="20"/>
          <w:szCs w:val="20"/>
          <w:color w:val="auto"/>
        </w:rPr>
      </w:pPr>
      <w:r>
        <w:rPr>
          <w:rFonts w:ascii="Arial" w:cs="Arial" w:eastAsia="Arial" w:hAnsi="Arial"/>
          <w:sz w:val="16"/>
          <w:szCs w:val="16"/>
          <w:color w:val="auto"/>
        </w:rPr>
        <w:t>hereof the reporting person has ceased to be the beneficial owner of more than five percent of the class of securities, check the following o.</w:t>
      </w:r>
    </w:p>
    <w:p>
      <w:pPr>
        <w:spacing w:after="0" w:line="16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79" w:lineRule="exact"/>
        <w:rPr>
          <w:sz w:val="20"/>
          <w:szCs w:val="20"/>
          <w:color w:val="auto"/>
        </w:rPr>
      </w:pPr>
    </w:p>
    <w:p>
      <w:pPr>
        <w:ind w:left="1180" w:right="940"/>
        <w:spacing w:after="0" w:line="333" w:lineRule="auto"/>
        <w:rPr>
          <w:sz w:val="20"/>
          <w:szCs w:val="20"/>
          <w:color w:val="auto"/>
        </w:rPr>
      </w:pPr>
      <w:r>
        <w:rPr>
          <w:rFonts w:ascii="Arial" w:cs="Arial" w:eastAsia="Arial" w:hAnsi="Arial"/>
          <w:sz w:val="16"/>
          <w:szCs w:val="16"/>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w:t>
      </w:r>
    </w:p>
    <w:p>
      <w:pPr>
        <w:spacing w:after="0" w:line="200" w:lineRule="exact"/>
        <w:rPr>
          <w:sz w:val="20"/>
          <w:szCs w:val="20"/>
          <w:color w:val="auto"/>
        </w:rPr>
      </w:pPr>
    </w:p>
    <w:p>
      <w:pPr>
        <w:spacing w:after="0" w:line="237" w:lineRule="exact"/>
        <w:rPr>
          <w:sz w:val="20"/>
          <w:szCs w:val="20"/>
          <w:color w:val="auto"/>
        </w:rPr>
      </w:pPr>
    </w:p>
    <w:p>
      <w:pPr>
        <w:ind w:left="1180" w:right="1460" w:hanging="971"/>
        <w:spacing w:after="0" w:line="367" w:lineRule="auto"/>
        <w:tabs>
          <w:tab w:leader="none" w:pos="11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16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See Attached Exhibit C</w:t>
      </w:r>
    </w:p>
    <w:p>
      <w:pPr>
        <w:spacing w:after="0" w:line="279"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7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7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343535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9 of 14</w:t>
      </w:r>
    </w:p>
    <w:p>
      <w:pPr>
        <w:sectPr>
          <w:pgSz w:w="11900" w:h="16838" w:orient="portrait"/>
          <w:cols w:equalWidth="0" w:num="2">
            <w:col w:w="7600" w:space="720"/>
            <w:col w:w="1559"/>
          </w:cols>
          <w:pgMar w:left="580" w:top="131"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CUSIP NO.   974637100</w:t>
            </w:r>
          </w:p>
        </w:tc>
        <w:tc>
          <w:tcPr>
            <w:tcW w:w="1820" w:type="dxa"/>
            <w:vAlign w:val="bottom"/>
          </w:tcPr>
          <w:p>
            <w:pPr>
              <w:ind w:left="1520"/>
              <w:spacing w:after="0"/>
              <w:rPr>
                <w:sz w:val="20"/>
                <w:szCs w:val="20"/>
                <w:color w:val="auto"/>
              </w:rPr>
            </w:pPr>
            <w:r>
              <w:rPr>
                <w:rFonts w:ascii="Arial" w:cs="Arial" w:eastAsia="Arial" w:hAnsi="Arial"/>
                <w:sz w:val="18"/>
                <w:szCs w:val="18"/>
                <w:color w:val="auto"/>
                <w:w w:val="82"/>
              </w:rPr>
              <w:t>13G</w:t>
            </w:r>
          </w:p>
        </w:tc>
      </w:tr>
    </w:tbl>
    <w:p>
      <w:pPr>
        <w:spacing w:after="0" w:line="264"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36" w:lineRule="exact"/>
        <w:rPr>
          <w:sz w:val="20"/>
          <w:szCs w:val="20"/>
          <w:color w:val="auto"/>
        </w:rPr>
      </w:pPr>
    </w:p>
    <w:p>
      <w:pPr>
        <w:ind w:left="220" w:right="1480"/>
        <w:spacing w:after="0" w:line="327"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Exhibits</w:t>
      </w:r>
    </w:p>
    <w:p>
      <w:pPr>
        <w:spacing w:after="0" w:line="3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Exhibit A Joint Filing Agreement</w:t>
      </w:r>
    </w:p>
    <w:p>
      <w:pPr>
        <w:spacing w:after="0" w:line="36" w:lineRule="exact"/>
        <w:rPr>
          <w:sz w:val="20"/>
          <w:szCs w:val="20"/>
          <w:color w:val="auto"/>
        </w:rPr>
      </w:pPr>
    </w:p>
    <w:p>
      <w:pPr>
        <w:ind w:left="1180" w:right="1080"/>
        <w:spacing w:after="0" w:line="367" w:lineRule="auto"/>
        <w:rPr>
          <w:sz w:val="20"/>
          <w:szCs w:val="20"/>
          <w:color w:val="auto"/>
        </w:rPr>
      </w:pPr>
      <w:r>
        <w:rPr>
          <w:rFonts w:ascii="Arial" w:cs="Arial" w:eastAsia="Arial" w:hAnsi="Arial"/>
          <w:sz w:val="16"/>
          <w:szCs w:val="16"/>
          <w:color w:val="auto"/>
        </w:rPr>
        <w:t>Exhibit B Limited Powers of Attorney for Section 13 Reporting Obligations Exhibit C Item 7 Identification and Classification of Subsidiaries</w:t>
      </w:r>
    </w:p>
    <w:p>
      <w:pPr>
        <w:spacing w:after="0" w:line="16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left="200" w:right="1640"/>
        <w:spacing w:after="0" w:line="367" w:lineRule="auto"/>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67"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1, 2010</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Franklin Resources, Inc.</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Charles B. Johnson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0"/>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/s/ROBERT C.ROSSELOT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Robert C. Rosselot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Assistant Secretary of Franklin Resources, Inc.</w:t>
      </w:r>
    </w:p>
    <w:p>
      <w:pPr>
        <w:spacing w:after="0" w:line="279" w:lineRule="exact"/>
        <w:rPr>
          <w:sz w:val="20"/>
          <w:szCs w:val="20"/>
          <w:color w:val="auto"/>
        </w:rPr>
      </w:pPr>
    </w:p>
    <w:p>
      <w:pPr>
        <w:ind w:left="1000" w:right="1600" w:hanging="26"/>
        <w:spacing w:after="0" w:line="299" w:lineRule="auto"/>
        <w:rPr>
          <w:sz w:val="20"/>
          <w:szCs w:val="20"/>
          <w:color w:val="auto"/>
        </w:rPr>
      </w:pPr>
      <w:r>
        <w:rPr>
          <w:rFonts w:ascii="Arial" w:cs="Arial" w:eastAsia="Arial" w:hAnsi="Arial"/>
          <w:sz w:val="18"/>
          <w:szCs w:val="18"/>
          <w:color w:val="auto"/>
        </w:rPr>
        <w:t>Attorney-in-Fact for Charles B. Johnson pursuant to Power of Attorney attached to this Schedule 13G</w:t>
      </w:r>
    </w:p>
    <w:p>
      <w:pPr>
        <w:spacing w:after="0" w:line="214" w:lineRule="exact"/>
        <w:rPr>
          <w:sz w:val="20"/>
          <w:szCs w:val="20"/>
          <w:color w:val="auto"/>
        </w:rPr>
      </w:pPr>
    </w:p>
    <w:p>
      <w:pPr>
        <w:ind w:left="1000" w:right="1380"/>
        <w:spacing w:after="0" w:line="299" w:lineRule="auto"/>
        <w:rPr>
          <w:sz w:val="20"/>
          <w:szCs w:val="20"/>
          <w:color w:val="auto"/>
        </w:rPr>
      </w:pPr>
      <w:r>
        <w:rPr>
          <w:rFonts w:ascii="Arial" w:cs="Arial" w:eastAsia="Arial" w:hAnsi="Arial"/>
          <w:sz w:val="18"/>
          <w:szCs w:val="18"/>
          <w:color w:val="auto"/>
        </w:rPr>
        <w:t>Attorney-in-Fact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Franklin Advisory Services, LLC</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none" w:pos="1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/s/STEVEN J. GRAY</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Steven J. Gray</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652145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10 of 14</w:t>
      </w:r>
    </w:p>
    <w:p>
      <w:pPr>
        <w:sectPr>
          <w:pgSz w:w="11900" w:h="16838" w:orient="portrait"/>
          <w:cols w:equalWidth="0" w:num="2">
            <w:col w:w="7600" w:space="720"/>
            <w:col w:w="1559"/>
          </w:cols>
          <w:pgMar w:left="580" w:top="131"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CUSIP NO.   974637100</w:t>
            </w:r>
          </w:p>
        </w:tc>
        <w:tc>
          <w:tcPr>
            <w:tcW w:w="1820" w:type="dxa"/>
            <w:vAlign w:val="bottom"/>
          </w:tcPr>
          <w:p>
            <w:pPr>
              <w:ind w:left="1520"/>
              <w:spacing w:after="0"/>
              <w:rPr>
                <w:sz w:val="20"/>
                <w:szCs w:val="20"/>
                <w:color w:val="auto"/>
              </w:rPr>
            </w:pPr>
            <w:r>
              <w:rPr>
                <w:rFonts w:ascii="Arial" w:cs="Arial" w:eastAsia="Arial" w:hAnsi="Arial"/>
                <w:sz w:val="18"/>
                <w:szCs w:val="18"/>
                <w:color w:val="auto"/>
                <w:w w:val="82"/>
              </w:rPr>
              <w:t>13G</w:t>
            </w:r>
          </w:p>
        </w:tc>
      </w:tr>
    </w:tbl>
    <w:p>
      <w:pPr>
        <w:spacing w:after="0" w:line="2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 A</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JOINT FILING AGREEMENT</w:t>
      </w:r>
    </w:p>
    <w:p>
      <w:pPr>
        <w:spacing w:after="0" w:line="279" w:lineRule="exact"/>
        <w:rPr>
          <w:sz w:val="20"/>
          <w:szCs w:val="20"/>
          <w:color w:val="auto"/>
        </w:rPr>
      </w:pPr>
    </w:p>
    <w:p>
      <w:pPr>
        <w:ind w:left="200" w:right="1340"/>
        <w:spacing w:after="0" w:line="281" w:lineRule="auto"/>
        <w:rPr>
          <w:sz w:val="20"/>
          <w:szCs w:val="20"/>
          <w:color w:val="auto"/>
        </w:rPr>
      </w:pPr>
      <w:r>
        <w:rPr>
          <w:rFonts w:ascii="Arial" w:cs="Arial" w:eastAsia="Arial" w:hAnsi="Arial"/>
          <w:sz w:val="18"/>
          <w:szCs w:val="18"/>
          <w:color w:val="auto"/>
        </w:rPr>
        <w:t>In accordance with Rule 13d-1(k)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4" w:lineRule="exact"/>
        <w:rPr>
          <w:sz w:val="20"/>
          <w:szCs w:val="20"/>
          <w:color w:val="auto"/>
        </w:rPr>
      </w:pPr>
    </w:p>
    <w:p>
      <w:pPr>
        <w:ind w:left="200" w:right="1980"/>
        <w:spacing w:after="0" w:line="299" w:lineRule="auto"/>
        <w:rPr>
          <w:sz w:val="20"/>
          <w:szCs w:val="20"/>
          <w:color w:val="auto"/>
        </w:rPr>
      </w:pPr>
      <w:r>
        <w:rPr>
          <w:rFonts w:ascii="Arial" w:cs="Arial" w:eastAsia="Arial" w:hAnsi="Arial"/>
          <w:sz w:val="18"/>
          <w:szCs w:val="18"/>
          <w:color w:val="auto"/>
        </w:rPr>
        <w:t>IN WITNESS WHEREOF, the undersigned have executed this agreement on February 1, 2010.</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Franklin Resources, Inc.</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Charles B. Johnson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0"/>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/s/ROBERT C.ROSSELOT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Robert C. Rosselot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Assistant Secretary of Franklin Resources, Inc.</w:t>
      </w:r>
    </w:p>
    <w:p>
      <w:pPr>
        <w:spacing w:after="0" w:line="279" w:lineRule="exact"/>
        <w:rPr>
          <w:sz w:val="20"/>
          <w:szCs w:val="20"/>
          <w:color w:val="auto"/>
        </w:rPr>
      </w:pPr>
    </w:p>
    <w:p>
      <w:pPr>
        <w:ind w:left="1000" w:right="1580"/>
        <w:spacing w:after="0" w:line="299" w:lineRule="auto"/>
        <w:rPr>
          <w:sz w:val="20"/>
          <w:szCs w:val="20"/>
          <w:color w:val="auto"/>
        </w:rPr>
      </w:pPr>
      <w:r>
        <w:rPr>
          <w:rFonts w:ascii="Arial" w:cs="Arial" w:eastAsia="Arial" w:hAnsi="Arial"/>
          <w:sz w:val="18"/>
          <w:szCs w:val="18"/>
          <w:color w:val="auto"/>
        </w:rPr>
        <w:t>Attorney-in-Fact for Charles B. Johnson pursuant to Power of Attorney attached to this Schedule 13G</w:t>
      </w:r>
    </w:p>
    <w:p>
      <w:pPr>
        <w:spacing w:after="0" w:line="214" w:lineRule="exact"/>
        <w:rPr>
          <w:sz w:val="20"/>
          <w:szCs w:val="20"/>
          <w:color w:val="auto"/>
        </w:rPr>
      </w:pPr>
    </w:p>
    <w:p>
      <w:pPr>
        <w:ind w:left="1000" w:right="1380"/>
        <w:spacing w:after="0" w:line="299" w:lineRule="auto"/>
        <w:rPr>
          <w:sz w:val="20"/>
          <w:szCs w:val="20"/>
          <w:color w:val="auto"/>
        </w:rPr>
      </w:pPr>
      <w:r>
        <w:rPr>
          <w:rFonts w:ascii="Arial" w:cs="Arial" w:eastAsia="Arial" w:hAnsi="Arial"/>
          <w:sz w:val="18"/>
          <w:szCs w:val="18"/>
          <w:color w:val="auto"/>
        </w:rPr>
        <w:t>Attorney-in-Fact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Franklin Advisory Services, LLC</w:t>
      </w:r>
    </w:p>
    <w:p>
      <w:pPr>
        <w:spacing w:after="0" w:line="200" w:lineRule="exact"/>
        <w:rPr>
          <w:sz w:val="20"/>
          <w:szCs w:val="20"/>
          <w:color w:val="auto"/>
        </w:rPr>
      </w:pPr>
    </w:p>
    <w:p>
      <w:pPr>
        <w:spacing w:after="0" w:line="295" w:lineRule="exact"/>
        <w:rPr>
          <w:sz w:val="20"/>
          <w:szCs w:val="20"/>
          <w:color w:val="auto"/>
        </w:rPr>
      </w:pPr>
    </w:p>
    <w:p>
      <w:pPr>
        <w:ind w:left="240"/>
        <w:spacing w:after="0"/>
        <w:tabs>
          <w:tab w:leader="none" w:pos="1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/s/STEVEN J. GRAY</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Steven J. Gray</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343535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11 of 14</w:t>
      </w:r>
    </w:p>
    <w:p>
      <w:pPr>
        <w:sectPr>
          <w:pgSz w:w="11900" w:h="16838" w:orient="portrait"/>
          <w:cols w:equalWidth="0" w:num="2">
            <w:col w:w="7600" w:space="720"/>
            <w:col w:w="1559"/>
          </w:cols>
          <w:pgMar w:left="580" w:top="131" w:right="1440" w:bottom="1440" w:gutter="0" w:footer="0" w:header="0"/>
        </w:sectPr>
      </w:pPr>
    </w:p>
    <w:bookmarkStart w:id="11" w:name="page12"/>
    <w:bookmarkEnd w:id="11"/>
    <w:p>
      <w:pPr>
        <w:spacing w:after="0"/>
        <w:tabs>
          <w:tab w:leader="none" w:pos="1060" w:val="left"/>
          <w:tab w:leader="none" w:pos="4900" w:val="left"/>
          <w:tab w:leader="none" w:pos="8300" w:val="left"/>
        </w:tabs>
        <w:rPr>
          <w:sz w:val="20"/>
          <w:szCs w:val="20"/>
          <w:color w:val="auto"/>
        </w:rPr>
      </w:pPr>
      <w:r>
        <w:rPr>
          <w:rFonts w:ascii="Arial" w:cs="Arial" w:eastAsia="Arial" w:hAnsi="Arial"/>
          <w:sz w:val="18"/>
          <w:szCs w:val="18"/>
          <w:color w:val="auto"/>
        </w:rPr>
        <w:t>CUSIP NO.</w:t>
        <w:tab/>
        <w:t>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12 of 14</w:t>
      </w:r>
    </w:p>
    <w:p>
      <w:pPr>
        <w:sectPr>
          <w:pgSz w:w="11900" w:h="16838" w:orient="portrait"/>
          <w:cols w:equalWidth="0" w:num="1">
            <w:col w:w="9879"/>
          </w:cols>
          <w:pgMar w:left="580" w:top="131" w:right="1440" w:bottom="863" w:gutter="0" w:footer="0" w:header="0"/>
        </w:sect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 B</w:t>
      </w:r>
    </w:p>
    <w:p>
      <w:pPr>
        <w:spacing w:after="0" w:line="27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LIMITED POWER OF ATTORNEY</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FOR</w:t>
      </w:r>
    </w:p>
    <w:p>
      <w:pPr>
        <w:spacing w:after="0" w:line="36" w:lineRule="exact"/>
        <w:rPr>
          <w:sz w:val="20"/>
          <w:szCs w:val="20"/>
          <w:color w:val="auto"/>
        </w:rPr>
      </w:pPr>
    </w:p>
    <w:p>
      <w:pPr>
        <w:ind w:left="3080"/>
        <w:spacing w:after="0"/>
        <w:rPr>
          <w:sz w:val="20"/>
          <w:szCs w:val="20"/>
          <w:color w:val="auto"/>
        </w:rPr>
      </w:pPr>
      <w:r>
        <w:rPr>
          <w:rFonts w:ascii="Arial" w:cs="Arial" w:eastAsia="Arial" w:hAnsi="Arial"/>
          <w:sz w:val="18"/>
          <w:szCs w:val="18"/>
          <w:u w:val="single" w:color="auto"/>
          <w:color w:val="auto"/>
        </w:rPr>
        <w:t>SECTION 13 REPORTING OBLIGATIONS</w:t>
      </w:r>
    </w:p>
    <w:p>
      <w:pPr>
        <w:spacing w:after="0" w:line="279" w:lineRule="exact"/>
        <w:rPr>
          <w:sz w:val="20"/>
          <w:szCs w:val="20"/>
          <w:color w:val="auto"/>
        </w:rPr>
      </w:pPr>
    </w:p>
    <w:p>
      <w:pPr>
        <w:ind w:left="200" w:right="3559" w:firstLine="864"/>
        <w:spacing w:after="0" w:line="286" w:lineRule="auto"/>
        <w:rPr>
          <w:sz w:val="20"/>
          <w:szCs w:val="20"/>
          <w:color w:val="auto"/>
        </w:rPr>
      </w:pPr>
      <w:r>
        <w:rPr>
          <w:rFonts w:ascii="Arial" w:cs="Arial" w:eastAsia="Arial" w:hAnsi="Arial"/>
          <w:sz w:val="18"/>
          <w:szCs w:val="18"/>
          <w:color w:val="auto"/>
        </w:rPr>
        <w:t>Know all by these presents, that the undersigned hereby makes, constitutes and appoints each of Robert Rosselot and Maria Gray, each acting individually, as the undersigned’s true and lawful attorney-in-fact, with full power and authority as hereinafter described on behalf of and in the name, place and stead of the undersigned to:</w:t>
      </w:r>
    </w:p>
    <w:p>
      <w:pPr>
        <w:spacing w:after="0" w:line="225" w:lineRule="exact"/>
        <w:rPr>
          <w:sz w:val="20"/>
          <w:szCs w:val="20"/>
          <w:color w:val="auto"/>
        </w:rPr>
      </w:pPr>
    </w:p>
    <w:p>
      <w:pPr>
        <w:ind w:left="200" w:right="3639" w:firstLine="8"/>
        <w:spacing w:after="0" w:line="325" w:lineRule="auto"/>
        <w:tabs>
          <w:tab w:leader="none" w:pos="10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00" w:lineRule="exact"/>
        <w:rPr>
          <w:rFonts w:ascii="Arial" w:cs="Arial" w:eastAsia="Arial" w:hAnsi="Arial"/>
          <w:sz w:val="16"/>
          <w:szCs w:val="16"/>
          <w:color w:val="auto"/>
        </w:rPr>
      </w:pPr>
    </w:p>
    <w:p>
      <w:pPr>
        <w:ind w:left="1080" w:hanging="87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 any and all other acts which in the discretion of such</w:t>
      </w:r>
    </w:p>
    <w:p>
      <w:pPr>
        <w:spacing w:after="0" w:line="36" w:lineRule="exact"/>
        <w:rPr>
          <w:sz w:val="20"/>
          <w:szCs w:val="20"/>
          <w:color w:val="auto"/>
        </w:rPr>
      </w:pPr>
    </w:p>
    <w:p>
      <w:pPr>
        <w:ind w:left="200" w:right="3939"/>
        <w:spacing w:after="0" w:line="299" w:lineRule="auto"/>
        <w:rPr>
          <w:sz w:val="20"/>
          <w:szCs w:val="20"/>
          <w:color w:val="auto"/>
        </w:rPr>
      </w:pPr>
      <w:r>
        <w:rPr>
          <w:rFonts w:ascii="Arial" w:cs="Arial" w:eastAsia="Arial" w:hAnsi="Arial"/>
          <w:sz w:val="18"/>
          <w:szCs w:val="18"/>
          <w:color w:val="auto"/>
        </w:rPr>
        <w:t>attorney-in-fact are necessary or desirable for and on behalf of the undersigned in connection with the foregoing.</w:t>
      </w: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undersigned acknowledges that:</w:t>
      </w:r>
    </w:p>
    <w:p>
      <w:pPr>
        <w:spacing w:after="0" w:line="279" w:lineRule="exact"/>
        <w:rPr>
          <w:sz w:val="20"/>
          <w:szCs w:val="20"/>
          <w:color w:val="auto"/>
        </w:rPr>
      </w:pPr>
    </w:p>
    <w:p>
      <w:pPr>
        <w:ind w:left="200" w:right="3799" w:firstLine="8"/>
        <w:spacing w:after="0" w:line="317" w:lineRule="auto"/>
        <w:tabs>
          <w:tab w:leader="none" w:pos="8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Limited Power of Attorney authorizes, but does not require, each such attorney-in-fact to act in their discretion on information provided to such attorney-in-fact without independent verification of such information;</w:t>
      </w:r>
    </w:p>
    <w:p>
      <w:pPr>
        <w:jc w:val="both"/>
        <w:ind w:left="200" w:right="3739" w:firstLine="8"/>
        <w:spacing w:after="0" w:line="317" w:lineRule="auto"/>
        <w:tabs>
          <w:tab w:leader="none" w:pos="8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documents prepared and/or executed by either such attorney-in-fact on behalf of the undersigned pursuant to this Limited Power of Attorney will be in such form and will contain such information and disclosure as such attorney-in-fact, in his or her discretion, deems necessary or desirable;</w:t>
      </w:r>
    </w:p>
    <w:p>
      <w:pPr>
        <w:jc w:val="both"/>
        <w:ind w:left="200" w:right="3739" w:firstLine="8"/>
        <w:spacing w:after="0" w:line="281" w:lineRule="auto"/>
        <w:tabs>
          <w:tab w:leader="none" w:pos="8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the Reporting Entity nor either of such attorneys-in-fact assumes (i) any liability for the undersigned’s responsibility to comply with the requirements of the Exchange Act or (ii) any liability of the undersigned for any failure to comply with such requirements; and</w:t>
      </w:r>
    </w:p>
    <w:p>
      <w:pPr>
        <w:spacing w:after="0" w:line="3" w:lineRule="exact"/>
        <w:rPr>
          <w:rFonts w:ascii="Arial" w:cs="Arial" w:eastAsia="Arial" w:hAnsi="Arial"/>
          <w:sz w:val="18"/>
          <w:szCs w:val="18"/>
          <w:color w:val="auto"/>
        </w:rPr>
      </w:pPr>
    </w:p>
    <w:p>
      <w:pPr>
        <w:ind w:left="200" w:right="3719" w:firstLine="8"/>
        <w:spacing w:after="0" w:line="281" w:lineRule="auto"/>
        <w:tabs>
          <w:tab w:leader="none" w:pos="8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3" w:lineRule="exact"/>
        <w:rPr>
          <w:rFonts w:ascii="Arial" w:cs="Arial" w:eastAsia="Arial" w:hAnsi="Arial"/>
          <w:sz w:val="18"/>
          <w:szCs w:val="18"/>
          <w:color w:val="auto"/>
        </w:rPr>
      </w:pPr>
    </w:p>
    <w:p>
      <w:pPr>
        <w:ind w:left="200" w:right="3699" w:firstLine="324"/>
        <w:spacing w:after="0" w:line="284" w:lineRule="auto"/>
        <w:rPr>
          <w:rFonts w:ascii="Arial" w:cs="Arial" w:eastAsia="Arial" w:hAnsi="Arial"/>
          <w:sz w:val="18"/>
          <w:szCs w:val="18"/>
          <w:color w:val="auto"/>
        </w:rPr>
      </w:pPr>
      <w:r>
        <w:rPr>
          <w:rFonts w:ascii="Arial" w:cs="Arial" w:eastAsia="Arial" w:hAnsi="Arial"/>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w:t>
      </w:r>
    </w:p>
    <w:p>
      <w:pPr>
        <w:spacing w:after="0" w:line="230" w:lineRule="exact"/>
        <w:rPr>
          <w:sz w:val="20"/>
          <w:szCs w:val="20"/>
          <w:color w:val="auto"/>
        </w:rPr>
      </w:pPr>
    </w:p>
    <w:p>
      <w:pPr>
        <w:ind w:left="200" w:right="3599" w:firstLine="324"/>
        <w:spacing w:after="0" w:line="367" w:lineRule="auto"/>
        <w:rPr>
          <w:sz w:val="20"/>
          <w:szCs w:val="20"/>
          <w:color w:val="auto"/>
        </w:rPr>
      </w:pPr>
      <w:r>
        <w:rPr>
          <w:rFonts w:ascii="Arial" w:cs="Arial" w:eastAsia="Arial" w:hAnsi="Arial"/>
          <w:sz w:val="16"/>
          <w:szCs w:val="16"/>
          <w:color w:val="auto"/>
        </w:rPr>
        <w:t>This Limited Power of Attorney shall remain in full force and effect until revoked by the undersigned in a signed writing delivered to each such attorney-in-fact.</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6720" w:type="dxa"/>
            <w:vAlign w:val="bottom"/>
            <w:gridSpan w:val="4"/>
          </w:tcPr>
          <w:p>
            <w:pPr>
              <w:spacing w:after="0"/>
              <w:rPr>
                <w:sz w:val="20"/>
                <w:szCs w:val="20"/>
                <w:color w:val="auto"/>
              </w:rPr>
            </w:pPr>
            <w:r>
              <w:rPr>
                <w:rFonts w:ascii="Arial" w:cs="Arial" w:eastAsia="Arial" w:hAnsi="Arial"/>
                <w:sz w:val="18"/>
                <w:szCs w:val="18"/>
                <w:color w:val="auto"/>
                <w:w w:val="92"/>
              </w:rPr>
              <w:t>IN WITNESS WHEREOF, the undersigned has caused this Limited Power of Attorney to be</w:t>
            </w:r>
          </w:p>
        </w:tc>
        <w:tc>
          <w:tcPr>
            <w:tcW w:w="640" w:type="dxa"/>
            <w:vAlign w:val="bottom"/>
          </w:tcPr>
          <w:p>
            <w:pPr>
              <w:spacing w:after="0"/>
              <w:rPr>
                <w:sz w:val="19"/>
                <w:szCs w:val="19"/>
                <w:color w:val="auto"/>
              </w:rPr>
            </w:pPr>
          </w:p>
        </w:tc>
      </w:tr>
      <w:tr>
        <w:trPr>
          <w:trHeight w:val="243"/>
        </w:trPr>
        <w:tc>
          <w:tcPr>
            <w:tcW w:w="2000" w:type="dxa"/>
            <w:vAlign w:val="bottom"/>
          </w:tcPr>
          <w:p>
            <w:pPr>
              <w:spacing w:after="0"/>
              <w:rPr>
                <w:sz w:val="20"/>
                <w:szCs w:val="20"/>
                <w:color w:val="auto"/>
              </w:rPr>
            </w:pPr>
            <w:r>
              <w:rPr>
                <w:rFonts w:ascii="Arial" w:cs="Arial" w:eastAsia="Arial" w:hAnsi="Arial"/>
                <w:sz w:val="18"/>
                <w:szCs w:val="18"/>
                <w:color w:val="auto"/>
              </w:rPr>
              <w:t>executed as of this</w:t>
            </w:r>
          </w:p>
        </w:tc>
        <w:tc>
          <w:tcPr>
            <w:tcW w:w="1400" w:type="dxa"/>
            <w:vAlign w:val="bottom"/>
          </w:tcPr>
          <w:p>
            <w:pPr>
              <w:ind w:left="700"/>
              <w:spacing w:after="0"/>
              <w:rPr>
                <w:sz w:val="20"/>
                <w:szCs w:val="20"/>
                <w:color w:val="auto"/>
              </w:rPr>
            </w:pPr>
            <w:r>
              <w:rPr>
                <w:rFonts w:ascii="Arial" w:cs="Arial" w:eastAsia="Arial" w:hAnsi="Arial"/>
                <w:sz w:val="18"/>
                <w:szCs w:val="18"/>
                <w:u w:val="single" w:color="auto"/>
                <w:color w:val="auto"/>
              </w:rPr>
              <w:t>30th</w:t>
            </w:r>
          </w:p>
        </w:tc>
        <w:tc>
          <w:tcPr>
            <w:tcW w:w="1480" w:type="dxa"/>
            <w:vAlign w:val="bottom"/>
          </w:tcPr>
          <w:p>
            <w:pPr>
              <w:ind w:left="380"/>
              <w:spacing w:after="0"/>
              <w:rPr>
                <w:sz w:val="20"/>
                <w:szCs w:val="20"/>
                <w:color w:val="auto"/>
              </w:rPr>
            </w:pPr>
            <w:r>
              <w:rPr>
                <w:rFonts w:ascii="Arial" w:cs="Arial" w:eastAsia="Arial" w:hAnsi="Arial"/>
                <w:sz w:val="18"/>
                <w:szCs w:val="18"/>
                <w:color w:val="auto"/>
              </w:rPr>
              <w:t>day of</w:t>
            </w:r>
          </w:p>
        </w:tc>
        <w:tc>
          <w:tcPr>
            <w:tcW w:w="1840" w:type="dxa"/>
            <w:vAlign w:val="bottom"/>
          </w:tcPr>
          <w:p>
            <w:pPr>
              <w:ind w:left="640"/>
              <w:spacing w:after="0"/>
              <w:rPr>
                <w:sz w:val="20"/>
                <w:szCs w:val="20"/>
                <w:color w:val="auto"/>
              </w:rPr>
            </w:pPr>
            <w:r>
              <w:rPr>
                <w:rFonts w:ascii="Arial" w:cs="Arial" w:eastAsia="Arial" w:hAnsi="Arial"/>
                <w:sz w:val="18"/>
                <w:szCs w:val="18"/>
                <w:u w:val="single" w:color="auto"/>
                <w:color w:val="auto"/>
              </w:rPr>
              <w:t>April</w:t>
            </w:r>
          </w:p>
        </w:tc>
        <w:tc>
          <w:tcPr>
            <w:tcW w:w="640" w:type="dxa"/>
            <w:vAlign w:val="bottom"/>
          </w:tcPr>
          <w:p>
            <w:pPr>
              <w:jc w:val="right"/>
              <w:spacing w:after="0"/>
              <w:rPr>
                <w:sz w:val="20"/>
                <w:szCs w:val="20"/>
                <w:color w:val="auto"/>
              </w:rPr>
            </w:pPr>
            <w:r>
              <w:rPr>
                <w:rFonts w:ascii="Arial" w:cs="Arial" w:eastAsia="Arial" w:hAnsi="Arial"/>
                <w:sz w:val="18"/>
                <w:szCs w:val="18"/>
                <w:color w:val="auto"/>
              </w:rPr>
              <w:t>, 2007</w:t>
            </w:r>
          </w:p>
        </w:tc>
      </w:tr>
    </w:tbl>
    <w:p>
      <w:pPr>
        <w:spacing w:after="0" w:line="264" w:lineRule="exact"/>
        <w:rPr>
          <w:sz w:val="20"/>
          <w:szCs w:val="20"/>
          <w:color w:val="auto"/>
        </w:rPr>
      </w:pPr>
    </w:p>
    <w:p>
      <w:pPr>
        <w:ind w:left="6480"/>
        <w:spacing w:after="0"/>
        <w:rPr>
          <w:sz w:val="20"/>
          <w:szCs w:val="20"/>
          <w:color w:val="auto"/>
        </w:rPr>
      </w:pPr>
      <w:r>
        <w:rPr>
          <w:rFonts w:ascii="Arial" w:cs="Arial" w:eastAsia="Arial" w:hAnsi="Arial"/>
          <w:sz w:val="15"/>
          <w:szCs w:val="15"/>
          <w:u w:val="single" w:color="auto"/>
          <w:color w:val="auto"/>
        </w:rPr>
        <w:t>/s/Charles B. Johnson</w:t>
      </w:r>
    </w:p>
    <w:p>
      <w:pPr>
        <w:spacing w:after="0" w:line="7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left="6480"/>
        <w:spacing w:after="0"/>
        <w:rPr>
          <w:sz w:val="20"/>
          <w:szCs w:val="20"/>
          <w:color w:val="auto"/>
        </w:rPr>
      </w:pPr>
      <w:r>
        <w:rPr>
          <w:rFonts w:ascii="Arial" w:cs="Arial" w:eastAsia="Arial" w:hAnsi="Arial"/>
          <w:sz w:val="16"/>
          <w:szCs w:val="16"/>
          <w:u w:val="single" w:color="auto"/>
          <w:color w:val="auto"/>
        </w:rPr>
        <w:t>Charles B. Johnson</w:t>
      </w:r>
    </w:p>
    <w:p>
      <w:pPr>
        <w:spacing w:after="0" w:line="5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189230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131" w:right="1440" w:bottom="863" w:gutter="0" w:footer="0" w:header="0"/>
          <w:type w:val="continuous"/>
        </w:sectPr>
      </w:pPr>
    </w:p>
    <w:bookmarkStart w:id="12" w:name="page13"/>
    <w:bookmarkEnd w:id="12"/>
    <w:p>
      <w:pPr>
        <w:spacing w:after="0"/>
        <w:tabs>
          <w:tab w:leader="none" w:pos="1060" w:val="left"/>
          <w:tab w:leader="none" w:pos="4900" w:val="left"/>
          <w:tab w:leader="none" w:pos="8300" w:val="left"/>
        </w:tabs>
        <w:rPr>
          <w:sz w:val="20"/>
          <w:szCs w:val="20"/>
          <w:color w:val="auto"/>
        </w:rPr>
      </w:pPr>
      <w:r>
        <w:rPr>
          <w:rFonts w:ascii="Arial" w:cs="Arial" w:eastAsia="Arial" w:hAnsi="Arial"/>
          <w:sz w:val="18"/>
          <w:szCs w:val="18"/>
          <w:color w:val="auto"/>
        </w:rPr>
        <w:t>CUSIP NO.</w:t>
        <w:tab/>
        <w:t>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13 of 14</w:t>
      </w:r>
    </w:p>
    <w:p>
      <w:pPr>
        <w:sectPr>
          <w:pgSz w:w="11900" w:h="16838" w:orient="portrait"/>
          <w:cols w:equalWidth="0" w:num="1">
            <w:col w:w="9879"/>
          </w:cols>
          <w:pgMar w:left="580" w:top="131" w:right="1440" w:bottom="1107" w:gutter="0" w:footer="0" w:header="0"/>
        </w:sectPr>
      </w:pPr>
    </w:p>
    <w:p>
      <w:pPr>
        <w:spacing w:after="0" w:line="200" w:lineRule="exact"/>
        <w:rPr>
          <w:sz w:val="20"/>
          <w:szCs w:val="20"/>
          <w:color w:val="auto"/>
        </w:rPr>
      </w:pPr>
    </w:p>
    <w:p>
      <w:pPr>
        <w:spacing w:after="0" w:line="32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LIMITED POWER OF ATTORNEY</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FOR</w:t>
      </w:r>
    </w:p>
    <w:p>
      <w:pPr>
        <w:spacing w:after="0" w:line="36" w:lineRule="exact"/>
        <w:rPr>
          <w:sz w:val="20"/>
          <w:szCs w:val="20"/>
          <w:color w:val="auto"/>
        </w:rPr>
      </w:pPr>
    </w:p>
    <w:p>
      <w:pPr>
        <w:ind w:left="3080"/>
        <w:spacing w:after="0"/>
        <w:rPr>
          <w:sz w:val="20"/>
          <w:szCs w:val="20"/>
          <w:color w:val="auto"/>
        </w:rPr>
      </w:pPr>
      <w:r>
        <w:rPr>
          <w:rFonts w:ascii="Arial" w:cs="Arial" w:eastAsia="Arial" w:hAnsi="Arial"/>
          <w:sz w:val="18"/>
          <w:szCs w:val="18"/>
          <w:u w:val="single" w:color="auto"/>
          <w:color w:val="auto"/>
        </w:rPr>
        <w:t>SECTION 13 REPORTING OBLIGATIONS</w:t>
      </w:r>
    </w:p>
    <w:p>
      <w:pPr>
        <w:spacing w:after="0" w:line="279" w:lineRule="exact"/>
        <w:rPr>
          <w:sz w:val="20"/>
          <w:szCs w:val="20"/>
          <w:color w:val="auto"/>
        </w:rPr>
      </w:pPr>
    </w:p>
    <w:p>
      <w:pPr>
        <w:ind w:left="200" w:right="3559" w:firstLine="864"/>
        <w:spacing w:after="0" w:line="286" w:lineRule="auto"/>
        <w:rPr>
          <w:sz w:val="20"/>
          <w:szCs w:val="20"/>
          <w:color w:val="auto"/>
        </w:rPr>
      </w:pPr>
      <w:r>
        <w:rPr>
          <w:rFonts w:ascii="Arial" w:cs="Arial" w:eastAsia="Arial" w:hAnsi="Arial"/>
          <w:sz w:val="18"/>
          <w:szCs w:val="18"/>
          <w:color w:val="auto"/>
        </w:rPr>
        <w:t>Know all by these presents, that the undersigned hereby makes, constitutes and appoints each of Robert Rosselot and Maria Gray, each acting individually, as the undersigned’s true and lawful attorney-in-fact, with full power and authority as hereinafter described on behalf of and in the name, place and stead of the undersigned to:</w:t>
      </w:r>
    </w:p>
    <w:p>
      <w:pPr>
        <w:spacing w:after="0" w:line="225" w:lineRule="exact"/>
        <w:rPr>
          <w:sz w:val="20"/>
          <w:szCs w:val="20"/>
          <w:color w:val="auto"/>
        </w:rPr>
      </w:pPr>
    </w:p>
    <w:p>
      <w:pPr>
        <w:ind w:left="200" w:right="3639" w:firstLine="8"/>
        <w:spacing w:after="0" w:line="325" w:lineRule="auto"/>
        <w:tabs>
          <w:tab w:leader="none" w:pos="1064"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00" w:lineRule="exact"/>
        <w:rPr>
          <w:rFonts w:ascii="Arial" w:cs="Arial" w:eastAsia="Arial" w:hAnsi="Arial"/>
          <w:sz w:val="16"/>
          <w:szCs w:val="16"/>
          <w:color w:val="auto"/>
        </w:rPr>
      </w:pPr>
    </w:p>
    <w:p>
      <w:pPr>
        <w:ind w:left="1080" w:hanging="87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 any and all other acts which in the discretion of such</w:t>
      </w:r>
    </w:p>
    <w:p>
      <w:pPr>
        <w:spacing w:after="0" w:line="36" w:lineRule="exact"/>
        <w:rPr>
          <w:sz w:val="20"/>
          <w:szCs w:val="20"/>
          <w:color w:val="auto"/>
        </w:rPr>
      </w:pPr>
    </w:p>
    <w:p>
      <w:pPr>
        <w:ind w:left="200" w:right="3939"/>
        <w:spacing w:after="0" w:line="299" w:lineRule="auto"/>
        <w:rPr>
          <w:sz w:val="20"/>
          <w:szCs w:val="20"/>
          <w:color w:val="auto"/>
        </w:rPr>
      </w:pPr>
      <w:r>
        <w:rPr>
          <w:rFonts w:ascii="Arial" w:cs="Arial" w:eastAsia="Arial" w:hAnsi="Arial"/>
          <w:sz w:val="18"/>
          <w:szCs w:val="18"/>
          <w:color w:val="auto"/>
        </w:rPr>
        <w:t>attorney-in-fact are necessary or desirable for and on behalf of the undersigned in connection with the foregoing.</w:t>
      </w: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undersigned acknowledges that:</w:t>
      </w:r>
    </w:p>
    <w:p>
      <w:pPr>
        <w:spacing w:after="0" w:line="279" w:lineRule="exact"/>
        <w:rPr>
          <w:sz w:val="20"/>
          <w:szCs w:val="20"/>
          <w:color w:val="auto"/>
        </w:rPr>
      </w:pPr>
    </w:p>
    <w:p>
      <w:pPr>
        <w:ind w:left="200" w:right="3799" w:firstLine="8"/>
        <w:spacing w:after="0" w:line="317" w:lineRule="auto"/>
        <w:tabs>
          <w:tab w:leader="none" w:pos="8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Limited Power of Attorney authorizes, but does not require, each such attorney-in-fact to act in their discretion on information provided to such attorney-in-fact without independent verification of such information;</w:t>
      </w:r>
    </w:p>
    <w:p>
      <w:pPr>
        <w:jc w:val="both"/>
        <w:ind w:left="200" w:right="3739" w:firstLine="8"/>
        <w:spacing w:after="0" w:line="317" w:lineRule="auto"/>
        <w:tabs>
          <w:tab w:leader="none" w:pos="8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documents prepared and/or executed by either such attorney-in-fact on behalf of the undersigned pursuant to this Limited Power of Attorney will be in such form and will contain such information and disclosure as such attorney-in-fact, in his or her discretion, deems necessary or desirable;</w:t>
      </w:r>
    </w:p>
    <w:p>
      <w:pPr>
        <w:jc w:val="both"/>
        <w:ind w:left="200" w:right="3739" w:firstLine="8"/>
        <w:spacing w:after="0" w:line="281" w:lineRule="auto"/>
        <w:tabs>
          <w:tab w:leader="none" w:pos="8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the Reporting Entity nor either of such attorneys-in-fact assumes (i) any liability for the undersigned’s responsibility to comply with the requirements of the Exchange Act or (ii) any liability of the undersigned for any failure to comply with such requirements; and</w:t>
      </w:r>
    </w:p>
    <w:p>
      <w:pPr>
        <w:spacing w:after="0" w:line="3" w:lineRule="exact"/>
        <w:rPr>
          <w:rFonts w:ascii="Arial" w:cs="Arial" w:eastAsia="Arial" w:hAnsi="Arial"/>
          <w:sz w:val="18"/>
          <w:szCs w:val="18"/>
          <w:color w:val="auto"/>
        </w:rPr>
      </w:pPr>
    </w:p>
    <w:p>
      <w:pPr>
        <w:ind w:left="200" w:right="3719" w:firstLine="8"/>
        <w:spacing w:after="0" w:line="287" w:lineRule="auto"/>
        <w:tabs>
          <w:tab w:leader="none" w:pos="8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25" w:lineRule="exact"/>
        <w:rPr>
          <w:sz w:val="20"/>
          <w:szCs w:val="20"/>
          <w:color w:val="auto"/>
        </w:rPr>
      </w:pPr>
    </w:p>
    <w:p>
      <w:pPr>
        <w:ind w:left="200" w:right="3699" w:firstLine="324"/>
        <w:spacing w:after="0" w:line="284" w:lineRule="auto"/>
        <w:rPr>
          <w:sz w:val="20"/>
          <w:szCs w:val="20"/>
          <w:color w:val="auto"/>
        </w:rPr>
      </w:pPr>
      <w:r>
        <w:rPr>
          <w:rFonts w:ascii="Arial" w:cs="Arial" w:eastAsia="Arial" w:hAnsi="Arial"/>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w:t>
      </w:r>
    </w:p>
    <w:p>
      <w:pPr>
        <w:spacing w:after="0" w:line="230" w:lineRule="exact"/>
        <w:rPr>
          <w:sz w:val="20"/>
          <w:szCs w:val="20"/>
          <w:color w:val="auto"/>
        </w:rPr>
      </w:pPr>
    </w:p>
    <w:p>
      <w:pPr>
        <w:ind w:left="200" w:right="3599" w:firstLine="324"/>
        <w:spacing w:after="0" w:line="367" w:lineRule="auto"/>
        <w:rPr>
          <w:sz w:val="20"/>
          <w:szCs w:val="20"/>
          <w:color w:val="auto"/>
        </w:rPr>
      </w:pPr>
      <w:r>
        <w:rPr>
          <w:rFonts w:ascii="Arial" w:cs="Arial" w:eastAsia="Arial" w:hAnsi="Arial"/>
          <w:sz w:val="16"/>
          <w:szCs w:val="16"/>
          <w:color w:val="auto"/>
        </w:rPr>
        <w:t>This Limited Power of Attorney shall remain in full force and effect until revoked by the undersigned in a signed writing delivered to each such attorney-in-fact.</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6880" w:type="dxa"/>
            <w:vAlign w:val="bottom"/>
            <w:gridSpan w:val="4"/>
          </w:tcPr>
          <w:p>
            <w:pPr>
              <w:spacing w:after="0"/>
              <w:rPr>
                <w:sz w:val="20"/>
                <w:szCs w:val="20"/>
                <w:color w:val="auto"/>
              </w:rPr>
            </w:pPr>
            <w:r>
              <w:rPr>
                <w:rFonts w:ascii="Arial" w:cs="Arial" w:eastAsia="Arial" w:hAnsi="Arial"/>
                <w:sz w:val="18"/>
                <w:szCs w:val="18"/>
                <w:color w:val="auto"/>
                <w:w w:val="94"/>
              </w:rPr>
              <w:t>IN WITNESS WHEREOF, the undersigned has caused this Limited Power of Attorney to be</w:t>
            </w:r>
          </w:p>
        </w:tc>
        <w:tc>
          <w:tcPr>
            <w:tcW w:w="800" w:type="dxa"/>
            <w:vAlign w:val="bottom"/>
          </w:tcPr>
          <w:p>
            <w:pPr>
              <w:spacing w:after="0"/>
              <w:rPr>
                <w:sz w:val="19"/>
                <w:szCs w:val="19"/>
                <w:color w:val="auto"/>
              </w:rPr>
            </w:pPr>
          </w:p>
        </w:tc>
      </w:tr>
      <w:tr>
        <w:trPr>
          <w:trHeight w:val="243"/>
        </w:trPr>
        <w:tc>
          <w:tcPr>
            <w:tcW w:w="2180" w:type="dxa"/>
            <w:vAlign w:val="bottom"/>
          </w:tcPr>
          <w:p>
            <w:pPr>
              <w:spacing w:after="0"/>
              <w:rPr>
                <w:sz w:val="20"/>
                <w:szCs w:val="20"/>
                <w:color w:val="auto"/>
              </w:rPr>
            </w:pPr>
            <w:r>
              <w:rPr>
                <w:rFonts w:ascii="Arial" w:cs="Arial" w:eastAsia="Arial" w:hAnsi="Arial"/>
                <w:sz w:val="18"/>
                <w:szCs w:val="18"/>
                <w:color w:val="auto"/>
              </w:rPr>
              <w:t>executed as of this</w:t>
            </w:r>
          </w:p>
        </w:tc>
        <w:tc>
          <w:tcPr>
            <w:tcW w:w="1720" w:type="dxa"/>
            <w:vAlign w:val="bottom"/>
          </w:tcPr>
          <w:p>
            <w:pPr>
              <w:ind w:left="860"/>
              <w:spacing w:after="0"/>
              <w:rPr>
                <w:sz w:val="20"/>
                <w:szCs w:val="20"/>
                <w:color w:val="auto"/>
              </w:rPr>
            </w:pPr>
            <w:r>
              <w:rPr>
                <w:rFonts w:ascii="Arial" w:cs="Arial" w:eastAsia="Arial" w:hAnsi="Arial"/>
                <w:sz w:val="18"/>
                <w:szCs w:val="18"/>
                <w:u w:val="single" w:color="auto"/>
                <w:color w:val="auto"/>
              </w:rPr>
              <w:t>25th</w:t>
            </w:r>
          </w:p>
        </w:tc>
        <w:tc>
          <w:tcPr>
            <w:tcW w:w="1400" w:type="dxa"/>
            <w:vAlign w:val="bottom"/>
          </w:tcPr>
          <w:p>
            <w:pPr>
              <w:ind w:left="540"/>
              <w:spacing w:after="0"/>
              <w:rPr>
                <w:sz w:val="20"/>
                <w:szCs w:val="20"/>
                <w:color w:val="auto"/>
              </w:rPr>
            </w:pPr>
            <w:r>
              <w:rPr>
                <w:rFonts w:ascii="Arial" w:cs="Arial" w:eastAsia="Arial" w:hAnsi="Arial"/>
                <w:sz w:val="18"/>
                <w:szCs w:val="18"/>
                <w:color w:val="auto"/>
              </w:rPr>
              <w:t>day of</w:t>
            </w:r>
          </w:p>
        </w:tc>
        <w:tc>
          <w:tcPr>
            <w:tcW w:w="1580" w:type="dxa"/>
            <w:vAlign w:val="bottom"/>
          </w:tcPr>
          <w:p>
            <w:pPr>
              <w:ind w:left="440"/>
              <w:spacing w:after="0"/>
              <w:rPr>
                <w:sz w:val="20"/>
                <w:szCs w:val="20"/>
                <w:color w:val="auto"/>
              </w:rPr>
            </w:pPr>
            <w:r>
              <w:rPr>
                <w:rFonts w:ascii="Arial" w:cs="Arial" w:eastAsia="Arial" w:hAnsi="Arial"/>
                <w:sz w:val="18"/>
                <w:szCs w:val="18"/>
                <w:u w:val="single" w:color="auto"/>
                <w:color w:val="auto"/>
              </w:rPr>
              <w:t>April</w:t>
            </w:r>
          </w:p>
        </w:tc>
        <w:tc>
          <w:tcPr>
            <w:tcW w:w="800" w:type="dxa"/>
            <w:vAlign w:val="bottom"/>
          </w:tcPr>
          <w:p>
            <w:pPr>
              <w:jc w:val="right"/>
              <w:spacing w:after="0"/>
              <w:rPr>
                <w:sz w:val="20"/>
                <w:szCs w:val="20"/>
                <w:color w:val="auto"/>
              </w:rPr>
            </w:pPr>
            <w:r>
              <w:rPr>
                <w:rFonts w:ascii="Arial" w:cs="Arial" w:eastAsia="Arial" w:hAnsi="Arial"/>
                <w:sz w:val="18"/>
                <w:szCs w:val="18"/>
                <w:color w:val="auto"/>
              </w:rPr>
              <w:t>, 2007</w:t>
            </w:r>
          </w:p>
        </w:tc>
      </w:tr>
    </w:tbl>
    <w:p>
      <w:pPr>
        <w:spacing w:after="0" w:line="264" w:lineRule="exact"/>
        <w:rPr>
          <w:sz w:val="20"/>
          <w:szCs w:val="20"/>
          <w:color w:val="auto"/>
        </w:rPr>
      </w:pPr>
    </w:p>
    <w:p>
      <w:pPr>
        <w:ind w:left="6160"/>
        <w:spacing w:after="0"/>
        <w:rPr>
          <w:sz w:val="20"/>
          <w:szCs w:val="20"/>
          <w:color w:val="auto"/>
        </w:rPr>
      </w:pPr>
      <w:r>
        <w:rPr>
          <w:rFonts w:ascii="Arial" w:cs="Arial" w:eastAsia="Arial" w:hAnsi="Arial"/>
          <w:sz w:val="15"/>
          <w:szCs w:val="15"/>
          <w:u w:val="single" w:color="auto"/>
          <w:color w:val="auto"/>
        </w:rPr>
        <w:t>/s/ Rupert H. Johnson, Jr.</w:t>
      </w:r>
    </w:p>
    <w:p>
      <w:pPr>
        <w:spacing w:after="0" w:line="7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left="6160"/>
        <w:spacing w:after="0"/>
        <w:rPr>
          <w:sz w:val="20"/>
          <w:szCs w:val="20"/>
          <w:color w:val="auto"/>
        </w:rPr>
      </w:pPr>
      <w:r>
        <w:rPr>
          <w:rFonts w:ascii="Arial" w:cs="Arial" w:eastAsia="Arial" w:hAnsi="Arial"/>
          <w:sz w:val="16"/>
          <w:szCs w:val="16"/>
          <w:u w:val="single" w:color="auto"/>
          <w:color w:val="auto"/>
        </w:rPr>
        <w:t>Rupert H. Johnson, Jr.</w:t>
      </w:r>
    </w:p>
    <w:p>
      <w:pPr>
        <w:spacing w:after="0" w:line="5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189230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79"/>
          </w:cols>
          <w:pgMar w:left="580" w:top="131" w:right="1440" w:bottom="1107" w:gutter="0" w:footer="0" w:header="0"/>
          <w:type w:val="continuous"/>
        </w:sectPr>
      </w:pPr>
    </w:p>
    <w:bookmarkStart w:id="13" w:name="page14"/>
    <w:bookmarkEnd w:id="13"/>
    <w:p>
      <w:pPr>
        <w:spacing w:after="0"/>
        <w:tabs>
          <w:tab w:leader="none" w:pos="1060" w:val="left"/>
          <w:tab w:leader="none" w:pos="4900" w:val="left"/>
          <w:tab w:leader="none" w:pos="8300" w:val="left"/>
        </w:tabs>
        <w:rPr>
          <w:sz w:val="20"/>
          <w:szCs w:val="20"/>
          <w:color w:val="auto"/>
        </w:rPr>
      </w:pPr>
      <w:r>
        <w:rPr>
          <w:rFonts w:ascii="Arial" w:cs="Arial" w:eastAsia="Arial" w:hAnsi="Arial"/>
          <w:sz w:val="18"/>
          <w:szCs w:val="18"/>
          <w:color w:val="auto"/>
        </w:rPr>
        <w:t>CUSIP NO.</w:t>
        <w:tab/>
        <w:t>974637100</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14 of 14</w:t>
      </w:r>
    </w:p>
    <w:p>
      <w:pPr>
        <w:sectPr>
          <w:pgSz w:w="11900" w:h="16838" w:orient="portrait"/>
          <w:cols w:equalWidth="0" w:num="1">
            <w:col w:w="9879"/>
          </w:cols>
          <w:pgMar w:left="580" w:top="131" w:right="1440" w:bottom="1440" w:gutter="0" w:footer="0" w:header="0"/>
        </w:sect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 C</w:t>
      </w:r>
    </w:p>
    <w:p>
      <w:pPr>
        <w:spacing w:after="0" w:line="279" w:lineRule="exact"/>
        <w:rPr>
          <w:sz w:val="20"/>
          <w:szCs w:val="20"/>
          <w:color w:val="auto"/>
        </w:rPr>
      </w:pPr>
    </w:p>
    <w:p>
      <w:pPr>
        <w:ind w:left="200"/>
        <w:spacing w:after="0"/>
        <w:tabs>
          <w:tab w:leader="none" w:pos="6680" w:val="left"/>
        </w:tabs>
        <w:rPr>
          <w:sz w:val="20"/>
          <w:szCs w:val="20"/>
          <w:color w:val="auto"/>
        </w:rPr>
      </w:pPr>
      <w:r>
        <w:rPr>
          <w:rFonts w:ascii="Arial" w:cs="Arial" w:eastAsia="Arial" w:hAnsi="Arial"/>
          <w:sz w:val="18"/>
          <w:szCs w:val="18"/>
          <w:color w:val="auto"/>
        </w:rPr>
        <w:t>Franklin Advisory Services, LLC</w:t>
      </w:r>
      <w:r>
        <w:rPr>
          <w:sz w:val="20"/>
          <w:szCs w:val="20"/>
          <w:color w:val="auto"/>
        </w:rPr>
        <w:tab/>
      </w:r>
      <w:r>
        <w:rPr>
          <w:rFonts w:ascii="Arial" w:cs="Arial" w:eastAsia="Arial" w:hAnsi="Arial"/>
          <w:sz w:val="16"/>
          <w:szCs w:val="16"/>
          <w:color w:val="auto"/>
        </w:rPr>
        <w:t>Item 3 Classification: 3(e)</w:t>
      </w:r>
    </w:p>
    <w:sectPr>
      <w:pgSz w:w="11900" w:h="16838" w:orient="portrait"/>
      <w:cols w:equalWidth="0" w:num="1">
        <w:col w:w="9879"/>
      </w:cols>
      <w:pgMar w:left="58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1."/>
      <w:numFmt w:val="decimal"/>
      <w:start w:val="1"/>
    </w:lvl>
    <w:lvl w:ilvl="1">
      <w:lvlJc w:val="left"/>
      <w:lvlText w:val="(%2)"/>
      <w:numFmt w:val="lowerLetter"/>
      <w:start w:val="1"/>
    </w:lvl>
  </w:abstractNum>
  <w:abstractNum w:abstractNumId="2">
    <w:nsid w:val="1BEFD79F"/>
    <w:multiLevelType w:val="hybridMultilevel"/>
    <w:lvl w:ilvl="0">
      <w:lvlJc w:val="left"/>
      <w:lvlText w:val="%1"/>
      <w:numFmt w:val="decimal"/>
      <w:start w:val="1"/>
    </w:lvl>
    <w:lvl w:ilvl="1">
      <w:lvlJc w:val="left"/>
      <w:lvlText w:val="%2."/>
      <w:numFmt w:val="decimal"/>
      <w:start w:val="5"/>
    </w:lvl>
  </w:abstractNum>
  <w:abstractNum w:abstractNumId="3">
    <w:nsid w:val="41A7C4C9"/>
    <w:multiLevelType w:val="hybridMultilevel"/>
    <w:lvl w:ilvl="0">
      <w:lvlJc w:val="left"/>
      <w:lvlText w:val="%1."/>
      <w:numFmt w:val="decimal"/>
      <w:start w:val="9"/>
    </w:lvl>
    <w:lvl w:ilvl="1">
      <w:lvlJc w:val="left"/>
      <w:lvlText w:val="%2"/>
      <w:numFmt w:val="decimal"/>
      <w:start w:val="1"/>
    </w:lvl>
  </w:abstractNum>
  <w:abstractNum w:abstractNumId="4">
    <w:nsid w:val="6B68079A"/>
    <w:multiLevelType w:val="hybridMultilevel"/>
    <w:lvl w:ilvl="0">
      <w:lvlJc w:val="left"/>
      <w:lvlText w:val="%1."/>
      <w:numFmt w:val="decimal"/>
      <w:start w:val="1"/>
    </w:lvl>
    <w:lvl w:ilvl="1">
      <w:lvlJc w:val="left"/>
      <w:lvlText w:val="(%2)"/>
      <w:numFmt w:val="lowerLetter"/>
      <w:start w:val="1"/>
    </w:lvl>
  </w:abstractNum>
  <w:abstractNum w:abstractNumId="5">
    <w:nsid w:val="4E6AFB66"/>
    <w:multiLevelType w:val="hybridMultilevel"/>
    <w:lvl w:ilvl="0">
      <w:lvlJc w:val="left"/>
      <w:lvlText w:val="%1"/>
      <w:numFmt w:val="decimal"/>
      <w:start w:val="1"/>
    </w:lvl>
    <w:lvl w:ilvl="1">
      <w:lvlJc w:val="left"/>
      <w:lvlText w:val="%2."/>
      <w:numFmt w:val="decimal"/>
      <w:start w:val="5"/>
    </w:lvl>
  </w:abstractNum>
  <w:abstractNum w:abstractNumId="6">
    <w:nsid w:val="25E45D32"/>
    <w:multiLevelType w:val="hybridMultilevel"/>
    <w:lvl w:ilvl="0">
      <w:lvlJc w:val="left"/>
      <w:lvlText w:val="%1."/>
      <w:numFmt w:val="decimal"/>
      <w:start w:val="9"/>
    </w:lvl>
    <w:lvl w:ilvl="1">
      <w:lvlJc w:val="left"/>
      <w:lvlText w:val="%2"/>
      <w:numFmt w:val="decimal"/>
      <w:start w:val="1"/>
    </w:lvl>
  </w:abstractNum>
  <w:abstractNum w:abstractNumId="7">
    <w:nsid w:val="519B500D"/>
    <w:multiLevelType w:val="hybridMultilevel"/>
    <w:lvl w:ilvl="0">
      <w:lvlJc w:val="left"/>
      <w:lvlText w:val="%1."/>
      <w:numFmt w:val="decimal"/>
      <w:start w:val="1"/>
    </w:lvl>
    <w:lvl w:ilvl="1">
      <w:lvlJc w:val="left"/>
      <w:lvlText w:val="(%2)"/>
      <w:numFmt w:val="lowerLetter"/>
      <w:start w:val="1"/>
    </w:lvl>
  </w:abstractNum>
  <w:abstractNum w:abstractNumId="8">
    <w:nsid w:val="431BD7B7"/>
    <w:multiLevelType w:val="hybridMultilevel"/>
    <w:lvl w:ilvl="0">
      <w:lvlJc w:val="left"/>
      <w:lvlText w:val="%1"/>
      <w:numFmt w:val="decimal"/>
      <w:start w:val="1"/>
    </w:lvl>
    <w:lvl w:ilvl="1">
      <w:lvlJc w:val="left"/>
      <w:lvlText w:val="%2."/>
      <w:numFmt w:val="decimal"/>
      <w:start w:val="5"/>
    </w:lvl>
  </w:abstractNum>
  <w:abstractNum w:abstractNumId="9">
    <w:nsid w:val="3F2DBA31"/>
    <w:multiLevelType w:val="hybridMultilevel"/>
    <w:lvl w:ilvl="0">
      <w:lvlJc w:val="left"/>
      <w:lvlText w:val="%1."/>
      <w:numFmt w:val="decimal"/>
      <w:start w:val="9"/>
    </w:lvl>
    <w:lvl w:ilvl="1">
      <w:lvlJc w:val="left"/>
      <w:lvlText w:val="%2"/>
      <w:numFmt w:val="decimal"/>
      <w:start w:val="1"/>
    </w:lvl>
  </w:abstractNum>
  <w:abstractNum w:abstractNumId="10">
    <w:nsid w:val="7C83E458"/>
    <w:multiLevelType w:val="hybridMultilevel"/>
    <w:lvl w:ilvl="0">
      <w:lvlJc w:val="left"/>
      <w:lvlText w:val="%1."/>
      <w:numFmt w:val="decimal"/>
      <w:start w:val="1"/>
    </w:lvl>
    <w:lvl w:ilvl="1">
      <w:lvlJc w:val="left"/>
      <w:lvlText w:val="(%2)"/>
      <w:numFmt w:val="lowerLetter"/>
      <w:start w:val="1"/>
    </w:lvl>
  </w:abstractNum>
  <w:abstractNum w:abstractNumId="11">
    <w:nsid w:val="257130A3"/>
    <w:multiLevelType w:val="hybridMultilevel"/>
    <w:lvl w:ilvl="0">
      <w:lvlJc w:val="left"/>
      <w:lvlText w:val="%1"/>
      <w:numFmt w:val="decimal"/>
      <w:start w:val="1"/>
    </w:lvl>
    <w:lvl w:ilvl="1">
      <w:lvlJc w:val="left"/>
      <w:lvlText w:val="%2."/>
      <w:numFmt w:val="decimal"/>
      <w:start w:val="5"/>
    </w:lvl>
  </w:abstractNum>
  <w:abstractNum w:abstractNumId="12">
    <w:nsid w:val="62BBD95A"/>
    <w:multiLevelType w:val="hybridMultilevel"/>
    <w:lvl w:ilvl="0">
      <w:lvlJc w:val="left"/>
      <w:lvlText w:val="%1."/>
      <w:numFmt w:val="decimal"/>
      <w:start w:val="9"/>
    </w:lvl>
    <w:lvl w:ilvl="1">
      <w:lvlJc w:val="left"/>
      <w:lvlText w:val="%2"/>
      <w:numFmt w:val="decimal"/>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2"/>
    </w:lvl>
  </w:abstractNum>
  <w:abstractNum w:abstractNumId="16">
    <w:nsid w:val="721DA317"/>
    <w:multiLevelType w:val="hybridMultilevel"/>
    <w:lvl w:ilvl="0">
      <w:lvlJc w:val="left"/>
      <w:lvlText w:val="(%1)"/>
      <w:numFmt w:val="lowerLetter"/>
      <w:start w:val="3"/>
    </w:lvl>
  </w:abstractNum>
  <w:abstractNum w:abstractNumId="17">
    <w:nsid w:val="2443A85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8">
    <w:nsid w:val="2D1D5AE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9">
    <w:nsid w:val="6763845E"/>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20">
    <w:nsid w:val="75A2A8D4"/>
    <w:multiLevelType w:val="hybridMultilevel"/>
    <w:lvl w:ilvl="0">
      <w:lvlJc w:val="left"/>
      <w:lvlText w:val="(%1)"/>
      <w:numFmt w:val="lowerLetter"/>
      <w:start w:val="1"/>
    </w:lvl>
    <w:lvl w:ilvl="1">
      <w:lvlJc w:val="left"/>
      <w:lvlText w:val="(%2)"/>
      <w:numFmt w:val="lowerLetter"/>
      <w:start w:val="9"/>
    </w:lvl>
  </w:abstractNum>
  <w:abstractNum w:abstractNumId="21">
    <w:nsid w:val="8EDBDAB"/>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22">
    <w:nsid w:val="79838CB2"/>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4"/>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2019-12-10T02:49:26Z</dcterms:created>
  <dcterms:modified xsi:type="dcterms:W3CDTF">2019-12-10T02:49:26Z</dcterms:modified>
</cp:coreProperties>
</file>