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454025</wp:posOffset>
            </wp:positionV>
            <wp:extent cx="302704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Iowa</w:t>
            </w:r>
          </w:p>
        </w:tc>
        <w:tc>
          <w:tcPr>
            <w:tcW w:w="302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001-06403</w:t>
            </w:r>
          </w:p>
        </w:tc>
        <w:tc>
          <w:tcPr>
            <w:tcW w:w="296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(State or other jurisdiction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rPr>
              <w:t>(Commission</w:t>
            </w: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(I.R.S. Employer</w:t>
            </w:r>
          </w:p>
        </w:tc>
      </w:tr>
      <w:tr>
        <w:trPr>
          <w:trHeight w:val="195"/>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of incorporation or organization)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w w:val="99"/>
              </w:rPr>
              <w:t>File Number)</w:t>
            </w:r>
          </w:p>
        </w:tc>
        <w:tc>
          <w:tcPr>
            <w:tcW w:w="2960" w:type="dxa"/>
            <w:vAlign w:val="bottom"/>
          </w:tcPr>
          <w:p>
            <w:pPr>
              <w:jc w:val="center"/>
              <w:ind w:right="619"/>
              <w:spacing w:after="0"/>
              <w:rPr>
                <w:sz w:val="20"/>
                <w:szCs w:val="20"/>
                <w:color w:val="auto"/>
              </w:rPr>
            </w:pPr>
            <w:r>
              <w:rPr>
                <w:rFonts w:ascii="Arial" w:cs="Arial" w:eastAsia="Arial" w:hAnsi="Arial"/>
                <w:sz w:val="16"/>
                <w:szCs w:val="16"/>
                <w:color w:val="auto"/>
              </w:rPr>
              <w:t>Identification No.)</w:t>
            </w:r>
          </w:p>
        </w:tc>
      </w:tr>
      <w:tr>
        <w:trPr>
          <w:trHeight w:val="580"/>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P. O. Box 152, Forest City, Iowa</w:t>
            </w:r>
          </w:p>
        </w:tc>
        <w:tc>
          <w:tcPr>
            <w:tcW w:w="30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51"/>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(Address of principal executive offices)</w:t>
            </w:r>
          </w:p>
        </w:tc>
        <w:tc>
          <w:tcPr>
            <w:tcW w:w="3020" w:type="dxa"/>
            <w:vAlign w:val="bottom"/>
          </w:tcPr>
          <w:p>
            <w:pPr>
              <w:spacing w:after="0"/>
              <w:rPr>
                <w:sz w:val="21"/>
                <w:szCs w:val="21"/>
                <w:color w:val="auto"/>
              </w:rPr>
            </w:pP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(Zip Code)</w:t>
            </w:r>
          </w:p>
        </w:tc>
      </w:tr>
      <w:tr>
        <w:trPr>
          <w:trHeight w:val="540"/>
        </w:trPr>
        <w:tc>
          <w:tcPr>
            <w:tcW w:w="3260" w:type="dxa"/>
            <w:vAlign w:val="bottom"/>
          </w:tcPr>
          <w:p>
            <w:pPr>
              <w:spacing w:after="0"/>
              <w:rPr>
                <w:sz w:val="24"/>
                <w:szCs w:val="24"/>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Scott C. Folkers</w:t>
            </w:r>
          </w:p>
        </w:tc>
        <w:tc>
          <w:tcPr>
            <w:tcW w:w="2960" w:type="dxa"/>
            <w:vAlign w:val="bottom"/>
          </w:tcPr>
          <w:p>
            <w:pPr>
              <w:spacing w:after="0"/>
              <w:rPr>
                <w:sz w:val="24"/>
                <w:szCs w:val="24"/>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Vice President,</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General Counsel and Secretary</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right"/>
              <w:ind w:right="1139"/>
              <w:spacing w:after="0"/>
              <w:rPr>
                <w:sz w:val="20"/>
                <w:szCs w:val="20"/>
                <w:color w:val="auto"/>
              </w:rPr>
            </w:pPr>
            <w:r>
              <w:rPr>
                <w:rFonts w:ascii="Arial" w:cs="Arial" w:eastAsia="Arial" w:hAnsi="Arial"/>
                <w:sz w:val="16"/>
                <w:szCs w:val="16"/>
                <w:b w:val="1"/>
                <w:bCs w:val="1"/>
                <w:color w:val="auto"/>
              </w:rPr>
              <w:t>641-585-3535</w:t>
            </w:r>
          </w:p>
        </w:tc>
        <w:tc>
          <w:tcPr>
            <w:tcW w:w="29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12700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2"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1227455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1141730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147"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and 1.02 Conflict Minerals Disclosure and Report; Exhibit.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 copy of Winnebago Industries, Inc. (“Winnebago’s”) Conflict Minerals Report for the reporting period January 1, 2015 to December 31, 2015 is provided as Exhibit 1.01 hereto and is publicly available at </w:t>
      </w:r>
      <w:r>
        <w:rPr>
          <w:rFonts w:ascii="Arial" w:cs="Arial" w:eastAsia="Arial" w:hAnsi="Arial"/>
          <w:sz w:val="18"/>
          <w:szCs w:val="18"/>
          <w:u w:val="single" w:color="auto"/>
          <w:color w:val="0000FF"/>
        </w:rPr>
        <w:t>www.winnebagoind.com</w:t>
      </w:r>
      <w:r>
        <w:rPr>
          <w:rFonts w:ascii="Arial" w:cs="Arial" w:eastAsia="Arial" w:hAnsi="Arial"/>
          <w:sz w:val="18"/>
          <w:szCs w:val="18"/>
          <w:color w:val="auto"/>
        </w:rPr>
        <w:t xml:space="preserve"> under the tab “Company-Investor Relations”. Winnebago’s determination and related due diligence efforts are included in Winnebago’s Conflict Minerals Report and incorporated by reference 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for the reporting period January 1, 2015 to December 31, 2015</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WINNEBAGO INDUSTRIES, INC.</w:t>
      </w:r>
    </w:p>
    <w:p>
      <w:pPr>
        <w:spacing w:after="0" w:line="329" w:lineRule="exact"/>
        <w:rPr>
          <w:sz w:val="20"/>
          <w:szCs w:val="20"/>
          <w:color w:val="auto"/>
        </w:rPr>
      </w:pPr>
    </w:p>
    <w:p>
      <w:pPr>
        <w:ind w:left="40"/>
        <w:spacing w:after="0"/>
        <w:tabs>
          <w:tab w:leader="none" w:pos="700" w:val="left"/>
          <w:tab w:leader="none" w:pos="5060" w:val="left"/>
          <w:tab w:leader="none" w:pos="5520" w:val="left"/>
        </w:tabs>
        <w:rPr>
          <w:sz w:val="20"/>
          <w:szCs w:val="20"/>
          <w:color w:val="auto"/>
        </w:rPr>
      </w:pPr>
      <w:r>
        <w:rPr>
          <w:rFonts w:ascii="Arial" w:cs="Arial" w:eastAsia="Arial" w:hAnsi="Arial"/>
          <w:sz w:val="18"/>
          <w:szCs w:val="18"/>
          <w:color w:val="auto"/>
        </w:rPr>
        <w:t>Date:</w:t>
        <w:tab/>
        <w:t>May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26035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Scott C. Folkers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280"/>
          </w:cols>
          <w:pgMar w:left="240" w:top="1062"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Winnebago Industries, Inc. Conflict Minerals Report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Year Ended December 31, 2015</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1.01</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this context.</w:t>
      </w:r>
    </w:p>
    <w:p>
      <w:pPr>
        <w:spacing w:after="0" w:line="169"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2015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Winnebago Industries, a manufacturer of recreation vehicles, has determined that its products were manufactured with tin, tantalum, tungsten, and gold which were necessary to the functionality of such products. In accordance with Rule 13p-1, Winnebago Industries performed due diligence as noted below to determine the conflict minerals status of the necessary conflict minerals used in its product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14" w:lineRule="exact"/>
        <w:rPr>
          <w:sz w:val="20"/>
          <w:szCs w:val="20"/>
          <w:color w:val="auto"/>
        </w:rPr>
      </w:pPr>
    </w:p>
    <w:p>
      <w:pPr>
        <w:ind w:left="980" w:right="100" w:hanging="324"/>
        <w:spacing w:after="0" w:line="24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CFO.</w:t>
      </w:r>
    </w:p>
    <w:p>
      <w:pPr>
        <w:ind w:left="980" w:right="420" w:hanging="324"/>
        <w:spacing w:after="0" w:line="189" w:lineRule="exact"/>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w:t>
      </w:r>
      <w:r>
        <w:rPr>
          <w:rFonts w:ascii="MS PGothic" w:cs="MS PGothic" w:eastAsia="MS PGothic" w:hAnsi="MS PGothic"/>
          <w:sz w:val="16"/>
          <w:szCs w:val="16"/>
          <w:color w:val="auto"/>
        </w:rPr>
        <w:t>‑</w:t>
      </w:r>
      <w:r>
        <w:rPr>
          <w:rFonts w:ascii="Arial" w:cs="Arial" w:eastAsia="Arial" w:hAnsi="Arial"/>
          <w:sz w:val="16"/>
          <w:szCs w:val="16"/>
          <w:color w:val="auto"/>
        </w:rPr>
        <w:t>Sustainability Initiative (“EICC/GeSI”). This included the use the Conflict Minerals Reporting Template (“CMRT”), a supply-chain survey.</w:t>
      </w:r>
    </w:p>
    <w:p>
      <w:pPr>
        <w:spacing w:after="0" w:line="1" w:lineRule="exact"/>
        <w:rPr>
          <w:rFonts w:ascii="Arial" w:cs="Arial" w:eastAsia="Arial" w:hAnsi="Arial"/>
          <w:sz w:val="16"/>
          <w:szCs w:val="16"/>
          <w:color w:val="auto"/>
        </w:rPr>
      </w:pPr>
    </w:p>
    <w:p>
      <w:pPr>
        <w:ind w:left="980" w:right="200" w:hanging="324"/>
        <w:spacing w:after="0" w:line="24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identified risks at the product level and determined that all products we produce contained conflict minerals necessary to the functionality of the product.</w:t>
      </w:r>
    </w:p>
    <w:p>
      <w:pPr>
        <w:ind w:left="980" w:right="140" w:hanging="324"/>
        <w:spacing w:after="0" w:line="253"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conducted a supply chain survey of 100% of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has reviewed their suppliers and sourcing decisions and integrated into their management programs the Organization for Economic Cooperation and Development Due Diligence Guidance for Responsible Supply Chains of Minerals from Conflict-Affected and High-Risk Areas: Second Edition (“OECD Framework”), an internationally recognized due diligence framework. Winnebago Industries communicated to applicable suppliers our efforts to comply with Rule 13p-1.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1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174" w:lineRule="exact"/>
        <w:rPr>
          <w:sz w:val="20"/>
          <w:szCs w:val="20"/>
          <w:color w:val="auto"/>
        </w:rPr>
      </w:pPr>
    </w:p>
    <w:p>
      <w:pPr>
        <w:ind w:left="980" w:right="340" w:hanging="324"/>
        <w:spacing w:after="0" w:line="24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ind w:left="980" w:right="420" w:hanging="324"/>
        <w:spacing w:after="0" w:line="24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compared smelters and refiners identified by the supply chain survey against the list of facilities which have received a DRC conflict-free designation from the Conflict Free Smelter Program (“CFSP”).</w:t>
      </w: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support the industry associations, which administer independent, third-party smelter audit programs that we rely upon.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 information was deemed inconsistent, inaccurate, or incomplete.</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status of risk mitigation efforts was summarized and provided to Winnebago Industries’ Management.</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conflict minerals compliance results are reported annually with the SEC and are made publicly available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All products manufactured by Winnebago Industries are deemed to contain conflict minerals necessary to the products' functionality. We produce products that include motorhomes, transit buses, travel trailers and fifth wheel trailers as well as supporting RV products. Based on the surveys provided and notifications that our suppliers' diligence efforts were incomplete, we do not have sufficient information to conclusively determine all smelters/refiners or countries of origin of the conflict minerals. However, based on the data provided by the RCOI, this information has been listed in Annex I. The majority of our suppliers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43" w:right="239" w:bottom="1440" w:gutter="0" w:footer="0" w:header="0"/>
        </w:sectPr>
      </w:pPr>
    </w:p>
    <w:bookmarkStart w:id="3" w:name="page4"/>
    <w:bookmarkEnd w:id="3"/>
    <w:p>
      <w:pPr>
        <w:spacing w:after="0" w:line="260" w:lineRule="auto"/>
        <w:rPr>
          <w:sz w:val="20"/>
          <w:szCs w:val="20"/>
          <w:color w:val="auto"/>
        </w:rPr>
      </w:pPr>
      <w:r>
        <w:rPr>
          <w:rFonts w:ascii="Arial" w:cs="Arial" w:eastAsia="Arial" w:hAnsi="Arial"/>
          <w:sz w:val="16"/>
          <w:szCs w:val="16"/>
          <w:color w:val="auto"/>
        </w:rPr>
        <w:t>reported conflict minerals use at the company level, not at the product level. As such, we cannot definitively state whether these conflict minerals were included in the products provided to Winnebago, or further validate that these smelters or refiners exist in our supply chain.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1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There were numerous suppliers that did not provide smelters and refiners used and an additional group of other suppliers that did not provide a response to our survey. In our efforts to obtain timely and accurate information from our supply chain, we intend to execute the following:</w:t>
      </w:r>
    </w:p>
    <w:p>
      <w:pPr>
        <w:spacing w:after="0" w:line="16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assess the presence of conflict minerals in our supply chain.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Clearly communicate expectations with new and delinquent suppliers.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improve our risk mitigation strategy.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assess their supply chain risks.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provide complete and accurate information.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Encourage the implementation of third-party audits of smelters and refiners.</w:t>
      </w:r>
    </w:p>
    <w:p>
      <w:pPr>
        <w:spacing w:after="0" w:line="194" w:lineRule="exact"/>
        <w:rPr>
          <w:sz w:val="20"/>
          <w:szCs w:val="20"/>
          <w:color w:val="auto"/>
        </w:rPr>
      </w:pPr>
    </w:p>
    <w:p>
      <w:pPr>
        <w:ind w:left="80" w:right="26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better risk assessment at more detailed levels within our supply chain.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74" w:right="2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5"/>
        </w:trPr>
        <w:tc>
          <w:tcPr>
            <w:tcW w:w="1740" w:type="dxa"/>
            <w:vAlign w:val="bottom"/>
          </w:tcPr>
          <w:p>
            <w:pPr>
              <w:spacing w:after="0"/>
              <w:rPr>
                <w:sz w:val="18"/>
                <w:szCs w:val="18"/>
                <w:color w:val="auto"/>
              </w:rPr>
            </w:pPr>
          </w:p>
        </w:tc>
        <w:tc>
          <w:tcPr>
            <w:tcW w:w="7080" w:type="dxa"/>
            <w:vAlign w:val="bottom"/>
          </w:tcPr>
          <w:p>
            <w:pPr>
              <w:ind w:left="3640"/>
              <w:spacing w:after="0"/>
              <w:rPr>
                <w:sz w:val="20"/>
                <w:szCs w:val="20"/>
                <w:color w:val="auto"/>
              </w:rPr>
            </w:pPr>
            <w:r>
              <w:rPr>
                <w:rFonts w:ascii="Arial" w:cs="Arial" w:eastAsia="Arial" w:hAnsi="Arial"/>
                <w:sz w:val="16"/>
                <w:szCs w:val="16"/>
                <w:b w:val="1"/>
                <w:bCs w:val="1"/>
                <w:color w:val="auto"/>
              </w:rPr>
              <w:t>ANNEX I</w:t>
            </w:r>
          </w:p>
        </w:tc>
        <w:tc>
          <w:tcPr>
            <w:tcW w:w="2640" w:type="dxa"/>
            <w:vAlign w:val="bottom"/>
          </w:tcPr>
          <w:p>
            <w:pPr>
              <w:spacing w:after="0"/>
              <w:rPr>
                <w:sz w:val="18"/>
                <w:szCs w:val="18"/>
                <w:color w:val="auto"/>
              </w:rPr>
            </w:pPr>
          </w:p>
        </w:tc>
      </w:tr>
      <w:tr>
        <w:trPr>
          <w:trHeight w:val="128"/>
        </w:trPr>
        <w:tc>
          <w:tcPr>
            <w:tcW w:w="1740" w:type="dxa"/>
            <w:vAlign w:val="bottom"/>
            <w:tcBorders>
              <w:bottom w:val="single" w:sz="8" w:color="auto"/>
            </w:tcBorders>
          </w:tcPr>
          <w:p>
            <w:pPr>
              <w:spacing w:after="0"/>
              <w:rPr>
                <w:sz w:val="11"/>
                <w:szCs w:val="11"/>
                <w:color w:val="auto"/>
              </w:rPr>
            </w:pPr>
          </w:p>
        </w:tc>
        <w:tc>
          <w:tcPr>
            <w:tcW w:w="70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r>
      <w:tr>
        <w:trPr>
          <w:trHeight w:val="230"/>
        </w:trPr>
        <w:tc>
          <w:tcPr>
            <w:tcW w:w="1740" w:type="dxa"/>
            <w:vAlign w:val="bottom"/>
            <w:tcBorders>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Advanced Chemical Company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Aktyubinsk Copper Company TOO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Al Etihad Gold Refinery DMCC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Allgemeine Gold-und Silberscheideanstalt A.G.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AngloGold Ashanti Córrego do Sítio Mineração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Argor-Heraeus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Asahi Pretec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Asahi Refining Canada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Asahi Refining USA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Asaka Riken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Atasay Kuyumculuk Sanayi Ve Ticaret A.S.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Aurubis AG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Bauer Walser AG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Boliden AB</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SWEDEN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 Hafner GmbH + Co. KG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Caridad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Cendres + Métaux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Chimet S.p.A.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 National Gold Group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Chugai Mining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Codelco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CHILE</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Colt Refining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Conghua Tantalum and Niobium Smeltry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Daejin Indus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DaeryongENC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Do Sung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DODUCO GmbH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Dowa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Eco-System Recycling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Elemetal Refining, LLC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Emirates Gold DMCC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Faggi Enrico S.p.A.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ZIMBABWE</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Gansu Seemine Material Hi-Tech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Geib Refining Corporation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Heimerle + Meule GmbH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Heraeus Ltd Hong Kong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Heraeus Precious Metals GmbH &amp; Co. KG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440"/>
          </w:cols>
          <w:pgMar w:left="240" w:top="554"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54" w:right="21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Hwasung CJ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Inner Mongolia Qiankun Gold and Silver Refinery Share Company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Ishifuku Metal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Istanbul Gold Refinery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 Mint</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Copper Company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Rare Earth &amp; Rare Metals Tungsten Group Corp</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JSC Uralectromed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K.A Rasmussen as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NORWAY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Kaloti Precious Metals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Kazakhmys Smelting LLC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Kazzinc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Kennecott Utah Copper LLC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KGHM Polska MiedŸ Spó³ka Akcyjna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Kojima Chemicals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Metal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Zinc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Kyrgyzaltyn JSC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KYRGYZSTAN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L' azurde Company For Jewelry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SAUDI ARABIA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Lingbao Gold Company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LS- Nikko Copper 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Materion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Matsuda Sangyo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Metahub Industries Sdn. Bhd.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Metalor Technologies (Hong Kong)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SINGAPORE</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Metalor Technologies (Suzhou)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Metalor Technologies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Metalor USA Refining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METALÚRGICA MET-MEX PEÑOLES, S.A. DE C.V</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Mitsubishi Materials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Mitsui Mining &amp; Smelting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MMTC-PAMP India Pvt.,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Morris and Watson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NEW ZEALAND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Moscow Special Alloys Processing Plant</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Nihon Material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Ögussa Österreichische Gold- und Silber-Scheideanstalt GmbH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Ohura Precious Metal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OJSC Kolyma Refinery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OJSC Novosibirsk Refinery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PAMP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Pan Pacific Copper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687" w:right="21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Penglai Penggang Gold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Plansee SE Liezen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Aneka Tambang (Persero) Tbk</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Timah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PX Précinox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Rand Refinery (Pty)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Republic Metals Corporation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Royal Canadian Mint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SAAMP</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FRANCE</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Sabin Metal Corp.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Samduck Precious Metals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SAMWON Metals Corp.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SAXONIA Edelmetalle GmbH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Schone Edelmetaal B.V.</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SEMPSA Joyería Platería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SPAIN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Shandong Tarzan Bio-Gold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Shangdong Zhaojin Group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Sichuan Tianze Precious Metals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Singway Technology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So Accurate Group,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Sudan Gold Refinery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SUDAN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Sumitomo Metal Mining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Suzhou Xingrui Noble</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T.C.A S.p.A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Tanaka Kikinzoku Kogyo K.K.</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Tokuriki Honten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Tony Goetz NV</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Torecom</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Umicore Brasil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Umicore Precious Metals Thailand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Umicore SA Business Unit Precious Metals Refining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Precious Metal Refining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Valcambi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Western Australian Mint trading as The Perth Mint</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WIELAND Edelmetalle GmbH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Yamamoto Precious Metal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Yokohama Metal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Yunnan Copper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Gold</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Zijin Mining Group Co., Ltd. Gold Refinery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AMG Advanced Metallurgical Group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Avon Specialty Metals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Changsha South Tantalum Niobium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Conghua Tantalum and Niobium Smeltry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687" w:right="21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 Block Metals, LLC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Duoluoshan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E.S.R. Electronics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Exotech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F&amp;X Electro-Materials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FIR Metals &amp; Resource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Gannon &amp; Scott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Global Advanced Metals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Global Advanced Metals Aizu</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Global Advanced Metals Boyertown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Guangdong Zhiyuan New Material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Guizhou Zhenhua Xinyun Technology Ltd., Kaili branch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H.C. Starck GmbH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GmbH Goslar</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H.C. Starck GmbH Laufenburg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Group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H.C. Starck Hermsdorf GmbH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H.C. Starck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Smelting GmbH &amp; Co.KG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Hi-Temp Specialty Metals, 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Tuohong New Raw Material</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JiuJiang Tambre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Jiujiang Zhongao Tantalum &amp; Niobium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KEMET Blue Metals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KEMET Blue Powder</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King-Tan Tantalum Industry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LSM Brasil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Metallurgical Products India Pvt.,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Mineração Taboca 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Mitsui Mining &amp; Smelting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Molycorp Silmet A.S.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ESTONIA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Plansee SE Liezen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Plansee SE Reutte</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QuantumClean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Resind Indústria e Comércio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RFH Tantalum Smeltry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Shanghai Jiangxi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Solikamsk Magnesium Works OAO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Taki Chemicals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Tantalite Resources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Telex Metals</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Tranzact,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Ulba Metallurgical Plant JSC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KAZAKHSTAN</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687" w:right="21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XinXing HaoRong Electronic Material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Yichun Jin Yang Rare Metal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Tantalum</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Zhuzhou Cement Carbide</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Alpha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An Thai Minerals Company Limited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An Vinh Joint Stock Mineral Processing Company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Chenzhou Yunxiang Mining and Metallurgy Company Limited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 Rare Metal Materials Company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CNMC (Guangxi) PGMA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Cookson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Cooper Santa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Cooperativa Metalurgica de Rondônia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Ayi Jaya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CV DS Jaya Abadi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Dua Sekawan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CV Duta Putra Bangka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Gita Pesona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CV JusTindo</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Makmur Jaya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CV Nurjanah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Serumpun Sebalai</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CV Tiga Sekawan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CV United Smelting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Dowa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Elmet S.L.U. (Metallo Group)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SPAIN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EM Vinto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Estanho de Rondônia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Faggi Enrico S.p.A.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Feinhütte Halsbrücke GmbH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Fenix Metals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Geiju Non-Ferrous Metal Processing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Gejiu Fengming Metalurgy Chemical Plant</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Gejiu Kai Meng Industry and Trade LLC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Gejiu Yunxin Nonferrous Electrolysis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Gejiu Zili Mining And Metallurgy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Gold Bell Group</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Guanyang Guida Nonferrous Metal Smelting Plant</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HuiChang Hill Tin Industry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Huichang Jinshunda Tin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Indra Eramulti Logam,IMLI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Nanshan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Linwu Xianggui Ore Smelting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Liuzhou China Tin Group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Malaysia Smelting Corporation (MSC)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Melt Metais e Ligas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687" w:right="21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Metahub Industries Sdn. Bhd.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Metallic Resources 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Metallo-Chimique N.V.</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Mineração Taboca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Minmetals Ganzhou Tin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Minsur</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Nankang Nanshan Tin Manufactory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NGHE TIN NON-FERROUS METAL</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Novosibirsk Integrated Tin Works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O.M. Manufacturing Philippines, Inc.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Operaciones Metalurgical 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BOLIVIA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Phoenix Metal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RWANDA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Alam Lestari Kencana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Aries Kencana Sejahtera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Artha Cipta Langgeng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ATD Makmur Mandiri Jaya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Babel Inti Perkasa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Babel Surya Alam Lestari</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Bangka Kudai Tin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Bangka Prima Tin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Bangka Putra Karya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Bangka Timah Utama Sejahtera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Bangka Tin Industry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Belitung Industri Sejahtera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BilliTin Makmur Lestari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Bukit Timah</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Cipta Persada Mulia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Donna Kembara Jaya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DS Jaya Abadi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Eunindo Usaha Mandiri</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Fang Di MulTindo</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HANJAYA PERKASA METALS</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Inti Stania Prima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Justindo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Karimun Mining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Kijang Jaya Mandiri</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Koba Tin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Mitra Stania Prima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Panca Mega Persada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Pelat Timah Nusantara Tbk</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Prima Timah Utama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Rajwa International</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Refined Bangka Tin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Sariwiguna Binasentosa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Seirama Tin Investment</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Singkep Times Utama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Stanindo Inti Perkasa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Sukses Inti Makmur</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687" w:right="21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Sumber Jaya Indah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Supra Sukses Trinusa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Tambang Timah</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Timah (Persero) Tbk Mentok</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Timah Nusantara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Tinindo Inter Nusa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Tirus Putra Mandiri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Tommy Utama</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PT Wahana Perkit Jaya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PT Yinchendo Mining Industry</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Resind Indústria e Comércio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Rui Da Hung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TAIWAN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Soft Metais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Thaisarco</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Tuyen Quang Non-Ferrous Metals Joint Stock Company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VQB Mineral and Trading Group JSC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White Solder Metalurgia e Mineração Ltda.</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Yunnan Chengfeng Non-ferrous Metals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Tin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Yunnan Tin Company Limited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A.L.M.T. Corp.</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ACL Metais Eireli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Asia Tungsten Products Vietnam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Chenzhou Diamond Tungsten Products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 Minmetals Nonferrous Metals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Chongyi Zhangyuan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Dayu Jincheng Tungsten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Dayu Weiliang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Fujian Jinxin Tungsten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Ganxian Shirui New Material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Ganzhou Jiangwu Ferrotungsten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Ganzhou Non-Ferrous Metals Smelting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Ganzhou Seadragon W &amp; Mo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Ganzhou Sinda W&amp;Mo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Ganzhou Yatai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Global Tungsten &amp; Powders Corp.</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H.C. Starck GmbH Goslar</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H.C. Starck Smelting GmbH &amp; Co.KG</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Hunan Chenzhou Mining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Hunan Chuangda Vanadium Tungsten Co., Ltd. Wuji</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Hunan Chuangda Vanadium Tungsten Co., Ltd. Yanglin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Hydrometallurg, JSC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 New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Dayu Longxintai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Gan Bei Tungsten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687" w:right="21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740" w:type="dxa"/>
            <w:vAlign w:val="bottom"/>
            <w:tcBorders>
              <w:top w:val="single" w:sz="8" w:color="auto"/>
              <w:left w:val="single" w:sz="8" w:color="auto"/>
              <w:bottom w:val="single" w:sz="8" w:color="auto"/>
              <w:right w:val="single" w:sz="8" w:color="auto"/>
            </w:tcBorders>
            <w:shd w:val="clear" w:color="auto" w:fill="80C9FF"/>
          </w:tcPr>
          <w:p>
            <w:pPr>
              <w:ind w:left="40"/>
              <w:spacing w:after="0"/>
              <w:rPr>
                <w:sz w:val="20"/>
                <w:szCs w:val="20"/>
                <w:color w:val="auto"/>
              </w:rPr>
            </w:pPr>
            <w:r>
              <w:rPr>
                <w:rFonts w:ascii="Arial" w:cs="Arial" w:eastAsia="Arial" w:hAnsi="Arial"/>
                <w:sz w:val="16"/>
                <w:szCs w:val="16"/>
                <w:b w:val="1"/>
                <w:bCs w:val="1"/>
                <w:color w:val="auto"/>
              </w:rPr>
              <w:t>Metal</w:t>
            </w:r>
          </w:p>
        </w:tc>
        <w:tc>
          <w:tcPr>
            <w:tcW w:w="708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Name</w:t>
            </w:r>
          </w:p>
        </w:tc>
        <w:tc>
          <w:tcPr>
            <w:tcW w:w="2640" w:type="dxa"/>
            <w:vAlign w:val="bottom"/>
            <w:tcBorders>
              <w:top w:val="single" w:sz="8" w:color="auto"/>
              <w:bottom w:val="single" w:sz="8" w:color="auto"/>
              <w:right w:val="single" w:sz="8" w:color="auto"/>
            </w:tcBorders>
            <w:shd w:val="clear" w:color="auto" w:fill="80C9FF"/>
          </w:tcPr>
          <w:p>
            <w:pPr>
              <w:ind w:left="20"/>
              <w:spacing w:after="0"/>
              <w:rPr>
                <w:sz w:val="20"/>
                <w:szCs w:val="20"/>
                <w:color w:val="auto"/>
              </w:rPr>
            </w:pPr>
            <w:r>
              <w:rPr>
                <w:rFonts w:ascii="Arial" w:cs="Arial" w:eastAsia="Arial" w:hAnsi="Arial"/>
                <w:sz w:val="16"/>
                <w:szCs w:val="16"/>
                <w:b w:val="1"/>
                <w:bCs w:val="1"/>
                <w:color w:val="auto"/>
              </w:rPr>
              <w:t>Smelter Country</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Richsea New Materials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Jiangxi Xiushui Xianggan Nonferrous Metals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Jiangxi Yaosheng Tungsten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Kennametal Fallon</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Kennametal Huntsville</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Malipo Haiyu Tungsten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Moliren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Niagara Refining LLC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UNITED STATES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Nui Phao H.C. Starck Tungsten Chemicals Manufacturing LLC</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Philippine Chuangin Industrial Co., Inc.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Plansee SE Liezen</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Pobedit, JSC</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Sanher Tungsten Vietnam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South-East Nonferrous Metal Company Limited of Hengyang City</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Tejing (Vietnam) Tungsten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Wolfram Bergbau und Hütten AG</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Woltech Korea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Xiamen Tungsten (H.C.)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Xinfeng Huarui Tungsten &amp; Molybdenum New Material Co., Ltd.</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Xinhai Rendan Shaoguan Tungsten Co., Ltd.</w:t>
            </w:r>
          </w:p>
        </w:tc>
        <w:tc>
          <w:tcPr>
            <w:tcW w:w="264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74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Tungsten</w:t>
            </w:r>
          </w:p>
        </w:tc>
        <w:tc>
          <w:tcPr>
            <w:tcW w:w="70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Zhuzhou Cement Carbide</w:t>
            </w:r>
          </w:p>
        </w:tc>
        <w:tc>
          <w:tcPr>
            <w:tcW w:w="26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sectPr>
      <w:pgSz w:w="11900" w:h="16838" w:orient="portrait"/>
      <w:cols w:equalWidth="0" w:num="1">
        <w:col w:w="11440"/>
      </w:cols>
      <w:pgMar w:left="240" w:top="6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2019-12-05T13:06:41Z</dcterms:created>
  <dcterms:modified xsi:type="dcterms:W3CDTF">2019-12-05T13:06:41Z</dcterms:modified>
</cp:coreProperties>
</file>