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74"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50"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54" w:lineRule="exact"/>
        <w:rPr>
          <w:sz w:val="24"/>
          <w:szCs w:val="24"/>
          <w:color w:val="auto"/>
        </w:rPr>
      </w:pPr>
    </w:p>
    <w:p>
      <w:pPr>
        <w:ind w:right="2580" w:firstLine="355"/>
        <w:spacing w:after="0" w:line="368" w:lineRule="auto"/>
        <w:rPr>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November 25, 2023</w:t>
      </w:r>
    </w:p>
    <w:p>
      <w:pPr>
        <w:jc w:val="center"/>
        <w:ind w:right="60"/>
        <w:spacing w:after="0"/>
        <w:rPr>
          <w:sz w:val="20"/>
          <w:szCs w:val="20"/>
          <w:color w:val="auto"/>
        </w:rPr>
      </w:pPr>
      <w:r>
        <w:rPr>
          <w:rFonts w:ascii="Arial" w:cs="Arial" w:eastAsia="Arial" w:hAnsi="Arial"/>
          <w:sz w:val="16"/>
          <w:szCs w:val="16"/>
          <w:color w:val="auto"/>
        </w:rPr>
        <w:t>or</w:t>
      </w:r>
    </w:p>
    <w:p>
      <w:pPr>
        <w:spacing w:after="0" w:line="86" w:lineRule="exact"/>
        <w:rPr>
          <w:sz w:val="24"/>
          <w:szCs w:val="24"/>
          <w:color w:val="auto"/>
        </w:rPr>
      </w:pPr>
    </w:p>
    <w:p>
      <w:pPr>
        <w:ind w:left="280" w:right="2680" w:hanging="254"/>
        <w:spacing w:after="0" w:line="352" w:lineRule="auto"/>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jc w:val="center"/>
        <w:ind w:right="60"/>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72390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1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Minnesota</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Borders>
              <w:bottom w:val="single" w:sz="8" w:color="auto"/>
            </w:tcBorders>
            <w:gridSpan w:val="3"/>
          </w:tcPr>
          <w:p>
            <w:pPr>
              <w:jc w:val="right"/>
              <w:ind w:right="2000"/>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720" w:type="dxa"/>
            <w:vAlign w:val="bottom"/>
            <w:gridSpan w:val="5"/>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6"/>
                <w:szCs w:val="16"/>
                <w:color w:val="auto"/>
              </w:rPr>
              <w:t>(I.R.S. Employer Identification No.)</w:t>
            </w:r>
          </w:p>
        </w:tc>
      </w:tr>
      <w:tr>
        <w:trPr>
          <w:trHeight w:val="271"/>
        </w:trPr>
        <w:tc>
          <w:tcPr>
            <w:tcW w:w="1720" w:type="dxa"/>
            <w:vAlign w:val="bottom"/>
          </w:tcPr>
          <w:p>
            <w:pPr>
              <w:ind w:left="240"/>
              <w:spacing w:after="0"/>
              <w:rPr>
                <w:sz w:val="20"/>
                <w:szCs w:val="20"/>
                <w:color w:val="auto"/>
              </w:rPr>
            </w:pPr>
            <w:r>
              <w:rPr>
                <w:rFonts w:ascii="Arial" w:cs="Arial" w:eastAsia="Arial" w:hAnsi="Arial"/>
                <w:sz w:val="16"/>
                <w:szCs w:val="16"/>
                <w:b w:val="1"/>
                <w:bCs w:val="1"/>
                <w:color w:val="auto"/>
              </w:rPr>
              <w:t>13200 Pioneer Trail</w:t>
            </w:r>
          </w:p>
        </w:tc>
        <w:tc>
          <w:tcPr>
            <w:tcW w:w="220" w:type="dxa"/>
            <w:vAlign w:val="bottom"/>
          </w:tcPr>
          <w:p>
            <w:pPr>
              <w:spacing w:after="0"/>
              <w:rPr>
                <w:sz w:val="23"/>
                <w:szCs w:val="23"/>
                <w:color w:val="auto"/>
              </w:rPr>
            </w:pPr>
          </w:p>
        </w:tc>
        <w:tc>
          <w:tcPr>
            <w:tcW w:w="2380" w:type="dxa"/>
            <w:vAlign w:val="bottom"/>
          </w:tcPr>
          <w:p>
            <w:pPr>
              <w:ind w:left="500"/>
              <w:spacing w:after="0"/>
              <w:rPr>
                <w:sz w:val="20"/>
                <w:szCs w:val="20"/>
                <w:color w:val="auto"/>
              </w:rPr>
            </w:pPr>
            <w:r>
              <w:rPr>
                <w:rFonts w:ascii="Arial" w:cs="Arial" w:eastAsia="Arial" w:hAnsi="Arial"/>
                <w:sz w:val="16"/>
                <w:szCs w:val="16"/>
                <w:b w:val="1"/>
                <w:bCs w:val="1"/>
                <w:color w:val="auto"/>
              </w:rPr>
              <w:t>Eden Prairie</w:t>
            </w:r>
          </w:p>
        </w:tc>
        <w:tc>
          <w:tcPr>
            <w:tcW w:w="2100" w:type="dxa"/>
            <w:vAlign w:val="bottom"/>
            <w:gridSpan w:val="3"/>
          </w:tcPr>
          <w:p>
            <w:pPr>
              <w:jc w:val="right"/>
              <w:ind w:right="1220"/>
              <w:spacing w:after="0"/>
              <w:rPr>
                <w:sz w:val="20"/>
                <w:szCs w:val="20"/>
                <w:color w:val="auto"/>
              </w:rPr>
            </w:pPr>
            <w:r>
              <w:rPr>
                <w:rFonts w:ascii="Arial" w:cs="Arial" w:eastAsia="Arial" w:hAnsi="Arial"/>
                <w:sz w:val="16"/>
                <w:szCs w:val="16"/>
                <w:b w:val="1"/>
                <w:bCs w:val="1"/>
                <w:color w:val="auto"/>
              </w:rPr>
              <w:t>Minnesota</w:t>
            </w:r>
          </w:p>
        </w:tc>
        <w:tc>
          <w:tcPr>
            <w:tcW w:w="4840" w:type="dxa"/>
            <w:vAlign w:val="bottom"/>
            <w:gridSpan w:val="3"/>
          </w:tcPr>
          <w:p>
            <w:pPr>
              <w:jc w:val="right"/>
              <w:ind w:right="2200"/>
              <w:spacing w:after="0"/>
              <w:rPr>
                <w:sz w:val="20"/>
                <w:szCs w:val="20"/>
                <w:color w:val="auto"/>
              </w:rPr>
            </w:pPr>
            <w:r>
              <w:rPr>
                <w:rFonts w:ascii="Arial" w:cs="Arial" w:eastAsia="Arial" w:hAnsi="Arial"/>
                <w:sz w:val="16"/>
                <w:szCs w:val="16"/>
                <w:b w:val="1"/>
                <w:bCs w:val="1"/>
                <w:color w:val="auto"/>
              </w:rPr>
              <w:t>55347</w:t>
            </w:r>
          </w:p>
        </w:tc>
      </w:tr>
      <w:tr>
        <w:trPr>
          <w:trHeight w:val="208"/>
        </w:trPr>
        <w:tc>
          <w:tcPr>
            <w:tcW w:w="4320" w:type="dxa"/>
            <w:vAlign w:val="bottom"/>
            <w:tcBorders>
              <w:top w:val="single" w:sz="8" w:color="auto"/>
            </w:tcBorders>
            <w:gridSpan w:val="3"/>
          </w:tcPr>
          <w:p>
            <w:pPr>
              <w:jc w:val="center"/>
              <w:ind w:left="1319"/>
              <w:spacing w:after="0"/>
              <w:rPr>
                <w:sz w:val="20"/>
                <w:szCs w:val="20"/>
                <w:color w:val="auto"/>
              </w:rPr>
            </w:pPr>
            <w:r>
              <w:rPr>
                <w:rFonts w:ascii="Arial" w:cs="Arial" w:eastAsia="Arial" w:hAnsi="Arial"/>
                <w:sz w:val="16"/>
                <w:szCs w:val="16"/>
                <w:color w:val="auto"/>
              </w:rPr>
              <w:t>(Address of principal executive offices)</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(Zip Code)</w:t>
            </w:r>
          </w:p>
        </w:tc>
      </w:tr>
      <w:tr>
        <w:trPr>
          <w:trHeight w:val="271"/>
        </w:trPr>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952-829-8600</w:t>
            </w:r>
          </w:p>
        </w:tc>
        <w:tc>
          <w:tcPr>
            <w:tcW w:w="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208"/>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60" w:type="dxa"/>
            <w:vAlign w:val="bottom"/>
            <w:gridSpan w:val="6"/>
          </w:tcPr>
          <w:p>
            <w:pPr>
              <w:jc w:val="center"/>
              <w:ind w:left="219"/>
              <w:spacing w:after="0"/>
              <w:rPr>
                <w:sz w:val="20"/>
                <w:szCs w:val="20"/>
                <w:color w:val="auto"/>
              </w:rPr>
            </w:pPr>
            <w:r>
              <w:rPr>
                <w:rFonts w:ascii="Arial" w:cs="Arial" w:eastAsia="Arial" w:hAnsi="Arial"/>
                <w:sz w:val="16"/>
                <w:szCs w:val="16"/>
                <w:color w:val="auto"/>
              </w:rPr>
              <w:t>(Registrant's telephone number, including area code)</w:t>
            </w:r>
          </w:p>
        </w:tc>
        <w:tc>
          <w:tcPr>
            <w:tcW w:w="2260" w:type="dxa"/>
            <w:vAlign w:val="bottom"/>
          </w:tcPr>
          <w:p>
            <w:pPr>
              <w:spacing w:after="0"/>
              <w:rPr>
                <w:sz w:val="18"/>
                <w:szCs w:val="18"/>
                <w:color w:val="auto"/>
              </w:rPr>
            </w:pPr>
          </w:p>
        </w:tc>
      </w:tr>
      <w:tr>
        <w:trPr>
          <w:trHeight w:val="512"/>
        </w:trPr>
        <w:tc>
          <w:tcPr>
            <w:tcW w:w="43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
        </w:trPr>
        <w:tc>
          <w:tcPr>
            <w:tcW w:w="17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gridSpan w:val="2"/>
          </w:tcPr>
          <w:p>
            <w:pPr>
              <w:spacing w:after="0"/>
              <w:rPr>
                <w:sz w:val="2"/>
                <w:szCs w:val="2"/>
                <w:color w:val="auto"/>
              </w:rPr>
            </w:pPr>
          </w:p>
        </w:tc>
      </w:tr>
      <w:tr>
        <w:trPr>
          <w:trHeight w:val="209"/>
        </w:trPr>
        <w:tc>
          <w:tcPr>
            <w:tcW w:w="1720" w:type="dxa"/>
            <w:vAlign w:val="bottom"/>
            <w:tcBorders>
              <w:left w:val="single" w:sz="8" w:color="auto"/>
              <w:bottom w:val="single" w:sz="8" w:color="auto"/>
            </w:tcBorders>
          </w:tcPr>
          <w:p>
            <w:pPr>
              <w:spacing w:after="0"/>
              <w:rPr>
                <w:sz w:val="18"/>
                <w:szCs w:val="18"/>
                <w:color w:val="auto"/>
              </w:rPr>
            </w:pPr>
          </w:p>
        </w:tc>
        <w:tc>
          <w:tcPr>
            <w:tcW w:w="2600" w:type="dxa"/>
            <w:vAlign w:val="bottom"/>
            <w:tcBorders>
              <w:bottom w:val="single" w:sz="8" w:color="auto"/>
            </w:tcBorders>
            <w:gridSpan w:val="2"/>
          </w:tcPr>
          <w:p>
            <w:pPr>
              <w:jc w:val="center"/>
              <w:ind w:right="1179"/>
              <w:spacing w:after="0"/>
              <w:rPr>
                <w:sz w:val="20"/>
                <w:szCs w:val="20"/>
                <w:color w:val="auto"/>
              </w:rPr>
            </w:pPr>
            <w:r>
              <w:rPr>
                <w:rFonts w:ascii="Arial" w:cs="Arial" w:eastAsia="Arial" w:hAnsi="Arial"/>
                <w:sz w:val="16"/>
                <w:szCs w:val="16"/>
                <w:color w:val="auto"/>
              </w:rPr>
              <w:t>Title of each class</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320" w:type="dxa"/>
            <w:vAlign w:val="bottom"/>
            <w:tcBorders>
              <w:left w:val="single" w:sz="8" w:color="auto"/>
              <w:bottom w:val="single" w:sz="8" w:color="auto"/>
            </w:tcBorders>
            <w:gridSpan w:val="3"/>
          </w:tcPr>
          <w:p>
            <w:pPr>
              <w:jc w:val="center"/>
              <w:ind w:left="379"/>
              <w:spacing w:after="0"/>
              <w:rPr>
                <w:sz w:val="20"/>
                <w:szCs w:val="20"/>
                <w:color w:val="auto"/>
              </w:rPr>
            </w:pPr>
            <w:r>
              <w:rPr>
                <w:rFonts w:ascii="Arial" w:cs="Arial" w:eastAsia="Arial" w:hAnsi="Arial"/>
                <w:sz w:val="16"/>
                <w:szCs w:val="16"/>
                <w:color w:val="auto"/>
              </w:rPr>
              <w:t>Common Stock, $0.50 par value per share</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WGO</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4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24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5" w:lineRule="exact"/>
        <w:rPr>
          <w:sz w:val="24"/>
          <w:szCs w:val="24"/>
          <w:color w:val="auto"/>
        </w:rPr>
      </w:pPr>
    </w:p>
    <w:p>
      <w:pPr>
        <w:spacing w:after="0" w:line="184" w:lineRule="exact"/>
        <w:tabs>
          <w:tab w:leader="none" w:pos="2020" w:val="left"/>
          <w:tab w:leader="none" w:pos="3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p>
    <w:p>
      <w:pPr>
        <w:spacing w:after="0" w:line="53" w:lineRule="exact"/>
        <w:rPr>
          <w:sz w:val="24"/>
          <w:szCs w:val="24"/>
          <w:color w:val="auto"/>
        </w:rPr>
      </w:pPr>
    </w:p>
    <w:p>
      <w:pPr>
        <w:ind w:left="180"/>
        <w:spacing w:after="0" w:line="184" w:lineRule="exact"/>
        <w:tabs>
          <w:tab w:leader="none" w:pos="276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87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As of December 13, 2023, there were 29,237,891 shares of common stock, par value $0.50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 w:name="page2"/>
    <w:bookmarkEnd w:id="1"/>
    <w:p>
      <w:pPr>
        <w:jc w:val="center"/>
        <w:ind w:left="1780" w:right="1560"/>
        <w:spacing w:after="0" w:line="264" w:lineRule="auto"/>
        <w:rPr>
          <w:sz w:val="20"/>
          <w:szCs w:val="20"/>
          <w:color w:val="auto"/>
        </w:rPr>
      </w:pPr>
      <w:r>
        <w:rPr>
          <w:rFonts w:ascii="Arial" w:cs="Arial" w:eastAsia="Arial" w:hAnsi="Arial"/>
          <w:sz w:val="22"/>
          <w:szCs w:val="22"/>
          <w:b w:val="1"/>
          <w:bCs w:val="1"/>
          <w:color w:val="auto"/>
        </w:rPr>
        <w:t>Winnebago Industries, Inc. Quarterly Report on Form 10-Q For the Quarterly Period Ended November 25, 2023</w:t>
      </w:r>
    </w:p>
    <w:p>
      <w:pPr>
        <w:spacing w:after="0" w:line="191"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Table of Contents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gridSpan w:val="4"/>
          </w:tcPr>
          <w:p>
            <w:pPr>
              <w:spacing w:after="0"/>
              <w:rPr>
                <w:sz w:val="20"/>
                <w:szCs w:val="20"/>
                <w:color w:val="auto"/>
              </w:rPr>
            </w:pPr>
            <w:r>
              <w:rPr>
                <w:rFonts w:ascii="Arial" w:cs="Arial" w:eastAsia="Arial" w:hAnsi="Arial"/>
                <w:sz w:val="16"/>
                <w:szCs w:val="16"/>
                <w:b w:val="1"/>
                <w:bCs w:val="1"/>
                <w:color w:val="0000FF"/>
              </w:rPr>
              <w:t>PART I.</w:t>
            </w:r>
          </w:p>
        </w:tc>
        <w:tc>
          <w:tcPr>
            <w:tcW w:w="6480" w:type="dxa"/>
            <w:vAlign w:val="bottom"/>
            <w:gridSpan w:val="17"/>
          </w:tcPr>
          <w:p>
            <w:pPr>
              <w:ind w:left="100"/>
              <w:spacing w:after="0"/>
              <w:rPr>
                <w:sz w:val="20"/>
                <w:szCs w:val="20"/>
                <w:color w:val="auto"/>
              </w:rPr>
            </w:pPr>
            <w:r>
              <w:rPr>
                <w:rFonts w:ascii="Arial" w:cs="Arial" w:eastAsia="Arial" w:hAnsi="Arial"/>
                <w:sz w:val="16"/>
                <w:szCs w:val="16"/>
                <w:b w:val="1"/>
                <w:bCs w:val="1"/>
                <w:color w:val="0000FF"/>
              </w:rPr>
              <w:t>FINANCIAL INFORMATION</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20"/>
                <w:szCs w:val="20"/>
                <w:color w:val="auto"/>
              </w:rPr>
            </w:pPr>
            <w:r>
              <w:rPr>
                <w:rFonts w:ascii="Arial" w:cs="Arial" w:eastAsia="Arial" w:hAnsi="Arial"/>
                <w:sz w:val="16"/>
                <w:szCs w:val="16"/>
                <w:color w:val="0000FF"/>
                <w:w w:val="93"/>
              </w:rPr>
              <w:t>Item 1.</w:t>
            </w:r>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6380" w:type="dxa"/>
            <w:vAlign w:val="bottom"/>
            <w:gridSpan w:val="16"/>
          </w:tcPr>
          <w:p>
            <w:pPr>
              <w:spacing w:after="0"/>
              <w:rPr>
                <w:sz w:val="20"/>
                <w:szCs w:val="20"/>
                <w:color w:val="auto"/>
              </w:rPr>
            </w:pPr>
            <w:r>
              <w:rPr>
                <w:rFonts w:ascii="Arial" w:cs="Arial" w:eastAsia="Arial" w:hAnsi="Arial"/>
                <w:sz w:val="16"/>
                <w:szCs w:val="16"/>
                <w:color w:val="0000FF"/>
              </w:rPr>
              <w:t>Consolidated Financial Statements</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9"/>
          </w:tcPr>
          <w:p>
            <w:pPr>
              <w:spacing w:after="0"/>
              <w:rPr>
                <w:sz w:val="20"/>
                <w:szCs w:val="20"/>
                <w:color w:val="auto"/>
              </w:rPr>
            </w:pPr>
            <w:r>
              <w:rPr>
                <w:rFonts w:ascii="Arial" w:cs="Arial" w:eastAsia="Arial" w:hAnsi="Arial"/>
                <w:sz w:val="16"/>
                <w:szCs w:val="16"/>
                <w:color w:val="0000FF"/>
                <w:w w:val="99"/>
              </w:rPr>
              <w:t>Consolidated Statements of Income</w:t>
            </w:r>
          </w:p>
        </w:tc>
        <w:tc>
          <w:tcPr>
            <w:tcW w:w="3600" w:type="dxa"/>
            <w:vAlign w:val="bottom"/>
            <w:gridSpan w:val="6"/>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7"/>
          </w:tcPr>
          <w:p>
            <w:pPr>
              <w:spacing w:after="0"/>
              <w:rPr>
                <w:sz w:val="20"/>
                <w:szCs w:val="20"/>
                <w:color w:val="auto"/>
              </w:rPr>
            </w:pPr>
            <w:r>
              <w:rPr>
                <w:rFonts w:ascii="Arial" w:cs="Arial" w:eastAsia="Arial" w:hAnsi="Arial"/>
                <w:sz w:val="16"/>
                <w:szCs w:val="16"/>
                <w:color w:val="0000FF"/>
                <w:w w:val="99"/>
              </w:rPr>
              <w:t>Consolidated Balance Sheets</w:t>
            </w:r>
          </w:p>
        </w:tc>
        <w:tc>
          <w:tcPr>
            <w:tcW w:w="440" w:type="dxa"/>
            <w:vAlign w:val="bottom"/>
            <w:gridSpan w:val="2"/>
          </w:tcPr>
          <w:p>
            <w:pPr>
              <w:spacing w:after="0"/>
              <w:rPr>
                <w:sz w:val="17"/>
                <w:szCs w:val="17"/>
                <w:color w:val="auto"/>
              </w:rPr>
            </w:pPr>
          </w:p>
        </w:tc>
        <w:tc>
          <w:tcPr>
            <w:tcW w:w="3600" w:type="dxa"/>
            <w:vAlign w:val="bottom"/>
            <w:gridSpan w:val="6"/>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4</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10"/>
          </w:tcPr>
          <w:p>
            <w:pPr>
              <w:spacing w:after="0"/>
              <w:rPr>
                <w:sz w:val="20"/>
                <w:szCs w:val="20"/>
                <w:color w:val="auto"/>
              </w:rPr>
            </w:pPr>
            <w:r>
              <w:rPr>
                <w:rFonts w:ascii="Arial" w:cs="Arial" w:eastAsia="Arial" w:hAnsi="Arial"/>
                <w:sz w:val="16"/>
                <w:szCs w:val="16"/>
                <w:color w:val="0000FF"/>
                <w:w w:val="99"/>
              </w:rPr>
              <w:t>Consolidated Statements of Cash Flows</w:t>
            </w:r>
          </w:p>
        </w:tc>
        <w:tc>
          <w:tcPr>
            <w:tcW w:w="3280" w:type="dxa"/>
            <w:vAlign w:val="bottom"/>
            <w:gridSpan w:val="5"/>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140" w:type="dxa"/>
            <w:vAlign w:val="bottom"/>
            <w:gridSpan w:val="15"/>
          </w:tcPr>
          <w:p>
            <w:pPr>
              <w:spacing w:after="0"/>
              <w:rPr>
                <w:sz w:val="20"/>
                <w:szCs w:val="20"/>
                <w:color w:val="auto"/>
              </w:rPr>
            </w:pPr>
            <w:r>
              <w:rPr>
                <w:rFonts w:ascii="Arial" w:cs="Arial" w:eastAsia="Arial" w:hAnsi="Arial"/>
                <w:sz w:val="16"/>
                <w:szCs w:val="16"/>
                <w:color w:val="0000FF"/>
              </w:rPr>
              <w:t>Consolidated Statements of Changes in Shareholders' Equity</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7</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gridSpan w:val="14"/>
          </w:tcPr>
          <w:p>
            <w:pPr>
              <w:spacing w:after="0"/>
              <w:rPr>
                <w:sz w:val="20"/>
                <w:szCs w:val="20"/>
                <w:color w:val="auto"/>
              </w:rPr>
            </w:pPr>
            <w:r>
              <w:rPr>
                <w:rFonts w:ascii="Arial" w:cs="Arial" w:eastAsia="Arial" w:hAnsi="Arial"/>
                <w:sz w:val="16"/>
                <w:szCs w:val="16"/>
                <w:color w:val="0000FF"/>
              </w:rPr>
              <w:t>Notes to Consolidated Financial Statements</w:t>
            </w:r>
          </w:p>
        </w:tc>
        <w:tc>
          <w:tcPr>
            <w:tcW w:w="1780" w:type="dxa"/>
            <w:vAlign w:val="bottom"/>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8</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FF"/>
            </w:tcBorders>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6480" w:type="dxa"/>
            <w:vAlign w:val="bottom"/>
            <w:gridSpan w:val="17"/>
          </w:tcPr>
          <w:p>
            <w:pPr>
              <w:ind w:left="10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20</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7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6480" w:type="dxa"/>
            <w:vAlign w:val="bottom"/>
            <w:gridSpan w:val="17"/>
          </w:tcPr>
          <w:p>
            <w:pPr>
              <w:ind w:left="100"/>
              <w:spacing w:after="0"/>
              <w:rPr>
                <w:sz w:val="20"/>
                <w:szCs w:val="20"/>
                <w:color w:val="auto"/>
              </w:rPr>
            </w:pPr>
            <w:r>
              <w:rPr>
                <w:rFonts w:ascii="Arial" w:cs="Arial" w:eastAsia="Arial" w:hAnsi="Arial"/>
                <w:sz w:val="16"/>
                <w:szCs w:val="16"/>
                <w:color w:val="0000FF"/>
              </w:rPr>
              <w:t>Quantitative and Qualitative Disclosures About Market Risk</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27</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7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6480" w:type="dxa"/>
            <w:vAlign w:val="bottom"/>
            <w:gridSpan w:val="17"/>
          </w:tcPr>
          <w:p>
            <w:pPr>
              <w:ind w:left="100"/>
              <w:spacing w:after="0"/>
              <w:rPr>
                <w:sz w:val="20"/>
                <w:szCs w:val="20"/>
                <w:color w:val="auto"/>
              </w:rPr>
            </w:pPr>
            <w:r>
              <w:rPr>
                <w:rFonts w:ascii="Arial" w:cs="Arial" w:eastAsia="Arial" w:hAnsi="Arial"/>
                <w:sz w:val="16"/>
                <w:szCs w:val="16"/>
                <w:color w:val="0000FF"/>
              </w:rPr>
              <w:t>Controls and Procedures</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27</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7"/>
              </w:rPr>
              <w:t>PART II.</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rPr>
              <w:t>OTHER INFORMATION</w:t>
            </w:r>
          </w:p>
        </w:tc>
        <w:tc>
          <w:tcPr>
            <w:tcW w:w="4580" w:type="dxa"/>
            <w:vAlign w:val="bottom"/>
            <w:gridSpan w:val="10"/>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28</w:t>
            </w:r>
          </w:p>
        </w:tc>
      </w:tr>
      <w:tr>
        <w:trPr>
          <w:trHeight w:val="196"/>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1.</w:t>
            </w:r>
          </w:p>
        </w:tc>
        <w:tc>
          <w:tcPr>
            <w:tcW w:w="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Legal Proceedings</w:t>
            </w:r>
          </w:p>
        </w:tc>
        <w:tc>
          <w:tcPr>
            <w:tcW w:w="5020" w:type="dxa"/>
            <w:vAlign w:val="bottom"/>
            <w:gridSpan w:val="11"/>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28</w:t>
            </w:r>
          </w:p>
        </w:tc>
      </w:tr>
      <w:tr>
        <w:trPr>
          <w:trHeight w:val="196"/>
        </w:trPr>
        <w:tc>
          <w:tcPr>
            <w:tcW w:w="720" w:type="dxa"/>
            <w:vAlign w:val="bottom"/>
            <w:gridSpan w:val="4"/>
          </w:tcPr>
          <w:p>
            <w:pPr>
              <w:spacing w:after="0"/>
              <w:rPr>
                <w:sz w:val="20"/>
                <w:szCs w:val="20"/>
                <w:color w:val="auto"/>
              </w:rPr>
            </w:pPr>
            <w:r>
              <w:rPr>
                <w:rFonts w:ascii="Arial" w:cs="Arial" w:eastAsia="Arial" w:hAnsi="Arial"/>
                <w:sz w:val="16"/>
                <w:szCs w:val="16"/>
                <w:color w:val="0000FF"/>
              </w:rPr>
              <w:t>Item 1A.</w:t>
            </w:r>
          </w:p>
        </w:tc>
        <w:tc>
          <w:tcPr>
            <w:tcW w:w="6480" w:type="dxa"/>
            <w:vAlign w:val="bottom"/>
            <w:gridSpan w:val="17"/>
          </w:tcPr>
          <w:p>
            <w:pPr>
              <w:ind w:left="100"/>
              <w:spacing w:after="0"/>
              <w:rPr>
                <w:sz w:val="20"/>
                <w:szCs w:val="20"/>
                <w:color w:val="auto"/>
              </w:rPr>
            </w:pPr>
            <w:r>
              <w:rPr>
                <w:rFonts w:ascii="Arial" w:cs="Arial" w:eastAsia="Arial" w:hAnsi="Arial"/>
                <w:sz w:val="16"/>
                <w:szCs w:val="16"/>
                <w:color w:val="0000FF"/>
              </w:rPr>
              <w:t>Risk Factors</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28</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1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380" w:type="dxa"/>
            <w:vAlign w:val="bottom"/>
            <w:gridSpan w:val="16"/>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28</w:t>
            </w:r>
          </w:p>
        </w:tc>
      </w:tr>
      <w:tr>
        <w:trPr>
          <w:trHeight w:val="20"/>
        </w:trPr>
        <w:tc>
          <w:tcPr>
            <w:tcW w:w="50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120" w:type="dxa"/>
            <w:vAlign w:val="bottom"/>
            <w:gridSpan w:val="10"/>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7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6480" w:type="dxa"/>
            <w:vAlign w:val="bottom"/>
            <w:gridSpan w:val="17"/>
          </w:tcPr>
          <w:p>
            <w:pPr>
              <w:ind w:left="100"/>
              <w:spacing w:after="0"/>
              <w:rPr>
                <w:sz w:val="20"/>
                <w:szCs w:val="20"/>
                <w:color w:val="auto"/>
              </w:rPr>
            </w:pPr>
            <w:r>
              <w:rPr>
                <w:rFonts w:ascii="Arial" w:cs="Arial" w:eastAsia="Arial" w:hAnsi="Arial"/>
                <w:sz w:val="16"/>
                <w:szCs w:val="16"/>
                <w:color w:val="0000FF"/>
              </w:rPr>
              <w:t>Other Information</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28</w:t>
            </w:r>
          </w:p>
        </w:tc>
      </w:tr>
      <w:tr>
        <w:trPr>
          <w:trHeight w:val="20"/>
        </w:trPr>
        <w:tc>
          <w:tcPr>
            <w:tcW w:w="50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120" w:type="dxa"/>
            <w:vAlign w:val="bottom"/>
            <w:gridSpan w:val="1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7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6480" w:type="dxa"/>
            <w:vAlign w:val="bottom"/>
            <w:gridSpan w:val="17"/>
          </w:tcPr>
          <w:p>
            <w:pPr>
              <w:ind w:left="100"/>
              <w:spacing w:after="0"/>
              <w:rPr>
                <w:sz w:val="20"/>
                <w:szCs w:val="20"/>
                <w:color w:val="auto"/>
              </w:rPr>
            </w:pPr>
            <w:r>
              <w:rPr>
                <w:rFonts w:ascii="Arial" w:cs="Arial" w:eastAsia="Arial" w:hAnsi="Arial"/>
                <w:sz w:val="16"/>
                <w:szCs w:val="16"/>
                <w:color w:val="0000FF"/>
              </w:rPr>
              <w:t>Exhibits</w:t>
            </w:r>
          </w:p>
        </w:tc>
        <w:tc>
          <w:tcPr>
            <w:tcW w:w="2580" w:type="dxa"/>
            <w:vAlign w:val="bottom"/>
            <w:gridSpan w:val="3"/>
          </w:tcPr>
          <w:p>
            <w:pPr>
              <w:jc w:val="right"/>
              <w:spacing w:after="0"/>
              <w:rPr>
                <w:sz w:val="20"/>
                <w:szCs w:val="20"/>
                <w:color w:val="auto"/>
              </w:rPr>
            </w:pPr>
            <w:r>
              <w:rPr>
                <w:rFonts w:ascii="Arial" w:cs="Arial" w:eastAsia="Arial" w:hAnsi="Arial"/>
                <w:sz w:val="16"/>
                <w:szCs w:val="16"/>
                <w:color w:val="0000FF"/>
              </w:rPr>
              <w:t>29</w:t>
            </w:r>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0" w:type="dxa"/>
            <w:vAlign w:val="bottom"/>
            <w:gridSpan w:val="1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10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w w:val="97"/>
              </w:rPr>
              <w:t>SIGNATURES</w:t>
            </w:r>
          </w:p>
        </w:tc>
        <w:tc>
          <w:tcPr>
            <w:tcW w:w="6140" w:type="dxa"/>
            <w:vAlign w:val="bottom"/>
            <w:gridSpan w:val="15"/>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1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918"/>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Item 1. Consolidated Financial Statements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2"/>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12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12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November 25,</w:t>
            </w:r>
          </w:p>
        </w:tc>
        <w:tc>
          <w:tcPr>
            <w:tcW w:w="200" w:type="dxa"/>
            <w:vAlign w:val="bottom"/>
          </w:tcPr>
          <w:p>
            <w:pPr>
              <w:spacing w:after="0"/>
              <w:rPr>
                <w:sz w:val="13"/>
                <w:szCs w:val="13"/>
                <w:color w:val="auto"/>
              </w:rPr>
            </w:pPr>
          </w:p>
        </w:tc>
        <w:tc>
          <w:tcPr>
            <w:tcW w:w="144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November 26,</w:t>
            </w:r>
          </w:p>
        </w:tc>
      </w:tr>
      <w:tr>
        <w:trPr>
          <w:trHeight w:val="216"/>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952.2</w:t>
            </w:r>
          </w:p>
        </w:tc>
      </w:tr>
      <w:tr>
        <w:trPr>
          <w:trHeight w:val="215"/>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791.8</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w:t>
            </w:r>
          </w:p>
        </w:tc>
      </w:tr>
      <w:tr>
        <w:trPr>
          <w:trHeight w:val="209"/>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70.7</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79.7</w:t>
            </w: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10"/>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Earnings per common share:</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15"/>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57"/>
        </w:trPr>
        <w:tc>
          <w:tcPr>
            <w:tcW w:w="7860" w:type="dxa"/>
            <w:vAlign w:val="bottom"/>
            <w:gridSpan w:val="2"/>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15"/>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35.5</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884"/>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26"/>
        </w:trPr>
        <w:tc>
          <w:tcPr>
            <w:tcW w:w="12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November 25,</w:t>
            </w:r>
          </w:p>
        </w:tc>
        <w:tc>
          <w:tcPr>
            <w:tcW w:w="260" w:type="dxa"/>
            <w:vAlign w:val="bottom"/>
          </w:tcPr>
          <w:p>
            <w:pPr>
              <w:spacing w:after="0"/>
              <w:rPr>
                <w:sz w:val="24"/>
                <w:szCs w:val="24"/>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26,</w:t>
            </w:r>
          </w:p>
        </w:tc>
      </w:tr>
      <w:tr>
        <w:trPr>
          <w:trHeight w:val="216"/>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09"/>
        </w:trPr>
        <w:tc>
          <w:tcPr>
            <w:tcW w:w="126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rPr>
              <w:t>(Unaudited)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309.9</w:t>
            </w: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Receivables, less allowance for credit losses ($0.4 and $0.4, respectively)</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Inventories,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470.6</w:t>
            </w: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09"/>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996.7</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w:t>
            </w: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514.5</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w:t>
            </w: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Investment in life insurance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15"/>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35"/>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2,432.4</w:t>
            </w:r>
          </w:p>
        </w:tc>
      </w:tr>
      <w:tr>
        <w:trPr>
          <w:trHeight w:val="20"/>
        </w:trPr>
        <w:tc>
          <w:tcPr>
            <w:tcW w:w="78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15"/>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Product warranties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97.8</w:t>
            </w: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Self-insurance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5"/>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Promotional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interest and dividends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5"/>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r>
      <w:tr>
        <w:trPr>
          <w:trHeight w:val="21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w:t>
            </w:r>
          </w:p>
        </w:tc>
      </w:tr>
      <w:tr>
        <w:trPr>
          <w:trHeight w:val="195"/>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Non-current liabilities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592.4</w:t>
            </w: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Deferred income tax liabilities,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Unrecognized tax benefits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5"/>
        </w:trPr>
        <w:tc>
          <w:tcPr>
            <w:tcW w:w="7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1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1,064.3</w:t>
            </w:r>
          </w:p>
        </w:tc>
      </w:tr>
      <w:tr>
        <w:trPr>
          <w:trHeight w:val="19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Contingent liabilities and commitments (Note 11)</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Preferred stock, par value $0.01: 10.0 shares authorized; zero shares issued and outstanding</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par value $0.50: 120.0 shares authorized; 51.8 shares issued</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197.7</w:t>
            </w: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1,747.8</w:t>
            </w: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Treasury stock, at cost: 22.6 and 22.0 shares,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(602.9)</w:t>
            </w:r>
          </w:p>
        </w:tc>
      </w:tr>
      <w:tr>
        <w:trPr>
          <w:trHeight w:val="210"/>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1,354.0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1,368.1</w:t>
            </w:r>
          </w:p>
        </w:tc>
      </w:tr>
      <w:tr>
        <w:trPr>
          <w:trHeight w:val="235"/>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2,368.9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2,432.4</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884"/>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12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12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November 25,</w:t>
            </w:r>
          </w:p>
        </w:tc>
        <w:tc>
          <w:tcPr>
            <w:tcW w:w="200" w:type="dxa"/>
            <w:vAlign w:val="bottom"/>
          </w:tcPr>
          <w:p>
            <w:pPr>
              <w:spacing w:after="0"/>
              <w:rPr>
                <w:sz w:val="13"/>
                <w:szCs w:val="13"/>
                <w:color w:val="auto"/>
              </w:rPr>
            </w:pPr>
          </w:p>
        </w:tc>
        <w:tc>
          <w:tcPr>
            <w:tcW w:w="144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November 26,</w:t>
            </w:r>
          </w:p>
        </w:tc>
      </w:tr>
      <w:tr>
        <w:trPr>
          <w:trHeight w:val="216"/>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Last in, first-out ("LIFO") expense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Contingent consideration fair value adjustment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Receivables, net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15"/>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Inventories,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(81.5)</w:t>
            </w:r>
          </w:p>
        </w:tc>
      </w:tr>
      <w:tr>
        <w:trPr>
          <w:trHeight w:val="21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 and unrecognized tax benefits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5"/>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29.9</w:t>
            </w:r>
          </w:p>
        </w:tc>
      </w:tr>
      <w:tr>
        <w:trPr>
          <w:trHeight w:val="183"/>
        </w:trPr>
        <w:tc>
          <w:tcPr>
            <w:tcW w:w="12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w:t>
            </w:r>
          </w:p>
        </w:tc>
      </w:tr>
      <w:tr>
        <w:trPr>
          <w:trHeight w:val="183"/>
        </w:trPr>
        <w:tc>
          <w:tcPr>
            <w:tcW w:w="1260" w:type="dxa"/>
            <w:vAlign w:val="bottom"/>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6"/>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1,475.0</w:t>
            </w: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Repayments on long-term debt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(1,475.0)</w:t>
            </w: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w:t>
            </w:r>
          </w:p>
        </w:tc>
      </w:tr>
      <w:tr>
        <w:trPr>
          <w:trHeight w:val="237"/>
        </w:trPr>
        <w:tc>
          <w:tcPr>
            <w:tcW w:w="1260" w:type="dxa"/>
            <w:vAlign w:val="bottom"/>
            <w:shd w:val="clear" w:color="auto" w:fill="CCEEFF"/>
          </w:tcPr>
          <w:p>
            <w:pPr>
              <w:spacing w:after="0"/>
              <w:rPr>
                <w:sz w:val="20"/>
                <w:szCs w:val="20"/>
                <w:color w:val="auto"/>
              </w:rPr>
            </w:pPr>
          </w:p>
        </w:tc>
        <w:tc>
          <w:tcPr>
            <w:tcW w:w="6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color w:val="auto"/>
        </w:rPr>
        <w:t>Net decrease in cash and cash equivalents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6"/>
        </w:trPr>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r>
      <w:tr>
        <w:trPr>
          <w:trHeight w:val="210"/>
        </w:trPr>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271.7</w:t>
            </w:r>
          </w:p>
        </w:tc>
      </w:tr>
      <w:tr>
        <w:trPr>
          <w:trHeight w:val="21"/>
        </w:trPr>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56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736"/>
        </w:trPr>
        <w:tc>
          <w:tcPr>
            <w:tcW w:w="1260" w:type="dxa"/>
            <w:vAlign w:val="bottom"/>
            <w:tcBorders>
              <w:top w:val="single" w:sz="8" w:color="0000FF"/>
            </w:tcBorders>
          </w:tcPr>
          <w:p>
            <w:pPr>
              <w:spacing w:after="0"/>
              <w:rPr>
                <w:sz w:val="24"/>
                <w:szCs w:val="24"/>
                <w:color w:val="auto"/>
              </w:rPr>
            </w:pPr>
          </w:p>
        </w:tc>
        <w:tc>
          <w:tcPr>
            <w:tcW w:w="43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5620" w:type="dxa"/>
            <w:vAlign w:val="bottom"/>
            <w:gridSpan w:val="2"/>
          </w:tcPr>
          <w:p>
            <w:pPr>
              <w:ind w:left="140"/>
              <w:spacing w:after="0"/>
              <w:rPr>
                <w:sz w:val="20"/>
                <w:szCs w:val="20"/>
                <w:color w:val="auto"/>
              </w:rPr>
            </w:pPr>
            <w:r>
              <w:rPr>
                <w:rFonts w:ascii="Arial" w:cs="Arial" w:eastAsia="Arial" w:hAnsi="Arial"/>
                <w:sz w:val="16"/>
                <w:szCs w:val="16"/>
                <w:color w:val="auto"/>
              </w:rPr>
              <w:t>Income taxes paid (received), net</w:t>
            </w:r>
          </w:p>
        </w:tc>
        <w:tc>
          <w:tcPr>
            <w:tcW w:w="29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479"/>
              <w:spacing w:after="0"/>
              <w:rPr>
                <w:sz w:val="20"/>
                <w:szCs w:val="20"/>
                <w:color w:val="auto"/>
              </w:rPr>
            </w:pPr>
            <w:r>
              <w:rPr>
                <w:rFonts w:ascii="Arial" w:cs="Arial" w:eastAsia="Arial" w:hAnsi="Arial"/>
                <w:sz w:val="16"/>
                <w:szCs w:val="16"/>
                <w:color w:val="auto"/>
              </w:rPr>
              <w:t>(1.3)</w:t>
            </w:r>
          </w:p>
        </w:tc>
      </w:tr>
      <w:tr>
        <w:trPr>
          <w:trHeight w:val="217"/>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29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98"/>
              </w:rPr>
              <w:t>2.3</w:t>
            </w:r>
          </w:p>
        </w:tc>
      </w:tr>
      <w:tr>
        <w:trPr>
          <w:trHeight w:val="256"/>
        </w:trPr>
        <w:tc>
          <w:tcPr>
            <w:tcW w:w="5620" w:type="dxa"/>
            <w:vAlign w:val="bottom"/>
            <w:gridSpan w:val="2"/>
          </w:tcPr>
          <w:p>
            <w:pPr>
              <w:spacing w:after="0"/>
              <w:rPr>
                <w:sz w:val="22"/>
                <w:szCs w:val="22"/>
                <w:color w:val="auto"/>
              </w:rPr>
            </w:pPr>
          </w:p>
        </w:tc>
        <w:tc>
          <w:tcPr>
            <w:tcW w:w="2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5620" w:type="dxa"/>
            <w:vAlign w:val="bottom"/>
            <w:gridSpan w:val="2"/>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9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479"/>
              <w:spacing w:after="0"/>
              <w:rPr>
                <w:sz w:val="20"/>
                <w:szCs w:val="20"/>
                <w:color w:val="auto"/>
              </w:rPr>
            </w:pPr>
            <w:r>
              <w:rPr>
                <w:rFonts w:ascii="Arial" w:cs="Arial" w:eastAsia="Arial" w:hAnsi="Arial"/>
                <w:sz w:val="16"/>
                <w:szCs w:val="16"/>
                <w:color w:val="auto"/>
                <w:w w:val="98"/>
              </w:rPr>
              <w:t>4.1</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November 25, 2023</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26, 2023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(602.9)</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1,368.1</w:t>
            </w: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(44.2)</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4"/>
                <w:szCs w:val="14"/>
                <w:color w:val="auto"/>
              </w:rPr>
              <w:t>Balances at November 25, 2023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(641.5)</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1,354.0</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gridSpan w:val="5"/>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November 26, 2022</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27, 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1,263.0</w:t>
            </w: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line="153" w:lineRule="exact"/>
              <w:rPr>
                <w:sz w:val="20"/>
                <w:szCs w:val="20"/>
                <w:color w:val="auto"/>
              </w:rPr>
            </w:pPr>
            <w:r>
              <w:rPr>
                <w:rFonts w:ascii="Arial" w:cs="Arial" w:eastAsia="Arial" w:hAnsi="Arial"/>
                <w:sz w:val="14"/>
                <w:szCs w:val="14"/>
                <w:color w:val="auto"/>
              </w:rPr>
              <w:t>Adoption of Accounting Standards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(62.0)</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160" w:type="dxa"/>
            <w:vAlign w:val="bottom"/>
          </w:tcPr>
          <w:p>
            <w:pPr>
              <w:spacing w:after="0"/>
              <w:rPr>
                <w:sz w:val="13"/>
                <w:szCs w:val="13"/>
                <w:color w:val="auto"/>
              </w:rPr>
            </w:pPr>
          </w:p>
        </w:tc>
        <w:tc>
          <w:tcPr>
            <w:tcW w:w="1300" w:type="dxa"/>
            <w:vAlign w:val="bottom"/>
            <w:vMerge w:val="restart"/>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5"/>
        </w:trPr>
        <w:tc>
          <w:tcPr>
            <w:tcW w:w="2680" w:type="dxa"/>
            <w:vAlign w:val="bottom"/>
          </w:tcPr>
          <w:p>
            <w:pPr>
              <w:ind w:left="140"/>
              <w:spacing w:after="0"/>
              <w:rPr>
                <w:sz w:val="20"/>
                <w:szCs w:val="20"/>
                <w:color w:val="auto"/>
              </w:rPr>
            </w:pPr>
            <w:r>
              <w:rPr>
                <w:rFonts w:ascii="Arial" w:cs="Arial" w:eastAsia="Arial" w:hAnsi="Arial"/>
                <w:sz w:val="14"/>
                <w:szCs w:val="14"/>
                <w:color w:val="auto"/>
              </w:rPr>
              <w:t>Update (ASU) 2020-06</w:t>
            </w: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line="153"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300" w:type="dxa"/>
            <w:vAlign w:val="bottom"/>
            <w:vMerge w:val="restart"/>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6.0</w:t>
            </w:r>
          </w:p>
        </w:tc>
        <w:tc>
          <w:tcPr>
            <w:tcW w:w="3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5"/>
        </w:trPr>
        <w:tc>
          <w:tcPr>
            <w:tcW w:w="2680" w:type="dxa"/>
            <w:vAlign w:val="bottom"/>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9"/>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225"/>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November 26,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(0.5)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(554.7)</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1,288.6</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amounts are in millions, except share and per share data, unless otherwise designated)</w:t>
      </w: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24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 owned subsidiaries. Intercompany account balances and transactions have been eliminated in consolidation.</w:t>
      </w:r>
    </w:p>
    <w:p>
      <w:pPr>
        <w:spacing w:after="0" w:line="196"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use of the terms "Winnebago Industries," "Winnebago," "we," "our," and "us" in this Quarterly Report on Form 10-Q, unless the context otherwise requires, refers to Winnebago Industries, Inc. and its wholly owned subsidiaries.</w:t>
      </w:r>
    </w:p>
    <w:p>
      <w:pPr>
        <w:spacing w:after="0" w:line="19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spacing w:after="0" w:line="21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consolidated financial statements included in this Quarterly Report on Form 10-Q should be read in conjunction with the audited consolidated financial statements and notes thereto included in our Annual Report on Form 10-K for the fiscal year ended August 26, 2023 filed with the SEC. Interim results of operations are not necessarily indicative of the results to be expected for the full fiscal year ending August 31, 2024.</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Comprehensive income represents the change in stockholders’ equity from transactions and other events and circumstances from sources other than shareholders. As of November 25, 2023 and November 26, 2022, the difference between comprehensive income and net income was not material.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2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 preparing the accompanying unaudited consolidated financial statements, we have evaluated subsequent events for potential recognition and disclosure through the date of this filing noting no material subsequent events except as disclosed in Note 13.</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2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 xml:space="preserve">In November 2023, the Financial Accounting Standards Board ("FASB") issued ASU 2023-07, </w:t>
      </w:r>
      <w:r>
        <w:rPr>
          <w:rFonts w:ascii="Arial" w:cs="Arial" w:eastAsia="Arial" w:hAnsi="Arial"/>
          <w:sz w:val="16"/>
          <w:szCs w:val="16"/>
          <w:i w:val="1"/>
          <w:iCs w:val="1"/>
          <w:color w:val="auto"/>
        </w:rPr>
        <w:t>Segment Reporting (Topic 280): Improvements to Reportable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Segment Disclosures </w:t>
      </w:r>
      <w:r>
        <w:rPr>
          <w:rFonts w:ascii="Arial" w:cs="Arial" w:eastAsia="Arial" w:hAnsi="Arial"/>
          <w:sz w:val="16"/>
          <w:szCs w:val="16"/>
          <w:color w:val="auto"/>
        </w:rPr>
        <w:t>which requires incremental disclosures about significant segment expenses regularly provided to the Chief Operating Decision Maker.</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guidance is effective for annual reporting periods beginning after December 15, 2023, and interim periods within fiscal years beginning after December 15, 2024. We are currently evaluating the impact of the standard on our consolidated financial statements and related disclosures.</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Lithionics Battery, LLC</w:t>
      </w:r>
    </w:p>
    <w:p>
      <w:pPr>
        <w:spacing w:after="0" w:line="113"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On April 28, 2023, we purchased 100% of the equity interests of Lithionics Battery, LLC and Lithionics LLC (collectively, "Lithionics"), a premier lithium-ion battery solutions provider to the recreational equipment and specialty vehicle markets. Pro forma results of operations for this acquisition have not been presented as the impact on our consolidated financial statements was not material.</w:t>
      </w:r>
    </w:p>
    <w:p>
      <w:pPr>
        <w:spacing w:after="0" w:line="191"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Total transaction costs related to the Lithionics acquisition of $3.1 million were expensed during the third quarter of Fiscal 2023. Transaction costs are included in selling, general and administrative expenses in the accompanying Consolidated Statements of Income.</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Business Segments</w:t>
      </w:r>
    </w:p>
    <w:p>
      <w:pPr>
        <w:spacing w:after="0" w:line="248"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have eight operating segments: 1) Grand Design towables, 2) Winnebago towables, 3) Winnebago motorhomes, 4) Newmar motorhomes, 5) Chris-Craft marine, 6) Barletta marine, 7) Winnebago specialty vehicles, and 8) Lithionics. Financial performance is evaluated based on each operating segment's Adjusted Earnings Before Interest, Taxes, Depreciation and Amortization ("EBITDA"), as defined below, which excludes certain corporate administration expenses and non-operating income and expense.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three reportable segments are: Towable RV (an aggregation of the Grand Design towables and the Winnebago towables operating segments); Motorhome RV (an aggregation of the Winnebago motorhomes and Newmar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motorhome chassis, along with other related manufactured products and services. Marine is comprised of products that include boats, along with other related manufactured products and services.</w:t>
      </w:r>
    </w:p>
    <w:p>
      <w:pPr>
        <w:spacing w:after="0" w:line="203"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Corporate / All Other category includes the Winnebago specialty vehicles and Lithionics operating segments as well as certain corporate administration expenses related to the oversight of the enterprise, such as corporate leadership and administration costs.</w:t>
      </w:r>
    </w:p>
    <w:p>
      <w:pPr>
        <w:spacing w:after="0" w:line="168"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in the Notes to Consolidated Financial Statements included in Item 8 of Part II of our Annual Report on Form 10-K for the fiscal year ended August 26, 2023.</w:t>
      </w:r>
    </w:p>
    <w:p>
      <w:pPr>
        <w:spacing w:after="0" w:line="203"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We monitor and evaluate operating performance of our reportable segments based on Adjusted EBITDA. We believe disclosing Adjusted EBITDA is useful to securities analysts, investors and other interested parties when evaluating companies in our industries.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costs, contingent consideration fair value adjustment, and non-operating income or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20"/>
                <w:szCs w:val="20"/>
                <w:color w:val="auto"/>
              </w:rPr>
            </w:pPr>
            <w:r>
              <w:rPr>
                <w:rFonts w:ascii="Arial" w:cs="Arial" w:eastAsia="Arial" w:hAnsi="Arial"/>
                <w:sz w:val="16"/>
                <w:szCs w:val="16"/>
                <w:color w:val="auto"/>
              </w:rPr>
              <w:t>Financial information by reportable segment is as follows: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1"/>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November 25,</w:t>
            </w:r>
          </w:p>
        </w:tc>
        <w:tc>
          <w:tcPr>
            <w:tcW w:w="200" w:type="dxa"/>
            <w:vAlign w:val="bottom"/>
          </w:tcPr>
          <w:p>
            <w:pPr>
              <w:spacing w:after="0"/>
              <w:rPr>
                <w:sz w:val="13"/>
                <w:szCs w:val="13"/>
                <w:color w:val="auto"/>
              </w:rPr>
            </w:pPr>
          </w:p>
        </w:tc>
        <w:tc>
          <w:tcPr>
            <w:tcW w:w="144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November 26,</w:t>
            </w:r>
          </w:p>
        </w:tc>
      </w:tr>
      <w:tr>
        <w:trPr>
          <w:trHeight w:val="216"/>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Towable RV</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330.8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347.3</w:t>
            </w: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Marine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131.4</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0"/>
        </w:trPr>
        <w:tc>
          <w:tcPr>
            <w:tcW w:w="7860" w:type="dxa"/>
            <w:vAlign w:val="bottom"/>
          </w:tcPr>
          <w:p>
            <w:pPr>
              <w:ind w:left="140"/>
              <w:spacing w:after="0"/>
              <w:rPr>
                <w:sz w:val="20"/>
                <w:szCs w:val="20"/>
                <w:color w:val="auto"/>
              </w:rPr>
            </w:pPr>
            <w:r>
              <w:rPr>
                <w:rFonts w:ascii="Arial" w:cs="Arial" w:eastAsia="Arial" w:hAnsi="Arial"/>
                <w:sz w:val="16"/>
                <w:szCs w:val="16"/>
                <w:color w:val="auto"/>
              </w:rPr>
              <w:t>Consolidated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5"/>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Towable RV</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Motorhome RV</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Marine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35"/>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Towable RV</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Marine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7860" w:type="dxa"/>
            <w:vAlign w:val="bottom"/>
          </w:tcPr>
          <w:p>
            <w:pPr>
              <w:ind w:left="140"/>
              <w:spacing w:after="0"/>
              <w:rPr>
                <w:sz w:val="20"/>
                <w:szCs w:val="20"/>
                <w:color w:val="auto"/>
              </w:rPr>
            </w:pPr>
            <w:r>
              <w:rPr>
                <w:rFonts w:ascii="Arial" w:cs="Arial" w:eastAsia="Arial" w:hAnsi="Arial"/>
                <w:sz w:val="16"/>
                <w:szCs w:val="16"/>
                <w:color w:val="auto"/>
              </w:rPr>
              <w:t>Consolidated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70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1"/>
        </w:trPr>
        <w:tc>
          <w:tcPr>
            <w:tcW w:w="1260" w:type="dxa"/>
            <w:vAlign w:val="bottom"/>
            <w:tcBorders>
              <w:top w:val="single" w:sz="8" w:color="0000FF"/>
            </w:tcBorders>
          </w:tcPr>
          <w:p>
            <w:pPr>
              <w:spacing w:after="0"/>
              <w:rPr>
                <w:sz w:val="24"/>
                <w:szCs w:val="24"/>
                <w:color w:val="auto"/>
              </w:rPr>
            </w:pPr>
          </w:p>
        </w:tc>
        <w:tc>
          <w:tcPr>
            <w:tcW w:w="5740" w:type="dxa"/>
            <w:vAlign w:val="bottom"/>
          </w:tcPr>
          <w:p>
            <w:pPr>
              <w:spacing w:after="0"/>
              <w:rPr>
                <w:sz w:val="24"/>
                <w:szCs w:val="24"/>
                <w:color w:val="auto"/>
              </w:rPr>
            </w:pPr>
          </w:p>
        </w:tc>
        <w:tc>
          <w:tcPr>
            <w:tcW w:w="206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November 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August 26,</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Towable RV</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759.3</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751.2</w:t>
            </w:r>
          </w:p>
        </w:tc>
        <w:tc>
          <w:tcPr>
            <w:tcW w:w="0" w:type="dxa"/>
            <w:vAlign w:val="bottom"/>
          </w:tcPr>
          <w:p>
            <w:pPr>
              <w:spacing w:after="0"/>
              <w:rPr>
                <w:sz w:val="1"/>
                <w:szCs w:val="1"/>
                <w:color w:val="auto"/>
              </w:rPr>
            </w:pP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802.2</w:t>
            </w:r>
          </w:p>
        </w:tc>
        <w:tc>
          <w:tcPr>
            <w:tcW w:w="0" w:type="dxa"/>
            <w:vAlign w:val="bottom"/>
          </w:tcPr>
          <w:p>
            <w:pPr>
              <w:spacing w:after="0"/>
              <w:rPr>
                <w:sz w:val="1"/>
                <w:szCs w:val="1"/>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Marine</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426.9</w:t>
            </w:r>
          </w:p>
        </w:tc>
        <w:tc>
          <w:tcPr>
            <w:tcW w:w="0" w:type="dxa"/>
            <w:vAlign w:val="bottom"/>
          </w:tcPr>
          <w:p>
            <w:pPr>
              <w:spacing w:after="0"/>
              <w:rPr>
                <w:sz w:val="1"/>
                <w:szCs w:val="1"/>
                <w:color w:val="auto"/>
              </w:rPr>
            </w:pP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0" w:type="dxa"/>
            <w:vAlign w:val="bottom"/>
          </w:tcPr>
          <w:p>
            <w:pPr>
              <w:spacing w:after="0"/>
              <w:rPr>
                <w:sz w:val="1"/>
                <w:szCs w:val="1"/>
                <w:color w:val="auto"/>
              </w:rPr>
            </w:pPr>
          </w:p>
        </w:tc>
      </w:tr>
      <w:tr>
        <w:trPr>
          <w:trHeight w:val="210"/>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Consolidated</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2,432.4</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6"/>
                <w:szCs w:val="16"/>
                <w:color w:val="auto"/>
              </w:rPr>
              <w:t>Reconciliation of net income to consolidated Adjusted EBITDA is as follows:</w:t>
            </w: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8"/>
        </w:trPr>
        <w:tc>
          <w:tcPr>
            <w:tcW w:w="70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8"/>
                <w:szCs w:val="18"/>
                <w:color w:val="auto"/>
              </w:rPr>
            </w:pPr>
          </w:p>
        </w:tc>
        <w:tc>
          <w:tcPr>
            <w:tcW w:w="1740" w:type="dxa"/>
            <w:vAlign w:val="bottom"/>
            <w:gridSpan w:val="5"/>
          </w:tcPr>
          <w:p>
            <w:pPr>
              <w:ind w:left="80"/>
              <w:spacing w:after="0"/>
              <w:rPr>
                <w:sz w:val="20"/>
                <w:szCs w:val="20"/>
                <w:color w:val="auto"/>
              </w:rPr>
            </w:pPr>
            <w:r>
              <w:rPr>
                <w:rFonts w:ascii="Arial" w:cs="Arial" w:eastAsia="Arial" w:hAnsi="Arial"/>
                <w:sz w:val="16"/>
                <w:szCs w:val="16"/>
                <w:b w:val="1"/>
                <w:bCs w:val="1"/>
                <w:color w:val="auto"/>
              </w:rPr>
              <w:t>November 25, 2023</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26, 2022</w:t>
            </w:r>
          </w:p>
        </w:tc>
        <w:tc>
          <w:tcPr>
            <w:tcW w:w="0" w:type="dxa"/>
            <w:vAlign w:val="bottom"/>
          </w:tcPr>
          <w:p>
            <w:pPr>
              <w:spacing w:after="0"/>
              <w:rPr>
                <w:sz w:val="1"/>
                <w:szCs w:val="1"/>
                <w:color w:val="auto"/>
              </w:rPr>
            </w:pPr>
          </w:p>
        </w:tc>
      </w:tr>
      <w:tr>
        <w:trPr>
          <w:trHeight w:val="209"/>
        </w:trPr>
        <w:tc>
          <w:tcPr>
            <w:tcW w:w="7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340" w:type="dxa"/>
            <w:vAlign w:val="bottom"/>
            <w:tcBorders>
              <w:top w:val="single" w:sz="8" w:color="auto"/>
            </w:tcBorders>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Depreciation</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8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EBITDA</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8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Adjusted EBITDA</w:t>
            </w:r>
          </w:p>
        </w:tc>
        <w:tc>
          <w:tcPr>
            <w:tcW w:w="8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4.</w:t>
        <w:tab/>
        <w:t>Investments and Fair Value Measurements</w:t>
      </w:r>
    </w:p>
    <w:p>
      <w:pPr>
        <w:spacing w:after="0" w:line="16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48" w:lineRule="exact"/>
        <w:rPr>
          <w:sz w:val="20"/>
          <w:szCs w:val="20"/>
          <w:color w:val="auto"/>
        </w:rPr>
      </w:pPr>
    </w:p>
    <w:p>
      <w:pPr>
        <w:ind w:left="660" w:right="440"/>
        <w:spacing w:after="0" w:line="286"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96" w:lineRule="exact"/>
        <w:rPr>
          <w:sz w:val="20"/>
          <w:szCs w:val="20"/>
          <w:color w:val="auto"/>
        </w:rPr>
      </w:pPr>
    </w:p>
    <w:p>
      <w:pPr>
        <w:ind w:left="660" w:right="300"/>
        <w:spacing w:after="0" w:line="286"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444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6160" w:type="dxa"/>
            <w:vAlign w:val="bottom"/>
            <w:gridSpan w:val="6"/>
          </w:tcPr>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520" w:type="dxa"/>
            <w:vAlign w:val="bottom"/>
            <w:gridSpan w:val="7"/>
          </w:tcPr>
          <w:p>
            <w:pPr>
              <w:spacing w:after="0"/>
              <w:rPr>
                <w:sz w:val="20"/>
                <w:szCs w:val="20"/>
                <w:color w:val="auto"/>
              </w:rPr>
            </w:pPr>
            <w:r>
              <w:rPr>
                <w:rFonts w:ascii="Arial" w:cs="Arial" w:eastAsia="Arial" w:hAnsi="Arial"/>
                <w:sz w:val="16"/>
                <w:szCs w:val="16"/>
                <w:color w:val="auto"/>
              </w:rPr>
              <w:t>Financial assets and liabilities measured at fair value on a recurring basis are as follows: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Fair Value at</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rPr>
              <w:t>November 25,</w:t>
            </w:r>
          </w:p>
        </w:tc>
        <w:tc>
          <w:tcPr>
            <w:tcW w:w="360" w:type="dxa"/>
            <w:vAlign w:val="bottom"/>
          </w:tcPr>
          <w:p>
            <w:pPr>
              <w:spacing w:after="0"/>
              <w:rPr>
                <w:sz w:val="12"/>
                <w:szCs w:val="12"/>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2"/>
                <w:szCs w:val="12"/>
                <w:color w:val="auto"/>
              </w:rPr>
            </w:pPr>
          </w:p>
        </w:tc>
        <w:tc>
          <w:tcPr>
            <w:tcW w:w="140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auto"/>
            </w:tcBorders>
            <w:shd w:val="clear" w:color="auto" w:fill="CCEEFF"/>
          </w:tcPr>
          <w:p>
            <w:pPr>
              <w:spacing w:after="0"/>
              <w:rPr>
                <w:sz w:val="18"/>
                <w:szCs w:val="18"/>
                <w:color w:val="auto"/>
              </w:rPr>
            </w:pPr>
          </w:p>
        </w:tc>
        <w:tc>
          <w:tcPr>
            <w:tcW w:w="4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3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Contingent consideration</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Earnout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Total liabilities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Fair Value at</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rPr>
              <w:t>August 26,</w:t>
            </w:r>
          </w:p>
        </w:tc>
        <w:tc>
          <w:tcPr>
            <w:tcW w:w="360" w:type="dxa"/>
            <w:vAlign w:val="bottom"/>
          </w:tcPr>
          <w:p>
            <w:pPr>
              <w:spacing w:after="0"/>
              <w:rPr>
                <w:sz w:val="12"/>
                <w:szCs w:val="12"/>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2"/>
                <w:szCs w:val="12"/>
                <w:color w:val="auto"/>
              </w:rPr>
            </w:pPr>
          </w:p>
        </w:tc>
        <w:tc>
          <w:tcPr>
            <w:tcW w:w="140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tcPr>
          <w:p>
            <w:pPr>
              <w:ind w:left="2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gridSpan w:val="2"/>
          </w:tcPr>
          <w:p>
            <w:pPr>
              <w:ind w:left="10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3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gridSpan w:val="2"/>
          </w:tcPr>
          <w:p>
            <w:pPr>
              <w:ind w:left="20"/>
              <w:spacing w:after="0"/>
              <w:rPr>
                <w:sz w:val="20"/>
                <w:szCs w:val="20"/>
                <w:color w:val="auto"/>
              </w:rPr>
            </w:pPr>
            <w:r>
              <w:rPr>
                <w:rFonts w:ascii="Arial" w:cs="Arial" w:eastAsia="Arial" w:hAnsi="Arial"/>
                <w:sz w:val="16"/>
                <w:szCs w:val="16"/>
                <w:color w:val="auto"/>
              </w:rPr>
              <w:t>Contingent consideration</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Earnout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gridSpan w:val="2"/>
          </w:tcPr>
          <w:p>
            <w:pPr>
              <w:ind w:left="20"/>
              <w:spacing w:after="0"/>
              <w:rPr>
                <w:sz w:val="20"/>
                <w:szCs w:val="20"/>
                <w:color w:val="auto"/>
              </w:rPr>
            </w:pPr>
            <w:r>
              <w:rPr>
                <w:rFonts w:ascii="Arial" w:cs="Arial" w:eastAsia="Arial" w:hAnsi="Arial"/>
                <w:sz w:val="16"/>
                <w:szCs w:val="16"/>
                <w:color w:val="auto"/>
              </w:rPr>
              <w:t>Total liabilities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gridSpan w:val="2"/>
          </w:tcPr>
          <w:p>
            <w:pPr>
              <w:ind w:left="10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111"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These securities, used to fund the Executive Deferred Compensation Plan, are classified as Level 1 as they are traded in an active market for which closing stock prices are readily available. Refer to Note 11 in the Notes to Consolidated Financial Statements included in Item 8 of Part II of our Annual Report on Form 10-K for the fiscal year ended August 26, 2023 for additional information regarding these plans.</w:t>
      </w:r>
    </w:p>
    <w:p>
      <w:pPr>
        <w:spacing w:after="0" w:line="19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proportion of the assets that will fund the deferred compensation payments within a year are included in prepaid expenses and other current assets on the Consolidated Balance Sheets. The remaining assets are classified as non-current and are included in other assets on the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111"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Contingent consideration represents the earnout liability related to the Barletta acquisition and is valued using a probability-weighted scenario analysis of projected gross profit results and discounted at a risk-free rate. The contingent consideration is classified as Level 3. Actual gross profit results may differ significantly from those used in the estimate above, which may affect future payments. Changes in future payments will be reflected in future operating results as they occur. As of November 25, 2023 and August 26, 2023, the entire earnout liability was included in other current liabilities on the Consolidated Balance Sheets. Refer to Note 2 in the Notes to Consolidated Financial Statements included in Item 8 of Part II of our Annual Report on Form 10-K for the fiscal year ended August 26, 2023 for additional information regarding the contingent consideration earnout provisions.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beginning and ending balances of the contingent consideration: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November 25,</w:t>
            </w:r>
          </w:p>
        </w:tc>
        <w:tc>
          <w:tcPr>
            <w:tcW w:w="200" w:type="dxa"/>
            <w:vAlign w:val="bottom"/>
          </w:tcPr>
          <w:p>
            <w:pPr>
              <w:spacing w:after="0"/>
              <w:rPr>
                <w:sz w:val="13"/>
                <w:szCs w:val="13"/>
                <w:color w:val="auto"/>
              </w:rPr>
            </w:pPr>
          </w:p>
        </w:tc>
        <w:tc>
          <w:tcPr>
            <w:tcW w:w="144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November 26,</w:t>
            </w:r>
          </w:p>
        </w:tc>
      </w:tr>
      <w:tr>
        <w:trPr>
          <w:trHeight w:val="216"/>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fair value - contingent consideration</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1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Fair value adjustments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fair value - contingent consideration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Certain financial instruments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three months ended November 25, 2023 or November 26, 2022.</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27"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and other payables. If these instruments were measured at fair value in the financial statements, they would be classified as Level 1 in the fair value hierarchy.</w:t>
      </w:r>
    </w:p>
    <w:p>
      <w:pPr>
        <w:spacing w:after="0" w:line="19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Long-term debt is recorded at amortized cost but measured at fair value for disclosure purposes. The fair value of our long-term debt was determined using current quoted prices in active markets for our publicly traded debt obligations, which is classified as Level 1 in the fair value hierarchy. See Note 9 in the Notes to Consolidated Financial Statements included in Item 1 of Part I of this Quarterly Report on Form 10-Q for the fair value of our long-term debt.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00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000" w:type="dxa"/>
            <w:vAlign w:val="bottom"/>
          </w:tcPr>
          <w:p>
            <w:pPr>
              <w:spacing w:after="0"/>
              <w:rPr>
                <w:sz w:val="16"/>
                <w:szCs w:val="16"/>
                <w:color w:val="auto"/>
              </w:rPr>
            </w:pPr>
          </w:p>
        </w:tc>
        <w:tc>
          <w:tcPr>
            <w:tcW w:w="1580" w:type="dxa"/>
            <w:vAlign w:val="bottom"/>
          </w:tcPr>
          <w:p>
            <w:pPr>
              <w:jc w:val="center"/>
              <w:ind w:left="399"/>
              <w:spacing w:after="0"/>
              <w:rPr>
                <w:sz w:val="20"/>
                <w:szCs w:val="20"/>
                <w:color w:val="auto"/>
              </w:rPr>
            </w:pPr>
            <w:r>
              <w:rPr>
                <w:rFonts w:ascii="Arial" w:cs="Arial" w:eastAsia="Arial" w:hAnsi="Arial"/>
                <w:sz w:val="16"/>
                <w:szCs w:val="16"/>
                <w:b w:val="1"/>
                <w:bCs w:val="1"/>
                <w:color w:val="auto"/>
              </w:rPr>
              <w:t>November 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jc w:val="center"/>
              <w:ind w:right="279"/>
              <w:spacing w:after="0"/>
              <w:rPr>
                <w:sz w:val="20"/>
                <w:szCs w:val="20"/>
                <w:color w:val="auto"/>
              </w:rPr>
            </w:pPr>
            <w:r>
              <w:rPr>
                <w:rFonts w:ascii="Arial" w:cs="Arial" w:eastAsia="Arial" w:hAnsi="Arial"/>
                <w:sz w:val="16"/>
                <w:szCs w:val="16"/>
                <w:b w:val="1"/>
                <w:bCs w:val="1"/>
                <w:color w:val="auto"/>
              </w:rPr>
              <w:t>August 26,</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58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145.7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5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332.3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r>
        <w:trPr>
          <w:trHeight w:val="209"/>
        </w:trPr>
        <w:tc>
          <w:tcPr>
            <w:tcW w:w="7000" w:type="dxa"/>
            <w:vAlign w:val="bottom"/>
          </w:tcPr>
          <w:p>
            <w:pPr>
              <w:ind w:left="140"/>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542.0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518.5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Excess of First-in, first-out ("FIFO") over LIFO cost</w:t>
            </w:r>
          </w:p>
        </w:tc>
        <w:tc>
          <w:tcPr>
            <w:tcW w:w="15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0"/>
        </w:trPr>
        <w:tc>
          <w:tcPr>
            <w:tcW w:w="700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158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494.0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70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000" w:type="dxa"/>
            <w:vAlign w:val="bottom"/>
          </w:tcPr>
          <w:p>
            <w:pPr>
              <w:spacing w:after="0"/>
              <w:rPr>
                <w:sz w:val="15"/>
                <w:szCs w:val="15"/>
                <w:color w:val="auto"/>
              </w:rPr>
            </w:pPr>
          </w:p>
        </w:tc>
        <w:tc>
          <w:tcPr>
            <w:tcW w:w="1580" w:type="dxa"/>
            <w:vAlign w:val="bottom"/>
          </w:tcPr>
          <w:p>
            <w:pPr>
              <w:jc w:val="center"/>
              <w:ind w:left="399"/>
              <w:spacing w:after="0" w:line="178" w:lineRule="exact"/>
              <w:rPr>
                <w:sz w:val="20"/>
                <w:szCs w:val="20"/>
                <w:color w:val="auto"/>
              </w:rPr>
            </w:pPr>
            <w:r>
              <w:rPr>
                <w:rFonts w:ascii="Arial" w:cs="Arial" w:eastAsia="Arial" w:hAnsi="Arial"/>
                <w:sz w:val="16"/>
                <w:szCs w:val="16"/>
                <w:b w:val="1"/>
                <w:bCs w:val="1"/>
                <w:color w:val="auto"/>
              </w:rPr>
              <w:t>November 25,</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jc w:val="center"/>
              <w:ind w:right="279"/>
              <w:spacing w:after="0" w:line="178" w:lineRule="exact"/>
              <w:rPr>
                <w:sz w:val="20"/>
                <w:szCs w:val="20"/>
                <w:color w:val="auto"/>
              </w:rPr>
            </w:pPr>
            <w:r>
              <w:rPr>
                <w:rFonts w:ascii="Arial" w:cs="Arial" w:eastAsia="Arial" w:hAnsi="Arial"/>
                <w:sz w:val="16"/>
                <w:szCs w:val="16"/>
                <w:b w:val="1"/>
                <w:bCs w:val="1"/>
                <w:color w:val="auto"/>
              </w:rPr>
              <w:t>August 26,</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158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283.8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0" w:type="dxa"/>
            <w:vAlign w:val="bottom"/>
          </w:tcPr>
          <w:p>
            <w:pPr>
              <w:spacing w:after="0"/>
              <w:rPr>
                <w:sz w:val="1"/>
                <w:szCs w:val="1"/>
                <w:color w:val="auto"/>
              </w:rPr>
            </w:pPr>
          </w:p>
        </w:tc>
      </w:tr>
      <w:tr>
        <w:trPr>
          <w:trHeight w:val="215"/>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FIFO basis</w:t>
            </w:r>
          </w:p>
        </w:tc>
        <w:tc>
          <w:tcPr>
            <w:tcW w:w="1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258.2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255.9</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542.0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above inventory value, before reduction for the LIFO reserve, approximates replacement cost at the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3"/>
        </w:trPr>
        <w:tc>
          <w:tcPr>
            <w:tcW w:w="6800" w:type="dxa"/>
            <w:vAlign w:val="bottom"/>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43"/>
        </w:trPr>
        <w:tc>
          <w:tcPr>
            <w:tcW w:w="8920" w:type="dxa"/>
            <w:vAlign w:val="bottom"/>
            <w:gridSpan w:val="4"/>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1"/>
        </w:trPr>
        <w:tc>
          <w:tcPr>
            <w:tcW w:w="6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November 25,</w:t>
            </w:r>
          </w:p>
        </w:tc>
        <w:tc>
          <w:tcPr>
            <w:tcW w:w="34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26,</w:t>
            </w:r>
          </w:p>
        </w:tc>
      </w:tr>
      <w:tr>
        <w:trPr>
          <w:trHeight w:val="21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2023</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247.3</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Software</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52.7</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5"/>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r>
      <w:tr>
        <w:trPr>
          <w:trHeight w:val="210"/>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530.4</w:t>
            </w:r>
          </w:p>
        </w:tc>
      </w:tr>
      <w:tr>
        <w:trPr>
          <w:trHeight w:val="21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w:t>
            </w:r>
          </w:p>
        </w:tc>
      </w:tr>
      <w:tr>
        <w:trPr>
          <w:trHeight w:val="235"/>
        </w:trPr>
        <w:tc>
          <w:tcPr>
            <w:tcW w:w="6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$8.1 million and $6.6 million for the three months ended November 25, 2023 and November 26, 2022, respectively.</w:t>
      </w:r>
    </w:p>
    <w:p>
      <w:pPr>
        <w:spacing w:after="0" w:line="26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7.</w:t>
        <w:tab/>
        <w:t>Goodwill and Intangible Assets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 of goodwill by reportable segment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Towable</w:t>
            </w:r>
          </w:p>
        </w:tc>
        <w:tc>
          <w:tcPr>
            <w:tcW w:w="1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Motorhome</w:t>
            </w:r>
          </w:p>
        </w:tc>
        <w:tc>
          <w:tcPr>
            <w:tcW w:w="240" w:type="dxa"/>
            <w:vAlign w:val="bottom"/>
          </w:tcPr>
          <w:p>
            <w:pPr>
              <w:spacing w:after="0"/>
              <w:rPr>
                <w:sz w:val="16"/>
                <w:szCs w:val="16"/>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Marine</w:t>
            </w: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Corporate / All</w:t>
            </w:r>
          </w:p>
        </w:tc>
        <w:tc>
          <w:tcPr>
            <w:tcW w:w="280" w:type="dxa"/>
            <w:vAlign w:val="bottom"/>
          </w:tcPr>
          <w:p>
            <w:pPr>
              <w:spacing w:after="0"/>
              <w:rPr>
                <w:sz w:val="16"/>
                <w:szCs w:val="16"/>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1"/>
        </w:trPr>
        <w:tc>
          <w:tcPr>
            <w:tcW w:w="42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8"/>
              </w:rPr>
              <w:t>RV</w:t>
            </w: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8"/>
              </w:rPr>
              <w:t>RV</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8"/>
              </w:rPr>
              <w:t>Other</w:t>
            </w: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Balances at November 25, 2023 and August 26, 2023 </w:t>
            </w:r>
            <w:r>
              <w:rPr>
                <w:rFonts w:ascii="Arial" w:cs="Arial" w:eastAsia="Arial" w:hAnsi="Arial"/>
                <w:sz w:val="21"/>
                <w:szCs w:val="21"/>
                <w:color w:val="auto"/>
                <w:vertAlign w:val="superscript"/>
              </w:rPr>
              <w:t>(1)</w:t>
            </w:r>
          </w:p>
        </w:tc>
        <w:tc>
          <w:tcPr>
            <w:tcW w:w="3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40" w:hanging="132"/>
        <w:spacing w:after="0"/>
        <w:tabs>
          <w:tab w:leader="none" w:pos="140" w:val="left"/>
        </w:tabs>
        <w:numPr>
          <w:ilvl w:val="0"/>
          <w:numId w:val="2"/>
        </w:numPr>
        <w:rPr>
          <w:rFonts w:ascii="Arial" w:cs="Arial" w:eastAsia="Arial" w:hAnsi="Arial"/>
          <w:sz w:val="9"/>
          <w:szCs w:val="9"/>
          <w:color w:val="auto"/>
        </w:rPr>
      </w:pPr>
      <w:r>
        <w:rPr>
          <w:rFonts w:ascii="Arial" w:cs="Arial" w:eastAsia="Arial" w:hAnsi="Arial"/>
          <w:sz w:val="14"/>
          <w:szCs w:val="14"/>
          <w:color w:val="auto"/>
        </w:rPr>
        <w:t>There was no activity in the three months ended November 25, 2023.</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November 25, 2023</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Carrying Amount</w:t>
            </w:r>
          </w:p>
        </w:tc>
        <w:tc>
          <w:tcPr>
            <w:tcW w:w="200" w:type="dxa"/>
            <w:vAlign w:val="bottom"/>
          </w:tcPr>
          <w:p>
            <w:pPr>
              <w:spacing w:after="0"/>
              <w:rPr>
                <w:sz w:val="13"/>
                <w:szCs w:val="13"/>
                <w:color w:val="auto"/>
              </w:rPr>
            </w:pPr>
          </w:p>
        </w:tc>
        <w:tc>
          <w:tcPr>
            <w:tcW w:w="19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Finite-lived trade name</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networks/customer relationships</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August 26, 2023</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Carrying Amount</w:t>
            </w:r>
          </w:p>
        </w:tc>
        <w:tc>
          <w:tcPr>
            <w:tcW w:w="260" w:type="dxa"/>
            <w:vAlign w:val="bottom"/>
          </w:tcPr>
          <w:p>
            <w:pPr>
              <w:spacing w:after="0"/>
              <w:rPr>
                <w:sz w:val="13"/>
                <w:szCs w:val="13"/>
                <w:color w:val="auto"/>
              </w:rPr>
            </w:pPr>
          </w:p>
        </w:tc>
        <w:tc>
          <w:tcPr>
            <w:tcW w:w="1900" w:type="dxa"/>
            <w:vAlign w:val="bottom"/>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Finite-lived trade name</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networks/customer relationships</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amortization period for intangible assets as of November 25, 2023 was approximately seven years.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Amortization</w:t>
            </w:r>
          </w:p>
        </w:tc>
      </w:tr>
      <w:tr>
        <w:trPr>
          <w:trHeight w:val="20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5"/>
        </w:trPr>
        <w:tc>
          <w:tcPr>
            <w:tcW w:w="960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7"/>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5"/>
        </w:trPr>
        <w:tc>
          <w:tcPr>
            <w:tcW w:w="960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7"/>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5"/>
        </w:trPr>
        <w:tc>
          <w:tcPr>
            <w:tcW w:w="9600" w:type="dxa"/>
            <w:vAlign w:val="bottom"/>
          </w:tcPr>
          <w:p>
            <w:pPr>
              <w:ind w:left="20"/>
              <w:spacing w:after="0"/>
              <w:rPr>
                <w:sz w:val="20"/>
                <w:szCs w:val="20"/>
                <w:color w:val="auto"/>
              </w:rPr>
            </w:pPr>
            <w:r>
              <w:rPr>
                <w:rFonts w:ascii="Arial" w:cs="Arial" w:eastAsia="Arial" w:hAnsi="Arial"/>
                <w:sz w:val="16"/>
                <w:szCs w:val="16"/>
                <w:color w:val="auto"/>
              </w:rPr>
              <w:t>Fiscal 2029</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0"/>
        </w:trPr>
        <w:tc>
          <w:tcPr>
            <w:tcW w:w="9600" w:type="dxa"/>
            <w:vAlign w:val="bottom"/>
          </w:tcPr>
          <w:p>
            <w:pPr>
              <w:ind w:left="140"/>
              <w:spacing w:after="0"/>
              <w:rPr>
                <w:sz w:val="20"/>
                <w:szCs w:val="20"/>
                <w:color w:val="auto"/>
              </w:rPr>
            </w:pPr>
            <w:r>
              <w:rPr>
                <w:rFonts w:ascii="Arial" w:cs="Arial" w:eastAsia="Arial" w:hAnsi="Arial"/>
                <w:sz w:val="16"/>
                <w:szCs w:val="16"/>
                <w:color w:val="auto"/>
              </w:rPr>
              <w:t>Total amortization expense remaining</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144.1</w:t>
            </w:r>
          </w:p>
        </w:tc>
      </w:tr>
      <w:tr>
        <w:trPr>
          <w:trHeight w:val="21"/>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8.</w:t>
        <w:tab/>
        <w:t>Product Warranties</w:t>
      </w:r>
    </w:p>
    <w:p>
      <w:pPr>
        <w:spacing w:after="0" w:line="248"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95"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5"/>
        </w:trPr>
        <w:tc>
          <w:tcPr>
            <w:tcW w:w="7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5"/>
          </w:tcPr>
          <w:p>
            <w:pPr>
              <w:ind w:left="100"/>
              <w:spacing w:after="0" w:line="155" w:lineRule="exact"/>
              <w:rPr>
                <w:sz w:val="20"/>
                <w:szCs w:val="20"/>
                <w:color w:val="auto"/>
              </w:rPr>
            </w:pPr>
            <w:r>
              <w:rPr>
                <w:rFonts w:ascii="Arial" w:cs="Arial" w:eastAsia="Arial" w:hAnsi="Arial"/>
                <w:sz w:val="16"/>
                <w:szCs w:val="16"/>
                <w:b w:val="1"/>
                <w:bCs w:val="1"/>
                <w:color w:val="auto"/>
              </w:rPr>
              <w:t>November 25,</w:t>
            </w:r>
          </w:p>
        </w:tc>
        <w:tc>
          <w:tcPr>
            <w:tcW w:w="160" w:type="dxa"/>
            <w:vAlign w:val="bottom"/>
          </w:tcPr>
          <w:p>
            <w:pPr>
              <w:spacing w:after="0"/>
              <w:rPr>
                <w:sz w:val="13"/>
                <w:szCs w:val="13"/>
                <w:color w:val="auto"/>
              </w:rPr>
            </w:pPr>
          </w:p>
        </w:tc>
        <w:tc>
          <w:tcPr>
            <w:tcW w:w="148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November 26,</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6"/>
              </w:rPr>
              <w:t>97.8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0" w:type="dxa"/>
            <w:vAlign w:val="bottom"/>
          </w:tcPr>
          <w:p>
            <w:pPr>
              <w:spacing w:after="0"/>
              <w:rPr>
                <w:sz w:val="1"/>
                <w:szCs w:val="1"/>
                <w:color w:val="auto"/>
              </w:rPr>
            </w:pPr>
          </w:p>
        </w:tc>
      </w:tr>
      <w:tr>
        <w:trPr>
          <w:trHeight w:val="215"/>
        </w:trPr>
        <w:tc>
          <w:tcPr>
            <w:tcW w:w="7000" w:type="dxa"/>
            <w:vAlign w:val="bottom"/>
          </w:tcPr>
          <w:p>
            <w:pPr>
              <w:ind w:left="140"/>
              <w:spacing w:after="0"/>
              <w:rPr>
                <w:sz w:val="20"/>
                <w:szCs w:val="20"/>
                <w:color w:val="auto"/>
              </w:rPr>
            </w:pPr>
            <w:r>
              <w:rPr>
                <w:rFonts w:ascii="Arial" w:cs="Arial" w:eastAsia="Arial" w:hAnsi="Arial"/>
                <w:sz w:val="16"/>
                <w:szCs w:val="16"/>
                <w:color w:val="auto"/>
              </w:rPr>
              <w:t>Provision</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3"/>
          </w:tcPr>
          <w:p>
            <w:pPr>
              <w:jc w:val="center"/>
              <w:spacing w:after="0"/>
              <w:rPr>
                <w:sz w:val="20"/>
                <w:szCs w:val="20"/>
                <w:color w:val="auto"/>
              </w:rPr>
            </w:pPr>
            <w:r>
              <w:rPr>
                <w:rFonts w:ascii="Arial" w:cs="Arial" w:eastAsia="Arial" w:hAnsi="Arial"/>
                <w:sz w:val="16"/>
                <w:szCs w:val="16"/>
                <w:color w:val="auto"/>
                <w:w w:val="96"/>
              </w:rPr>
              <w:t>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Claims paid</w:t>
            </w:r>
          </w:p>
        </w:tc>
        <w:tc>
          <w:tcPr>
            <w:tcW w:w="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0"/>
        </w:trPr>
        <w:tc>
          <w:tcPr>
            <w:tcW w:w="700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8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6"/>
              </w:rPr>
              <w:t>91.8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b w:val="1"/>
                <w:bCs w:val="1"/>
                <w:color w:val="auto"/>
              </w:rPr>
              <w:t>Note 9.  Long-Term Debt</w:t>
            </w: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0"/>
        </w:trPr>
        <w:tc>
          <w:tcPr>
            <w:tcW w:w="70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000" w:type="dxa"/>
            <w:vAlign w:val="bottom"/>
          </w:tcPr>
          <w:p>
            <w:pPr>
              <w:spacing w:after="0"/>
              <w:rPr>
                <w:sz w:val="20"/>
                <w:szCs w:val="20"/>
                <w:color w:val="auto"/>
              </w:rPr>
            </w:pPr>
            <w:r>
              <w:rPr>
                <w:rFonts w:ascii="Arial" w:cs="Arial" w:eastAsia="Arial" w:hAnsi="Arial"/>
                <w:sz w:val="16"/>
                <w:szCs w:val="16"/>
                <w:color w:val="auto"/>
              </w:rPr>
              <w:t>Long-term debt consists of the following:</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000" w:type="dxa"/>
            <w:vAlign w:val="bottom"/>
          </w:tcPr>
          <w:p>
            <w:pPr>
              <w:spacing w:after="0"/>
              <w:rPr>
                <w:sz w:val="15"/>
                <w:szCs w:val="15"/>
                <w:color w:val="auto"/>
              </w:rPr>
            </w:pPr>
          </w:p>
        </w:tc>
        <w:tc>
          <w:tcPr>
            <w:tcW w:w="2040" w:type="dxa"/>
            <w:vAlign w:val="bottom"/>
            <w:gridSpan w:val="3"/>
          </w:tcPr>
          <w:p>
            <w:pPr>
              <w:jc w:val="right"/>
              <w:ind w:right="399"/>
              <w:spacing w:after="0" w:line="178" w:lineRule="exact"/>
              <w:rPr>
                <w:sz w:val="20"/>
                <w:szCs w:val="20"/>
                <w:color w:val="auto"/>
              </w:rPr>
            </w:pPr>
            <w:r>
              <w:rPr>
                <w:rFonts w:ascii="Arial" w:cs="Arial" w:eastAsia="Arial" w:hAnsi="Arial"/>
                <w:sz w:val="16"/>
                <w:szCs w:val="16"/>
                <w:b w:val="1"/>
                <w:bCs w:val="1"/>
                <w:color w:val="auto"/>
              </w:rPr>
              <w:t>November 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ind w:right="539"/>
              <w:spacing w:after="0" w:line="178" w:lineRule="exact"/>
              <w:rPr>
                <w:sz w:val="20"/>
                <w:szCs w:val="20"/>
                <w:color w:val="auto"/>
              </w:rPr>
            </w:pPr>
            <w:r>
              <w:rPr>
                <w:rFonts w:ascii="Arial" w:cs="Arial" w:eastAsia="Arial" w:hAnsi="Arial"/>
                <w:sz w:val="16"/>
                <w:szCs w:val="16"/>
                <w:b w:val="1"/>
                <w:bCs w:val="1"/>
                <w:color w:val="auto"/>
              </w:rPr>
              <w:t>August 26,</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4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09"/>
        </w:trPr>
        <w:tc>
          <w:tcPr>
            <w:tcW w:w="7000" w:type="dxa"/>
            <w:vAlign w:val="bottom"/>
          </w:tcPr>
          <w:p>
            <w:pPr>
              <w:ind w:left="140"/>
              <w:spacing w:after="0"/>
              <w:rPr>
                <w:sz w:val="20"/>
                <w:szCs w:val="20"/>
                <w:color w:val="auto"/>
              </w:rPr>
            </w:pPr>
            <w:r>
              <w:rPr>
                <w:rFonts w:ascii="Arial" w:cs="Arial" w:eastAsia="Arial" w:hAnsi="Arial"/>
                <w:sz w:val="16"/>
                <w:szCs w:val="16"/>
                <w:color w:val="auto"/>
              </w:rPr>
              <w:t>Long-term debt, gross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issuance costs, net</w:t>
            </w: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0"/>
        </w:trPr>
        <w:tc>
          <w:tcPr>
            <w:tcW w:w="70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1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On July 15, 2022, we amended and restated our asset-backed revolving credit agreement ("ABL Credit Facility") to, among other things, increase the commitments available from $192.5 million to $350.0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ABL Credit Facility borrowings is at a floating rate based upon our election, either term SOFR or REVSOFR30 (as defined in the ABL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Credit Facility agreement), plus, in each case, a credit spread adjustment of 0.10%, as well as an applicable spread between 1.25% and 1.75%, depending on the usage of the facility during the most recent quarter. Based on current usage, we would pay an applicable spread of 1.25%. In connection with the amendment, we capitalized $1.2 million of issuance costs that are being amortized over the five-year term of the ABL Credit Facility.</w:t>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are being amortized over the eight-year term of the agreement.</w:t>
      </w:r>
    </w:p>
    <w:p>
      <w:pPr>
        <w:spacing w:after="0" w:line="19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Refer to Note 9 in the Notes to Consolidated Financial Statements included in Item 8 of Part II of our Annual Report on Form 10-K for the fiscal year ended August 26, 2023 for additional information regarding these credit agreements.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11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On November 1, 2019, we issued $300.0 million in aggregate principal amount of 1.5% unsecured convertible senior notes due 2025 (“Convertible Notes”). The net proceeds from the issuance of the Convertible Notes, after deducting the initial purchasers' transaction fees and offering expense payable by us, were approximately $290.2 million. The Convertible Notes bear interest at the annual rate of 1.5%, payable on April 1 and October 1 of each year, beginning on April 1, 2020, and will mature on April 1, 2025, unless earlier converted or repurchased by us.</w:t>
      </w:r>
    </w:p>
    <w:p>
      <w:pPr>
        <w:spacing w:after="0" w:line="21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Convertible Notes will be convertible into cash, shares of our common stock or a combination thereof, at our election, at an initial conversion rate of 15.6906 shares of common stock per $1,000 principal amount of 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conversion rate of the Convertible Notes may be adjusted in certain circumstances, including in connection with a conversion of the Convertible Notes made following certain fundamental changes and under other circumstances set forth in the indenture. As of November 25, 2023, the conversion rate was 15.9923 shares of common stock per $1,000 principal amount of Convertible Notes, which is equivalent to a conversion price of approximately $62.53. The difference between the initial conversion rate and the conversion rate as of November 25, 2023 is due to cash dividends that have been declared following the issuance of the Convertible Notes.</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It is our current intent to settle all conversions of the Convertible Notes in cash. Our ability to cash settle may be limited depending on the stock price at the time of conversion.</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Prior to the close of business on the business day immediately preceding October 1, 2024, the Convertible Notes will be convertible only under the following circumstances:</w:t>
      </w:r>
    </w:p>
    <w:p>
      <w:pPr>
        <w:spacing w:after="0" w:line="304" w:lineRule="exact"/>
        <w:rPr>
          <w:sz w:val="20"/>
          <w:szCs w:val="20"/>
          <w:color w:val="auto"/>
        </w:rPr>
      </w:pPr>
    </w:p>
    <w:p>
      <w:pPr>
        <w:ind w:left="660" w:right="700" w:hanging="328"/>
        <w:spacing w:after="0" w:line="26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76" w:lineRule="exact"/>
        <w:rPr>
          <w:rFonts w:ascii="Arial" w:cs="Arial" w:eastAsia="Arial" w:hAnsi="Arial"/>
          <w:sz w:val="16"/>
          <w:szCs w:val="16"/>
          <w:color w:val="auto"/>
        </w:rPr>
      </w:pPr>
    </w:p>
    <w:p>
      <w:pPr>
        <w:ind w:left="660" w:right="20" w:hanging="328"/>
        <w:spacing w:after="0" w:line="27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5 consecutive business day period after any 5 consecutive trading day period (the "measurement period") in which the trading price per $1,000 principal amount of Convertible Notes for each trading day of the measurement period was less than 98% of the product of the last reported sale price of the common stock and the conversion rate for the Convertible Notes on each such trading day; or</w:t>
      </w:r>
    </w:p>
    <w:p>
      <w:pPr>
        <w:spacing w:after="0" w:line="5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 for the Convertible Notes.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may not redeem the Convertible Notes at our option prior to the maturity date, and no sinking fund is provided for the Convertible Notes.</w:t>
      </w:r>
    </w:p>
    <w:p>
      <w:pPr>
        <w:spacing w:after="0" w:line="26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On October 29, 2019 and October 30, 2019, in connection with the offering of the Convertible Notes, we entered into privately negotiated convertible note hedge transactions (collectively, the “Hedge Transactions”) that cover, subject to customary anti-dilution adjustments, the number of shares of our common stock that initially underlie the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360"/>
        <w:spacing w:after="0" w:line="275" w:lineRule="auto"/>
        <w:rPr>
          <w:sz w:val="20"/>
          <w:szCs w:val="20"/>
          <w:color w:val="auto"/>
        </w:rPr>
      </w:pPr>
      <w:r>
        <w:rPr>
          <w:rFonts w:ascii="Arial" w:cs="Arial" w:eastAsia="Arial" w:hAnsi="Arial"/>
          <w:sz w:val="16"/>
          <w:szCs w:val="16"/>
          <w:color w:val="auto"/>
        </w:rPr>
        <w:t>On October 29, 2019 and October 30, 2019, we also entered into privately negotiated warrant transactions (collectively, the “Warrant Transactions” and, together with the Hedge Transactions, the “Call Spread Transactions”), whereby we sold warrants at a higher strike price relating to the same number of shares of our common stock that initially underlie the Convertible Notes, subject to customary anti-dilution adjustments.</w:t>
      </w:r>
    </w:p>
    <w:p>
      <w:pPr>
        <w:spacing w:after="0" w:line="15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1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Refer to Note 9 in the Notes to Consolidated Financial Statements included in Item 8 of Part II of our Annual Report on Form 10-K for the fiscal year ended August 26, 2023 for additional information regarding the Convertible Notes and the Call Spread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11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Convertible Notes are accounted for as a single liability measured at amortized cost. Interest expense, representing the amortization of the $9.8 million of debt issuance costs as well as the contractual interest expense is amortized using an effective interest rate of 2.1% over the term of the Convertible Notes. We recorded $1.6 million of interest expense during the three months ended November 25, 2023 and the three months ended November 26, 2022.</w:t>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net cost incurred in connection with the Call Spread Transactions was $11.2 million. These transactions are classified as equity and are not remeasured each reporting period.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and Future Maturities</w:t>
      </w:r>
    </w:p>
    <w:p>
      <w:pPr>
        <w:spacing w:after="0" w:line="11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As of November 25, 2023 and August 26, 2023, the fair value of long-term debt, gross, was $643.8 million and $640.2 million, respectively. The fair value of the Convertible Notes was $357.1 million and $349.0 million as of November 25, 2023 and August 26, 2023, respectively. We are in compliance with all of our financial debt covenants as of November 25, 2023.</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2024</w:t>
            </w:r>
          </w:p>
        </w:tc>
        <w:tc>
          <w:tcPr>
            <w:tcW w:w="1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1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1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Fiscal 2029</w:t>
            </w:r>
          </w:p>
        </w:tc>
        <w:tc>
          <w:tcPr>
            <w:tcW w:w="16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Senior Secured Notes and Convertible Notes</w:t>
            </w:r>
          </w:p>
        </w:tc>
        <w:tc>
          <w:tcPr>
            <w:tcW w:w="1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1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1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100" w:type="dxa"/>
            <w:vAlign w:val="bottom"/>
          </w:tcPr>
          <w:p>
            <w:pPr>
              <w:spacing w:after="0"/>
              <w:rPr>
                <w:sz w:val="20"/>
                <w:szCs w:val="20"/>
                <w:color w:val="auto"/>
              </w:rPr>
            </w:pPr>
            <w:r>
              <w:rPr>
                <w:rFonts w:ascii="Arial" w:cs="Arial" w:eastAsia="Arial" w:hAnsi="Arial"/>
                <w:sz w:val="16"/>
                <w:szCs w:val="16"/>
                <w:color w:val="auto"/>
              </w:rPr>
              <w:t>Deferred compensation liabilities are as follows:</w:t>
            </w: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100" w:type="dxa"/>
            <w:vAlign w:val="bottom"/>
          </w:tcPr>
          <w:p>
            <w:pPr>
              <w:spacing w:after="0"/>
              <w:rPr>
                <w:sz w:val="15"/>
                <w:szCs w:val="15"/>
                <w:color w:val="auto"/>
              </w:rPr>
            </w:pPr>
          </w:p>
        </w:tc>
        <w:tc>
          <w:tcPr>
            <w:tcW w:w="1680" w:type="dxa"/>
            <w:vAlign w:val="bottom"/>
          </w:tcPr>
          <w:p>
            <w:pPr>
              <w:jc w:val="right"/>
              <w:ind w:right="19"/>
              <w:spacing w:after="0" w:line="178" w:lineRule="exact"/>
              <w:rPr>
                <w:sz w:val="20"/>
                <w:szCs w:val="20"/>
                <w:color w:val="auto"/>
              </w:rPr>
            </w:pPr>
            <w:r>
              <w:rPr>
                <w:rFonts w:ascii="Arial" w:cs="Arial" w:eastAsia="Arial" w:hAnsi="Arial"/>
                <w:sz w:val="16"/>
                <w:szCs w:val="16"/>
                <w:b w:val="1"/>
                <w:bCs w:val="1"/>
                <w:color w:val="auto"/>
              </w:rPr>
              <w:t>November 25,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jc w:val="right"/>
              <w:ind w:right="479"/>
              <w:spacing w:after="0" w:line="178" w:lineRule="exact"/>
              <w:rPr>
                <w:sz w:val="20"/>
                <w:szCs w:val="20"/>
                <w:color w:val="auto"/>
              </w:rPr>
            </w:pPr>
            <w:r>
              <w:rPr>
                <w:rFonts w:ascii="Arial" w:cs="Arial" w:eastAsia="Arial" w:hAnsi="Arial"/>
                <w:sz w:val="16"/>
                <w:szCs w:val="16"/>
                <w:b w:val="1"/>
                <w:bCs w:val="1"/>
                <w:color w:val="auto"/>
              </w:rPr>
              <w:t>August 26,</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1680" w:type="dxa"/>
            <w:vAlign w:val="bottom"/>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Supplemental executive retirement plan</w:t>
            </w:r>
          </w:p>
        </w:tc>
        <w:tc>
          <w:tcPr>
            <w:tcW w:w="1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16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7100" w:type="dxa"/>
            <w:vAlign w:val="bottom"/>
          </w:tcPr>
          <w:p>
            <w:pPr>
              <w:ind w:left="140"/>
              <w:spacing w:after="0"/>
              <w:rPr>
                <w:sz w:val="20"/>
                <w:szCs w:val="20"/>
                <w:color w:val="auto"/>
              </w:rPr>
            </w:pPr>
            <w:r>
              <w:rPr>
                <w:rFonts w:ascii="Arial" w:cs="Arial" w:eastAsia="Arial" w:hAnsi="Arial"/>
                <w:sz w:val="16"/>
                <w:szCs w:val="16"/>
                <w:color w:val="auto"/>
              </w:rPr>
              <w:t>Total deferred compensation benefits</w:t>
            </w:r>
          </w:p>
        </w:tc>
        <w:tc>
          <w:tcPr>
            <w:tcW w:w="1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16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710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680" w:type="dxa"/>
            <w:vAlign w:val="bottom"/>
            <w:tcBorders>
              <w:bottom w:val="single" w:sz="8" w:color="auto"/>
            </w:tcBorders>
          </w:tcPr>
          <w:p>
            <w:pPr>
              <w:jc w:val="right"/>
              <w:ind w:right="14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Included in accrued compensation on the Consolidated Balance Sheets.</w:t>
      </w:r>
    </w:p>
    <w:p>
      <w:pPr>
        <w:spacing w:after="0" w:line="187"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11.</w:t>
        <w:tab/>
        <w:t>Contingent Liabilities and Commitments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1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of our repurchase agreements was approximately $1,857.3 million and $1,816.7 million at November 25, 2023 and August 26, 2023, respectively.</w:t>
      </w:r>
    </w:p>
    <w:p>
      <w:pPr>
        <w:spacing w:after="0" w:line="21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$1.2 million and $1.3 million at November 25, 2023 and August 26, 2023,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three months ended November 25, 2023 and November 26,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1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Revenue</w:t>
      </w:r>
    </w:p>
    <w:p>
      <w:pPr>
        <w:spacing w:after="0" w:line="248"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November 25,</w:t>
            </w:r>
          </w:p>
        </w:tc>
        <w:tc>
          <w:tcPr>
            <w:tcW w:w="200" w:type="dxa"/>
            <w:vAlign w:val="bottom"/>
          </w:tcPr>
          <w:p>
            <w:pPr>
              <w:spacing w:after="0"/>
              <w:rPr>
                <w:sz w:val="13"/>
                <w:szCs w:val="13"/>
                <w:color w:val="auto"/>
              </w:rPr>
            </w:pPr>
          </w:p>
        </w:tc>
        <w:tc>
          <w:tcPr>
            <w:tcW w:w="144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November 26,</w:t>
            </w:r>
          </w:p>
        </w:tc>
      </w:tr>
      <w:tr>
        <w:trPr>
          <w:trHeight w:val="216"/>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Towable RV</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w:t>
            </w: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148.3</w:t>
            </w:r>
          </w:p>
        </w:tc>
      </w:tr>
      <w:tr>
        <w:trPr>
          <w:trHeight w:val="217"/>
        </w:trPr>
        <w:tc>
          <w:tcPr>
            <w:tcW w:w="786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09"/>
        </w:trPr>
        <w:tc>
          <w:tcPr>
            <w:tcW w:w="7860" w:type="dxa"/>
            <w:vAlign w:val="bottom"/>
          </w:tcPr>
          <w:p>
            <w:pPr>
              <w:ind w:left="220"/>
              <w:spacing w:after="0"/>
              <w:rPr>
                <w:sz w:val="20"/>
                <w:szCs w:val="20"/>
                <w:color w:val="auto"/>
              </w:rPr>
            </w:pPr>
            <w:r>
              <w:rPr>
                <w:rFonts w:ascii="Arial" w:cs="Arial" w:eastAsia="Arial" w:hAnsi="Arial"/>
                <w:sz w:val="16"/>
                <w:szCs w:val="16"/>
                <w:color w:val="auto"/>
              </w:rPr>
              <w:t>Total Towable RV</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347.3</w:t>
            </w: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7860" w:type="dxa"/>
            <w:vAlign w:val="bottom"/>
          </w:tcPr>
          <w:p>
            <w:pPr>
              <w:ind w:left="140"/>
              <w:spacing w:after="0"/>
              <w:rPr>
                <w:sz w:val="20"/>
                <w:szCs w:val="20"/>
                <w:color w:val="auto"/>
              </w:rPr>
            </w:pPr>
            <w:r>
              <w:rPr>
                <w:rFonts w:ascii="Arial" w:cs="Arial" w:eastAsia="Arial" w:hAnsi="Arial"/>
                <w:sz w:val="16"/>
                <w:szCs w:val="16"/>
                <w:color w:val="auto"/>
              </w:rPr>
              <w:t>Class A</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231.1</w:t>
            </w: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r>
      <w:tr>
        <w:trPr>
          <w:trHeight w:val="216"/>
        </w:trPr>
        <w:tc>
          <w:tcPr>
            <w:tcW w:w="78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Class C and Other </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w:t>
            </w:r>
          </w:p>
        </w:tc>
      </w:tr>
      <w:tr>
        <w:trPr>
          <w:trHeight w:val="210"/>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Motorhome RV</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Marine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131.4</w:t>
            </w:r>
          </w:p>
        </w:tc>
      </w:tr>
      <w:tr>
        <w:trPr>
          <w:trHeight w:val="217"/>
        </w:trPr>
        <w:tc>
          <w:tcPr>
            <w:tcW w:w="78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Corporate / All Other</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9"/>
        </w:trPr>
        <w:tc>
          <w:tcPr>
            <w:tcW w:w="7860" w:type="dxa"/>
            <w:vAlign w:val="bottom"/>
          </w:tcPr>
          <w:p>
            <w:pPr>
              <w:ind w:left="360"/>
              <w:spacing w:after="0"/>
              <w:rPr>
                <w:sz w:val="20"/>
                <w:szCs w:val="20"/>
                <w:color w:val="auto"/>
              </w:rPr>
            </w:pPr>
            <w:r>
              <w:rPr>
                <w:rFonts w:ascii="Arial" w:cs="Arial" w:eastAsia="Arial" w:hAnsi="Arial"/>
                <w:sz w:val="16"/>
                <w:szCs w:val="16"/>
                <w:color w:val="auto"/>
              </w:rPr>
              <w:t>Consolidated Net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952.2</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00" w:hanging="292"/>
        <w:spacing w:after="0"/>
        <w:tabs>
          <w:tab w:leader="none" w:pos="30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services, and other miscellaneous revenue.</w:t>
      </w:r>
    </w:p>
    <w:p>
      <w:pPr>
        <w:ind w:left="260" w:right="100" w:hanging="252"/>
        <w:spacing w:after="0" w:line="209" w:lineRule="auto"/>
        <w:tabs>
          <w:tab w:leader="none" w:pos="305"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Relates to units, parts, accessories, and services associated with Winnebago specialty vehicles. In addition, this activity also includes Lithionics battery sales, including the related systems and accessories, that are sold directly to external customers.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do not have material contract assets or liabilities. Allowances for uncollectible receivables are established based on historical collection trends, write-off history, consideration of current conditions and expectations for future economic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 single dealer organization accounted for more than 10% of net revenue for the three months ended November 25, 2023 or November 26,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Stock-Based Compensation</w:t>
      </w: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December 14, 2023, our shareholders approved the Amended and Restated 2019 Omnibus Incentive Plan (“Restated Plan”) as detailed in our Proxy Statement for the 2023 Annual Meeting of Shareholders. The Restated Plan continues to allow us to grant or issue non-qualified stock options, incentive stock options, share awards, and other equity compensation to key employees and to non-employee directors. The number of shares of our Common Stock that may be awarded and issued under the Restated Plan is 2.4 million, plus the shares still available under the 2019 Omnibus Incentive Plan (“2019 Plan”) and the shares subject to any awards outstanding under the 2014 Omnibus Equity, Performance Award, and Incentive Compensation Plan (“2014 Plan”). Until such time, however, awards under the 2014 Plan that are outstanding on December 14, 2023 will continue to be subject to the terms of the 2014 Plan, as applicable. Shares remaining available for future awards under the 2014 Plan were not carried over into the Restated Plan.</w:t>
      </w:r>
    </w:p>
    <w:p>
      <w:pPr>
        <w:spacing w:after="0" w:line="21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Stock-based compensation expense was $4.6 million and $3.0 million for the three months ended November 25, 2023 and November 26, 2022, respectively. Compensation expense is recognized over the requisite service or performance period of the award, unless accelerated by certain retirement eligibility provisions.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248"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Our effective tax rate was 24.9% and 24.5% for the three months ended November 25, 2023 and November 26, 2022, respectively. The increase in tax rate for the three months ended November 25, 2023 compared to the three months ended November 26, 2022 was driven primarily by a net unfavorable impact of stock activity in the current year, partially offset by an increase in tax credits year-over-year over a lower pre-tax book income base.</w:t>
      </w:r>
    </w:p>
    <w:p>
      <w:pPr>
        <w:spacing w:after="0" w:line="191" w:lineRule="exact"/>
        <w:rPr>
          <w:sz w:val="20"/>
          <w:szCs w:val="20"/>
          <w:color w:val="auto"/>
        </w:rPr>
      </w:pPr>
    </w:p>
    <w:p>
      <w:pPr>
        <w:ind w:right="700"/>
        <w:spacing w:after="0" w:line="275" w:lineRule="auto"/>
        <w:rPr>
          <w:sz w:val="20"/>
          <w:szCs w:val="20"/>
          <w:color w:val="auto"/>
        </w:rPr>
      </w:pPr>
      <w:r>
        <w:rPr>
          <w:rFonts w:ascii="Arial" w:cs="Arial" w:eastAsia="Arial" w:hAnsi="Arial"/>
          <w:sz w:val="16"/>
          <w:szCs w:val="16"/>
          <w:color w:val="auto"/>
        </w:rPr>
        <w:t>As of November 25, 2023, $3.2 million of U.S. federal income taxes receivable was included in prepaid expenses and other current assets on the Consolidated Balance Sheets. Comparatively, as of August 26, 2023, $10.7 million of U.S. federal income taxes receivable was included in prepaid expenses and other current assets on the Consolidated Balance Sheets.</w:t>
      </w:r>
    </w:p>
    <w:p>
      <w:pPr>
        <w:spacing w:after="0" w:line="20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As of November 25, 2023, our Federal returns from Fiscal 2020 to present are subject to review by the Internal Revenue Service. With limited exceptions, state returns from Fiscal 2019 to present continue to be subject to review by state taxing jurisdictions. We are currently under review by certain U.S. state tax authorities for Fiscal 2019 through Fiscal 2021. We believe we have adequately reserved for our exposure to potential additional payments for uncertain tax positions in our liability for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918"/>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Note 15. Earnings Per Share</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9"/>
        </w:trPr>
        <w:tc>
          <w:tcPr>
            <w:tcW w:w="7860" w:type="dxa"/>
            <w:vAlign w:val="bottom"/>
            <w:gridSpan w:val="2"/>
          </w:tcPr>
          <w:p>
            <w:pPr>
              <w:spacing w:after="0"/>
              <w:rPr>
                <w:sz w:val="20"/>
                <w:szCs w:val="20"/>
                <w:color w:val="auto"/>
              </w:rPr>
            </w:pPr>
            <w:r>
              <w:rPr>
                <w:rFonts w:ascii="Arial" w:cs="Arial" w:eastAsia="Arial" w:hAnsi="Arial"/>
                <w:sz w:val="16"/>
                <w:szCs w:val="16"/>
                <w:color w:val="auto"/>
              </w:rPr>
              <w:t>Basic and diluted earnings per share are calculated as follows: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5"/>
        </w:trPr>
        <w:tc>
          <w:tcPr>
            <w:tcW w:w="126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12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November 25,</w:t>
            </w:r>
          </w:p>
        </w:tc>
        <w:tc>
          <w:tcPr>
            <w:tcW w:w="200" w:type="dxa"/>
            <w:vAlign w:val="bottom"/>
          </w:tcPr>
          <w:p>
            <w:pPr>
              <w:spacing w:after="0"/>
              <w:rPr>
                <w:sz w:val="13"/>
                <w:szCs w:val="13"/>
                <w:color w:val="auto"/>
              </w:rPr>
            </w:pPr>
          </w:p>
        </w:tc>
        <w:tc>
          <w:tcPr>
            <w:tcW w:w="144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November 26,</w:t>
            </w:r>
          </w:p>
        </w:tc>
      </w:tr>
      <w:tr>
        <w:trPr>
          <w:trHeight w:val="216"/>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0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 basic</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16"/>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10"/>
        </w:trPr>
        <w:tc>
          <w:tcPr>
            <w:tcW w:w="7860" w:type="dxa"/>
            <w:vAlign w:val="bottom"/>
            <w:gridSpan w:val="2"/>
          </w:tcPr>
          <w:p>
            <w:pPr>
              <w:ind w:left="240"/>
              <w:spacing w:after="0" w:line="210" w:lineRule="exact"/>
              <w:rPr>
                <w:sz w:val="20"/>
                <w:szCs w:val="20"/>
                <w:color w:val="auto"/>
              </w:rPr>
            </w:pPr>
            <w:r>
              <w:rPr>
                <w:rFonts w:ascii="Arial" w:cs="Arial" w:eastAsia="Arial" w:hAnsi="Arial"/>
                <w:sz w:val="16"/>
                <w:szCs w:val="16"/>
                <w:color w:val="auto"/>
              </w:rPr>
              <w:t>Basic earnings per common share</w:t>
            </w:r>
            <w:r>
              <w:rPr>
                <w:rFonts w:ascii="Arial" w:cs="Arial" w:eastAsia="Arial" w:hAnsi="Arial"/>
                <w:sz w:val="21"/>
                <w:szCs w:val="21"/>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6"/>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 per share - diluted</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215"/>
        </w:trPr>
        <w:tc>
          <w:tcPr>
            <w:tcW w:w="7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Interest expense on convertible notes, net of tax</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0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Diluted 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37"/>
        </w:trPr>
        <w:tc>
          <w:tcPr>
            <w:tcW w:w="12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Dilutive impact of stock compensation awards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Dilutive impact of convertible notes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9"/>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Weighted average common shares outstanding, assuming dilution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57"/>
        </w:trPr>
        <w:tc>
          <w:tcPr>
            <w:tcW w:w="7860" w:type="dxa"/>
            <w:vAlign w:val="bottom"/>
            <w:gridSpan w:val="2"/>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15"/>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Anti-dilutive securities excluded from weighted average common shares outstanding, assuming dilution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57"/>
        </w:trPr>
        <w:tc>
          <w:tcPr>
            <w:tcW w:w="7860" w:type="dxa"/>
            <w:vAlign w:val="bottom"/>
            <w:gridSpan w:val="2"/>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r>
      <w:tr>
        <w:trPr>
          <w:trHeight w:val="209"/>
        </w:trPr>
        <w:tc>
          <w:tcPr>
            <w:tcW w:w="7860" w:type="dxa"/>
            <w:vAlign w:val="bottom"/>
            <w:gridSpan w:val="2"/>
          </w:tcPr>
          <w:p>
            <w:pPr>
              <w:ind w:left="240"/>
              <w:spacing w:after="0" w:line="210" w:lineRule="exact"/>
              <w:rPr>
                <w:sz w:val="20"/>
                <w:szCs w:val="20"/>
                <w:color w:val="auto"/>
              </w:rPr>
            </w:pPr>
            <w:r>
              <w:rPr>
                <w:rFonts w:ascii="Arial" w:cs="Arial" w:eastAsia="Arial" w:hAnsi="Arial"/>
                <w:sz w:val="16"/>
                <w:szCs w:val="16"/>
                <w:color w:val="auto"/>
              </w:rPr>
              <w:t>Diluted earnings per common share</w:t>
            </w:r>
            <w:r>
              <w:rPr>
                <w:rFonts w:ascii="Arial" w:cs="Arial" w:eastAsia="Arial" w:hAnsi="Arial"/>
                <w:sz w:val="21"/>
                <w:szCs w:val="21"/>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1"/>
        </w:trPr>
        <w:tc>
          <w:tcPr>
            <w:tcW w:w="1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300" w:hanging="292"/>
        <w:spacing w:after="0"/>
        <w:tabs>
          <w:tab w:leader="none" w:pos="30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Earnings per share amounts are calculated based on unrounded numbers and therefore may not recalculate using the rounded numbers provided.</w:t>
      </w:r>
    </w:p>
    <w:p>
      <w:pPr>
        <w:spacing w:after="0" w:line="277"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dilutive effect of stock compensation awards was determined using the treasury stock method while the dilutive impact of the Convertible Notes was determined using the if-converted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 Under the if-converted method, the Convertible Notes are assumed to be converted into common stock at the beginning of the reporting period, and the resulting shares are included in the denominator of the calculation. In addition, interest charges, net of any income tax effects are added back to the numerator of the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terms "Winnebago," "we," "us," and "our," unless the context otherwise requires, refer to Winnebago Industries, Inc. and its wholly-owned subsidiaries.</w:t>
      </w:r>
    </w:p>
    <w:p>
      <w:pPr>
        <w:spacing w:after="0" w:line="26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00"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1 of Part I of this Quarterly Report on Form 10-Q and our Annual Report on Form 10-K for the fiscal year ended August 26, 2023 (including the information presented therein under Risk Factors), as well as our reports on Forms 10-Q and 8-K and other publicly available information. All amounts herein are unaudited. All amounts are in millions, except share and per share data, unless otherwise noted.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We produce our motorhome RV units in Iowa and Indiana; our towable RV units in Indiana; our marine units in Indiana and Florida; and our battery solutions in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Known Trends and Uncertainties</w:t>
      </w:r>
    </w:p>
    <w:p>
      <w:pPr>
        <w:spacing w:after="0" w:line="1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business continues to be challenged by macroeconomic conditions impacting retail consumers and our dealers, such as inflation and elevated interest rates. These factors have contributed to lower consumer spending and reduced short-term demand for large discretionary products such as RVs and marine products. In response, our dealers continue to exercise caution when managing stocking levels. In the first quarter of Fiscal 2024, these trends resulted in decreased sales due to declines in unit volume. We anticipate that as consumer demand stabilizes, dealers will exhibit a willingness to maintain inventory levels in the second half of Fiscal 2024, consistent with a one-for-one retail-to-wholesale ordering pattern. We continue to produce and ship in accordance with dealer demand as evidenced and requested by dealer orders.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Despite the current economic uncertainty, we believe in the long-term health of consumer demand for RV and marine products.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27"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1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Included in "Results of Operations" below for three months ended November 25, 2023 compared to the comparable prior year period is a reconciliation of EBITDA and Adjusted EBITDA from net income, the most directly comparable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 amounts from net income that we do not consider part of our core operating results when assessing our performance. Examples of items excluded from Adjusted EBITDA include acquisition-related costs, contingent consideration fair value adjustment, and non-operating income or loss.</w:t>
      </w:r>
    </w:p>
    <w:p>
      <w:pPr>
        <w:spacing w:after="0" w:line="203" w:lineRule="exact"/>
        <w:rPr>
          <w:sz w:val="20"/>
          <w:szCs w:val="20"/>
          <w:color w:val="auto"/>
        </w:rPr>
      </w:pPr>
    </w:p>
    <w:p>
      <w:pPr>
        <w:ind w:right="440"/>
        <w:spacing w:after="0" w:line="265"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used by management in their assessment of performance and in forecasting; (d) to evaluate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potential acquisitions; and (e) to ensure compliance with covenants and restricted activities under the terms of our ABL Credit Facility and outstanding notes, as further described in Note 9 in the Notes to Consolidated Financial Statements included in Item 1 of Part I of this Quarterly Report on Form 10-Q. We believe these non-GAAP financial measures are frequently used by securities analysts, investors and other interested parties to evaluate companies in the industry.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Three Months Ended November 25, 2023 Compared to Three Months Ended November 26, 2022</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11"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three months ended November 25, 2023 compared to the three months ended November 26,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November 25,</w:t>
            </w: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60" w:type="dxa"/>
            <w:vAlign w:val="bottom"/>
          </w:tcPr>
          <w:p>
            <w:pPr>
              <w:spacing w:after="0"/>
              <w:rPr>
                <w:sz w:val="13"/>
                <w:szCs w:val="13"/>
                <w:color w:val="auto"/>
              </w:rPr>
            </w:pPr>
          </w:p>
        </w:tc>
        <w:tc>
          <w:tcPr>
            <w:tcW w:w="138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November 26,</w:t>
            </w:r>
          </w:p>
        </w:tc>
        <w:tc>
          <w:tcPr>
            <w:tcW w:w="15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 in millions, except per share data)</w:t>
            </w:r>
          </w:p>
        </w:tc>
        <w:tc>
          <w:tcPr>
            <w:tcW w:w="14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952.2</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5"/>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791.8</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42"/>
        </w:trPr>
        <w:tc>
          <w:tcPr>
            <w:tcW w:w="2480" w:type="dxa"/>
            <w:vAlign w:val="bottom"/>
          </w:tcPr>
          <w:p>
            <w:pPr>
              <w:ind w:left="20"/>
              <w:spacing w:after="0" w:line="142" w:lineRule="exact"/>
              <w:rPr>
                <w:sz w:val="20"/>
                <w:szCs w:val="20"/>
                <w:color w:val="auto"/>
              </w:rPr>
            </w:pPr>
            <w:r>
              <w:rPr>
                <w:rFonts w:ascii="Arial" w:cs="Arial" w:eastAsia="Arial" w:hAnsi="Arial"/>
                <w:sz w:val="16"/>
                <w:szCs w:val="16"/>
                <w:color w:val="auto"/>
              </w:rPr>
              <w:t>Selling, general, and</w:t>
            </w:r>
          </w:p>
        </w:tc>
        <w:tc>
          <w:tcPr>
            <w:tcW w:w="14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9.3 %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70.7</w:t>
            </w: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administrative expenses</w:t>
            </w: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47.6 %</w:t>
            </w:r>
          </w:p>
        </w:tc>
        <w:tc>
          <w:tcPr>
            <w:tcW w:w="0" w:type="dxa"/>
            <w:vAlign w:val="bottom"/>
          </w:tcPr>
          <w:p>
            <w:pPr>
              <w:spacing w:after="0"/>
              <w:rPr>
                <w:sz w:val="1"/>
                <w:szCs w:val="1"/>
                <w:color w:val="auto"/>
              </w:rPr>
            </w:pPr>
          </w:p>
        </w:tc>
      </w:tr>
      <w:tr>
        <w:trPr>
          <w:trHeight w:val="209"/>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110.8 %</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4.5 %</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8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163"/>
        </w:trPr>
        <w:tc>
          <w:tcPr>
            <w:tcW w:w="24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Diluted weighted average shares</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20" w:hanging="252"/>
        <w:spacing w:after="0" w:line="218" w:lineRule="auto"/>
        <w:tabs>
          <w:tab w:leader="none" w:pos="297"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 In addition, percentages may not add in total due to rounding.</w:t>
      </w:r>
    </w:p>
    <w:p>
      <w:pPr>
        <w:spacing w:after="0" w:line="264"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Net revenues decreased primarily due to lower unit sales related to market conditions, product mix, and higher discounts and allowances compared to prior year, partially offset by carryover price increases related to higher motorized chassis costs.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Gross profit as a percentage of revenue decreased primarily due to volume deleverage and higher discounts and allowances compared to prior year.</w:t>
      </w:r>
    </w:p>
    <w:p>
      <w:pPr>
        <w:spacing w:after="0" w:line="26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Operating expenses increased primarily due to increased amortization related to Lithionics intangible assets and strategic investments, partially offset by lower incentive and volume-based compensation related to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net decreased primarily due to higher interest income on short-term investments as a result of increased interest rates.</w:t>
      </w:r>
    </w:p>
    <w:p>
      <w:pPr>
        <w:spacing w:after="0" w:line="262"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Our effective tax rate increased primarily due to a net unfavorable impact of stock activity in the current year, partially offset by an increase in tax credits year-over-year over a lower pre-tax book income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1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following table reconciles net income to consolidated EBITDA and Adjusted EBITDA for the three months ended November 25, 2023 and November 26,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r>
      <w:tr>
        <w:trPr>
          <w:trHeight w:val="209"/>
        </w:trPr>
        <w:tc>
          <w:tcPr>
            <w:tcW w:w="78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72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25, 2023</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26, 2022</w:t>
            </w:r>
          </w:p>
        </w:tc>
      </w:tr>
      <w:tr>
        <w:trPr>
          <w:trHeight w:val="209"/>
        </w:trPr>
        <w:tc>
          <w:tcPr>
            <w:tcW w:w="7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7"/>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7880" w:type="dxa"/>
            <w:vAlign w:val="bottom"/>
          </w:tcPr>
          <w:p>
            <w:pPr>
              <w:ind w:left="140"/>
              <w:spacing w:after="0"/>
              <w:rPr>
                <w:sz w:val="20"/>
                <w:szCs w:val="20"/>
                <w:color w:val="auto"/>
              </w:rPr>
            </w:pPr>
            <w:r>
              <w:rPr>
                <w:rFonts w:ascii="Arial" w:cs="Arial" w:eastAsia="Arial" w:hAnsi="Arial"/>
                <w:sz w:val="16"/>
                <w:szCs w:val="16"/>
                <w:color w:val="auto"/>
              </w:rPr>
              <w:t>EBITDA</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96.0</w:t>
            </w:r>
          </w:p>
        </w:tc>
      </w:tr>
      <w:tr>
        <w:trPr>
          <w:trHeight w:val="217"/>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8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r>
      <w:tr>
        <w:trPr>
          <w:trHeight w:val="21"/>
        </w:trPr>
        <w:tc>
          <w:tcPr>
            <w:tcW w:w="7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 RV</w:t>
      </w:r>
    </w:p>
    <w:p>
      <w:pPr>
        <w:spacing w:after="0" w:line="125"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The following is an analysis of key changes in our Towable RV segment for the three months ended November 25, 2023 compared to the three months ended November 26,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640" w:type="dxa"/>
            <w:vAlign w:val="bottom"/>
            <w:gridSpan w:val="3"/>
            <w:vMerge w:val="restart"/>
          </w:tcPr>
          <w:p>
            <w:pPr>
              <w:jc w:val="right"/>
              <w:ind w:right="219"/>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3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November 26,</w:t>
            </w:r>
          </w:p>
        </w:tc>
        <w:tc>
          <w:tcPr>
            <w:tcW w:w="8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71"/>
        </w:trPr>
        <w:tc>
          <w:tcPr>
            <w:tcW w:w="2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46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42,072</w:t>
            </w:r>
          </w:p>
        </w:tc>
        <w:tc>
          <w:tcPr>
            <w:tcW w:w="17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48,173</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(6,101)</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12"/>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640" w:type="dxa"/>
            <w:vAlign w:val="bottom"/>
            <w:gridSpan w:val="3"/>
            <w:vMerge w:val="restart"/>
          </w:tcPr>
          <w:p>
            <w:pPr>
              <w:jc w:val="right"/>
              <w:ind w:right="33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3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November 26,</w:t>
            </w:r>
          </w:p>
        </w:tc>
        <w:tc>
          <w:tcPr>
            <w:tcW w:w="80" w:type="dxa"/>
            <w:vAlign w:val="bottom"/>
          </w:tcPr>
          <w:p>
            <w:pPr>
              <w:spacing w:after="0"/>
              <w:rPr>
                <w:sz w:val="13"/>
                <w:szCs w:val="13"/>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2,465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31.4 %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2,541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35.3 %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5"/>
        </w:trPr>
        <w:tc>
          <w:tcPr>
            <w:tcW w:w="24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26,</w:t>
            </w: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ind w:left="4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(4)</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5,290</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10,441</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(5,151)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6"/>
        </w:trPr>
        <w:tc>
          <w:tcPr>
            <w:tcW w:w="246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20,576</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80" w:hanging="272"/>
        <w:spacing w:after="0"/>
        <w:tabs>
          <w:tab w:leader="none" w:pos="2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3" w:lineRule="auto"/>
        <w:tabs>
          <w:tab w:leader="none" w:pos="2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ASP excludes off-invoice dealer incentives.</w:t>
      </w:r>
    </w:p>
    <w:p>
      <w:pPr>
        <w:ind w:left="300" w:hanging="292"/>
        <w:spacing w:after="0" w:line="183" w:lineRule="auto"/>
        <w:tabs>
          <w:tab w:leader="none" w:pos="30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260" w:right="180" w:hanging="252"/>
        <w:spacing w:after="0" w:line="201" w:lineRule="auto"/>
        <w:tabs>
          <w:tab w:leader="none" w:pos="305"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25"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Net revenues decreased primarily due to a reduction in average selling price per unit related to product mix and targeted price reductions, partially offset by unit volume growth.</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margin decreased primarily due to deleverage and new product start-up costs.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Backlog decreased due to continued softness in market conditions and a cautious dealer network.</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 RV</w:t>
      </w:r>
    </w:p>
    <w:p>
      <w:pPr>
        <w:spacing w:after="0" w:line="111"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The following is an analysis of key changes in our Motorhome RV segment for the three months ended November 25, 2023 compared to the three months ended November 26,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4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71"/>
        </w:trPr>
        <w:tc>
          <w:tcPr>
            <w:tcW w:w="2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50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195,120</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182,386</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12,734</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309"/>
        </w:trPr>
        <w:tc>
          <w:tcPr>
            <w:tcW w:w="2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6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40.2 %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52.7 %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209"/>
        </w:trPr>
        <w:tc>
          <w:tcPr>
            <w:tcW w:w="2500" w:type="dxa"/>
            <w:vAlign w:val="bottom"/>
          </w:tcPr>
          <w:p>
            <w:pPr>
              <w:ind w:left="140"/>
              <w:spacing w:after="0"/>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2,508</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ind w:left="4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(4)</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3,200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10,089</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(6,889)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6"/>
        </w:trPr>
        <w:tc>
          <w:tcPr>
            <w:tcW w:w="250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80" w:hanging="272"/>
        <w:spacing w:after="0"/>
        <w:tabs>
          <w:tab w:leader="none" w:pos="2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7" w:lineRule="auto"/>
        <w:tabs>
          <w:tab w:leader="none" w:pos="280" w:val="left"/>
        </w:tabs>
        <w:numPr>
          <w:ilvl w:val="0"/>
          <w:numId w:val="8"/>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300" w:hanging="292"/>
        <w:spacing w:after="0" w:line="183" w:lineRule="auto"/>
        <w:tabs>
          <w:tab w:leader="none" w:pos="30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260" w:right="240" w:hanging="252"/>
        <w:spacing w:after="0" w:line="209" w:lineRule="auto"/>
        <w:tabs>
          <w:tab w:leader="none" w:pos="263"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Net revenues decreased primarily due to a decline in unit volume related to market conditions and higher levels of discounts and allowances compared to prior year, partially offset by product mix and price increases related to higher motorized chassis costs.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margin decreased due to volume deleverage, higher discounts and allowances, and operational efficiency challenges.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Backlog decreased due to continued softness in market conditions and a cautious dealer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Marine segment for the three months ended November 25, 2023 compared to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November 26,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640" w:type="dxa"/>
            <w:vAlign w:val="bottom"/>
            <w:gridSpan w:val="3"/>
            <w:vMerge w:val="restart"/>
          </w:tcPr>
          <w:p>
            <w:pPr>
              <w:jc w:val="right"/>
              <w:ind w:right="219"/>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3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November 26,</w:t>
            </w:r>
          </w:p>
        </w:tc>
        <w:tc>
          <w:tcPr>
            <w:tcW w:w="80" w:type="dxa"/>
            <w:vAlign w:val="bottom"/>
          </w:tcPr>
          <w:p>
            <w:pPr>
              <w:spacing w:after="0"/>
              <w:rPr>
                <w:sz w:val="13"/>
                <w:szCs w:val="13"/>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40" w:type="dxa"/>
            <w:vAlign w:val="bottom"/>
          </w:tcPr>
          <w:p>
            <w:pPr>
              <w:spacing w:after="0"/>
              <w:rPr>
                <w:sz w:val="18"/>
                <w:szCs w:val="18"/>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57"/>
        </w:trPr>
        <w:tc>
          <w:tcPr>
            <w:tcW w:w="2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48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81,113</w:t>
            </w:r>
          </w:p>
        </w:tc>
        <w:tc>
          <w:tcPr>
            <w:tcW w:w="17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78,957</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309"/>
        </w:trPr>
        <w:tc>
          <w:tcPr>
            <w:tcW w:w="2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November 26,</w:t>
            </w: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26,</w:t>
            </w: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ind w:left="4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3,633</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6"/>
        </w:trPr>
        <w:tc>
          <w:tcPr>
            <w:tcW w:w="2480" w:type="dxa"/>
            <w:vAlign w:val="bottom"/>
          </w:tcPr>
          <w:p>
            <w:pPr>
              <w:ind w:left="40"/>
              <w:spacing w:after="0" w:line="216" w:lineRule="exact"/>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(4)</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18.4 %</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80" w:hanging="272"/>
        <w:spacing w:after="0"/>
        <w:tabs>
          <w:tab w:leader="none" w:pos="2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7" w:lineRule="auto"/>
        <w:tabs>
          <w:tab w:leader="none" w:pos="280" w:val="left"/>
        </w:tabs>
        <w:numPr>
          <w:ilvl w:val="0"/>
          <w:numId w:val="9"/>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260" w:right="240" w:hanging="252"/>
        <w:spacing w:after="0" w:line="209" w:lineRule="auto"/>
        <w:tabs>
          <w:tab w:leader="none" w:pos="263"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ind w:left="260" w:hanging="252"/>
        <w:spacing w:after="0" w:line="183" w:lineRule="auto"/>
        <w:tabs>
          <w:tab w:leader="none" w:pos="26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22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Net revenues decreased primarily due to a decline in unit volume related to market conditions and higher discounts and allowances, partially offset by carryover price increases.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margin decreased due to volume deleverage and higher discounts and allowances compared to prior 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20"/>
                <w:szCs w:val="20"/>
                <w:color w:val="auto"/>
              </w:rPr>
            </w:pPr>
            <w:r>
              <w:rPr>
                <w:rFonts w:ascii="Arial" w:cs="Arial" w:eastAsia="Arial" w:hAnsi="Arial"/>
                <w:sz w:val="16"/>
                <w:szCs w:val="16"/>
                <w:color w:val="auto"/>
              </w:rPr>
              <w:t>Backlog decreased primarily driven by cautious dealer sentiment related to rising inventory levels.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40"/>
        </w:trPr>
        <w:tc>
          <w:tcPr>
            <w:tcW w:w="7360" w:type="dxa"/>
            <w:vAlign w:val="bottom"/>
          </w:tcPr>
          <w:p>
            <w:pPr>
              <w:spacing w:after="0"/>
              <w:rPr>
                <w:sz w:val="20"/>
                <w:szCs w:val="20"/>
                <w:color w:val="auto"/>
              </w:rPr>
            </w:pPr>
            <w:r>
              <w:rPr>
                <w:rFonts w:ascii="Arial" w:cs="Arial" w:eastAsia="Arial" w:hAnsi="Arial"/>
                <w:sz w:val="16"/>
                <w:szCs w:val="16"/>
                <w:b w:val="1"/>
                <w:bCs w:val="1"/>
                <w:color w:val="auto"/>
              </w:rPr>
              <w:t>Analysis of Financial Condition, Liquidity, and Resources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5"/>
        </w:trPr>
        <w:tc>
          <w:tcPr>
            <w:tcW w:w="736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89"/>
        </w:trPr>
        <w:tc>
          <w:tcPr>
            <w:tcW w:w="7360" w:type="dxa"/>
            <w:vAlign w:val="bottom"/>
          </w:tcPr>
          <w:p>
            <w:pPr>
              <w:spacing w:after="0"/>
              <w:rPr>
                <w:sz w:val="20"/>
                <w:szCs w:val="20"/>
                <w:color w:val="auto"/>
              </w:rPr>
            </w:pPr>
            <w:r>
              <w:rPr>
                <w:rFonts w:ascii="Arial" w:cs="Arial" w:eastAsia="Arial" w:hAnsi="Arial"/>
                <w:sz w:val="16"/>
                <w:szCs w:val="16"/>
                <w:color w:val="auto"/>
              </w:rPr>
              <w:t>The following table summarizes our cash flows from operations: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45"/>
        </w:trPr>
        <w:tc>
          <w:tcPr>
            <w:tcW w:w="7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4"/>
          </w:tcPr>
          <w:p>
            <w:pPr>
              <w:ind w:left="98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25, 2023</w:t>
            </w:r>
          </w:p>
        </w:tc>
        <w:tc>
          <w:tcPr>
            <w:tcW w:w="160" w:type="dxa"/>
            <w:vAlign w:val="bottom"/>
          </w:tcPr>
          <w:p>
            <w:pPr>
              <w:spacing w:after="0"/>
              <w:rPr>
                <w:sz w:val="18"/>
                <w:szCs w:val="18"/>
                <w:color w:val="auto"/>
              </w:rPr>
            </w:pPr>
          </w:p>
        </w:tc>
        <w:tc>
          <w:tcPr>
            <w:tcW w:w="1740" w:type="dxa"/>
            <w:vAlign w:val="bottom"/>
          </w:tcPr>
          <w:p>
            <w:pPr>
              <w:ind w:left="60"/>
              <w:spacing w:after="0"/>
              <w:rPr>
                <w:sz w:val="20"/>
                <w:szCs w:val="20"/>
                <w:color w:val="auto"/>
              </w:rPr>
            </w:pPr>
            <w:r>
              <w:rPr>
                <w:rFonts w:ascii="Arial" w:cs="Arial" w:eastAsia="Arial" w:hAnsi="Arial"/>
                <w:sz w:val="16"/>
                <w:szCs w:val="16"/>
                <w:b w:val="1"/>
                <w:bCs w:val="1"/>
                <w:color w:val="auto"/>
              </w:rPr>
              <w:t>November 26, 2022</w:t>
            </w:r>
          </w:p>
        </w:tc>
      </w:tr>
      <w:tr>
        <w:trPr>
          <w:trHeight w:val="210"/>
        </w:trPr>
        <w:tc>
          <w:tcPr>
            <w:tcW w:w="7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cash provided by (used in):</w:t>
            </w: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center"/>
              <w:ind w:left="1199"/>
              <w:spacing w:after="0"/>
              <w:rPr>
                <w:sz w:val="20"/>
                <w:szCs w:val="20"/>
                <w:color w:val="auto"/>
              </w:rPr>
            </w:pPr>
            <w:r>
              <w:rPr>
                <w:rFonts w:ascii="Arial" w:cs="Arial" w:eastAsia="Arial" w:hAnsi="Arial"/>
                <w:sz w:val="16"/>
                <w:szCs w:val="16"/>
                <w:color w:val="auto"/>
                <w:w w:val="96"/>
              </w:rPr>
              <w:t>29.9</w:t>
            </w: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left="1179"/>
              <w:spacing w:after="0"/>
              <w:rPr>
                <w:sz w:val="20"/>
                <w:szCs w:val="20"/>
                <w:color w:val="auto"/>
              </w:rPr>
            </w:pPr>
            <w:r>
              <w:rPr>
                <w:rFonts w:ascii="Arial" w:cs="Arial" w:eastAsia="Arial" w:hAnsi="Arial"/>
                <w:sz w:val="16"/>
                <w:szCs w:val="16"/>
                <w:color w:val="auto"/>
              </w:rPr>
              <w:t>(27.1)</w:t>
            </w:r>
          </w:p>
        </w:tc>
      </w:tr>
      <w:tr>
        <w:trPr>
          <w:trHeight w:val="21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activities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left="1179"/>
              <w:spacing w:after="0"/>
              <w:rPr>
                <w:sz w:val="20"/>
                <w:szCs w:val="20"/>
                <w:color w:val="auto"/>
              </w:rPr>
            </w:pPr>
            <w:r>
              <w:rPr>
                <w:rFonts w:ascii="Arial" w:cs="Arial" w:eastAsia="Arial" w:hAnsi="Arial"/>
                <w:sz w:val="16"/>
                <w:szCs w:val="16"/>
                <w:color w:val="auto"/>
              </w:rPr>
              <w:t>(13.3)</w:t>
            </w:r>
          </w:p>
        </w:tc>
      </w:tr>
      <w:tr>
        <w:trPr>
          <w:trHeight w:val="235"/>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center"/>
              <w:ind w:left="1179"/>
              <w:spacing w:after="0"/>
              <w:rPr>
                <w:sz w:val="20"/>
                <w:szCs w:val="20"/>
                <w:color w:val="auto"/>
              </w:rPr>
            </w:pPr>
            <w:r>
              <w:rPr>
                <w:rFonts w:ascii="Arial" w:cs="Arial" w:eastAsia="Arial" w:hAnsi="Arial"/>
                <w:sz w:val="16"/>
                <w:szCs w:val="16"/>
                <w:color w:val="auto"/>
              </w:rPr>
              <w:t>(10.5)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25"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During the three months ended November 25, 2023, net cash used in operating activities was $21.4 million compared to net cash provided by operating activities of $29.9 million in the same period last year. The decrease in operating cash flow is primarily driven by changes in accounts receivable due to timing of invoicing/collections and lower profitability adjusted for non-cash items, partially offset by favorable changes in accounts payable due to timing of payments.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1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Cash used in investing activities decreased primarily due to elevated purchases in the first three months of Fiscal 2023 to support operational expansion and organic growth.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5"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Cash used in financing activities increased primarily due to $44.2 million of stock repurchases in the first three months of Fiscal 2024 compared to $4.5 million in the first three months of Fiscal 2023.</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maintain a $350.0 million asset-based revolving credit facility ("ABL Credit Facility") with a maturity date of July 15, 2027 subject to certain factors which may accelerate the maturity date. As of November 25, 2023, we had no borrowings against the ABL Credit Facility.</w:t>
      </w:r>
    </w:p>
    <w:p>
      <w:pPr>
        <w:spacing w:after="0" w:line="196"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As of November 25, 2023, we had $219.6 million in cash and cash equivalents and $350.0 million in unused ABL Credit Facility. Our cash and cash equivalent balances consist of high quality, short-term money market instruments.</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Convertible Notes, the Senior Secured Notes, and the ABL Credit Facility, and will continue to monitor counterparty risk on an on-going basis.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Working Capital</w:t>
      </w:r>
    </w:p>
    <w:p>
      <w:pPr>
        <w:spacing w:after="0" w:line="111"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Working capital at November 25, 2023 and August 26, 2023 was $587.3 million and $600.7 million, respectively. We currently expect cash on hand, funds generated from operations, and the borrowing available under our ABL Credit Facility to be sufficient to cover both short-term and long-term operating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2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19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On August 17, 2022, our Board of Directors authorized a new share repurchase program in the amount of $350.0 million with no time restriction on the authorization, which took effect immediately and replaced the prior program. In the three months ended November 25, 2023, we repurchased approximately 671,000 shares of our own common stock at a cost of $40.0 million under this authorization, and approximately 73,000 shares at a cost of $4.2 million to satisfy tax obligations on employee equity awards vested. We continually evaluate if share repurchases reflect a prudent use of our capital and, subject to compliance with our ABL Credit Facility and Senior Secured Notes, we may purchase shares in the future. As of November 25, 2023, we have $260.0 million remaining on our Board approved repurchase authorization.</w:t>
      </w:r>
    </w:p>
    <w:p>
      <w:pPr>
        <w:spacing w:after="0" w:line="203" w:lineRule="exact"/>
        <w:rPr>
          <w:sz w:val="20"/>
          <w:szCs w:val="20"/>
          <w:color w:val="auto"/>
        </w:rPr>
      </w:pPr>
    </w:p>
    <w:p>
      <w:pPr>
        <w:ind w:right="920"/>
        <w:spacing w:after="0" w:line="304" w:lineRule="auto"/>
        <w:rPr>
          <w:sz w:val="20"/>
          <w:szCs w:val="20"/>
          <w:color w:val="auto"/>
        </w:rPr>
      </w:pPr>
      <w:r>
        <w:rPr>
          <w:rFonts w:ascii="Arial" w:cs="Arial" w:eastAsia="Arial" w:hAnsi="Arial"/>
          <w:sz w:val="16"/>
          <w:szCs w:val="16"/>
          <w:color w:val="auto"/>
        </w:rPr>
        <w:t>On December 15, 2023, our Board of Directors approved a quarterly cash dividend of $0.31 per share payable on January 26, 2024, to common stockholders of record at the close of business on January 12, 2024.</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2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There have been no material changes in our contractual obligations since the end of Fiscal 2023. See our Annual Report on Form 10-K for the fiscal year ended August 26, 2023 for additional information regarding our contractual obligations and commercial commitments.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27"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We describe our critical accounting policies in Note 1 in the Notes to Consolidated Financial Statements included in Item 8 of Part II of our Annual Report on Form 10-K for the fiscal year ended August 26, 2023. We discuss our critical accounting estimates in Item 7 of Part II of our Annual Report on Form 10-K for the fiscal year ended August 26, 2023. There have been no material changes to our critical accounting policies or critical accounting estimates since the end of Fiscal 2023.</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2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For a summary of recently issued applicable accounting pronouncements, see Note 1 in the Notes to Consolidated Financial Statements included in Item 1 of Part I of this Quarterly Report on Form 10-Q.</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26, 2023,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w:t>
      </w:r>
    </w:p>
    <w:p>
      <w:pPr>
        <w:spacing w:after="0" w:line="8"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economic uncertainty in key markets and a worsening of domestic and global economic conditions or low levels of economic growth.</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Availability of financing for RV and marine dealers.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Competition and new product introductions by competitors.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innovate and commercialize new products.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manage our inventory to meet demand.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 related to cyclicality and seasonality of our business.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 related to independent dealers.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 related to dealer consolidation or the loss of a significant dealer.</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Significant increase in repurchase obligations.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retain relationships with our suppliers and obtain components.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Business or production disruptions.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Inadequate management of dealer inventory levels.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material and component costs, including availability and price of fuel and other raw materials.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integrate mergers and acquisitions.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attract and retain qualified personnel and changes in market compensation rates.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Exposure to warranty claims.</w:t>
      </w:r>
    </w:p>
    <w:p>
      <w:pPr>
        <w:spacing w:after="0" w:line="8" w:lineRule="exact"/>
        <w:rPr>
          <w:rFonts w:ascii="Arial" w:cs="Arial" w:eastAsia="Arial" w:hAnsi="Arial"/>
          <w:sz w:val="16"/>
          <w:szCs w:val="16"/>
          <w:color w:val="auto"/>
        </w:rPr>
      </w:pPr>
    </w:p>
    <w:p>
      <w:pPr>
        <w:ind w:left="660" w:right="280" w:hanging="328"/>
        <w:spacing w:after="0" w:line="252"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protect our information technology systems from data security, cyberattacks, and network disruption risks and the ability to successfully upgrade and evolve our information technology systems.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retain brand reputation and related exposure to product liability claims.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Governmental regulation, including for climate change.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attention to environmental, social, and governance ("ESG") matters, and our ability to meet our commitments.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Impairment of goodwill and trade names.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related to our Convertible and Senior Secured Notes, including our ability to satisfy our obligations under these notes.</w:t>
      </w:r>
    </w:p>
    <w:p>
      <w:pPr>
        <w:spacing w:after="0" w:line="246"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We caution that the foregoing list of important factors is not complete. Any forward-looking statements speak only as of the date they are made, and we assume no obligation to update any forward-looking statement that we may make.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ABL Credit Facility, which is our only floating rate debt instrument, remains undrawn as of November 25, 2023.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11"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1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There were no changes in our internal control over financial reporting that occurred during the first quarter of Fiscal 2024 that have materially affected, or are reasonably likely to materially affect, our internal control over financial reporting.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a description of our legal proceedings, see Note 11 in the Notes to Consolidated Financial Statements included in Item 1 of Part I of this Quarterly Report on Form 10-Q.</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26, 2023.</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first quarter of Fiscal 2024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 of Shares Purchased as</w:t>
            </w:r>
          </w:p>
        </w:tc>
        <w:tc>
          <w:tcPr>
            <w:tcW w:w="320" w:type="dxa"/>
            <w:vAlign w:val="bottom"/>
          </w:tcPr>
          <w:p>
            <w:pPr>
              <w:spacing w:after="0"/>
              <w:rPr>
                <w:sz w:val="16"/>
                <w:szCs w:val="16"/>
                <w:color w:val="auto"/>
              </w:rPr>
            </w:pPr>
          </w:p>
        </w:tc>
        <w:tc>
          <w:tcPr>
            <w:tcW w:w="2560" w:type="dxa"/>
            <w:vAlign w:val="bottom"/>
          </w:tcPr>
          <w:p>
            <w:pPr>
              <w:jc w:val="center"/>
              <w:ind w:right="121"/>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Average Price</w:t>
            </w:r>
          </w:p>
        </w:tc>
        <w:tc>
          <w:tcPr>
            <w:tcW w:w="2760" w:type="dxa"/>
            <w:vAlign w:val="bottom"/>
            <w:vMerge w:val="continue"/>
          </w:tcPr>
          <w:p>
            <w:pPr>
              <w:spacing w:after="0"/>
              <w:rPr>
                <w:sz w:val="14"/>
                <w:szCs w:val="14"/>
                <w:color w:val="auto"/>
              </w:rPr>
            </w:pPr>
          </w:p>
        </w:tc>
        <w:tc>
          <w:tcPr>
            <w:tcW w:w="2880" w:type="dxa"/>
            <w:vAlign w:val="bottom"/>
            <w:gridSpan w:val="2"/>
          </w:tcPr>
          <w:p>
            <w:pPr>
              <w:jc w:val="center"/>
              <w:ind w:left="22"/>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880" w:type="dxa"/>
            <w:vAlign w:val="bottom"/>
            <w:gridSpan w:val="2"/>
          </w:tcPr>
          <w:p>
            <w:pPr>
              <w:jc w:val="center"/>
              <w:ind w:left="42"/>
              <w:spacing w:after="0" w:line="162" w:lineRule="exact"/>
              <w:rPr>
                <w:sz w:val="20"/>
                <w:szCs w:val="20"/>
                <w:color w:val="auto"/>
              </w:rPr>
            </w:pPr>
            <w:r>
              <w:rPr>
                <w:rFonts w:ascii="Arial" w:cs="Arial" w:eastAsia="Arial" w:hAnsi="Arial"/>
                <w:sz w:val="14"/>
                <w:szCs w:val="14"/>
                <w:b w:val="1"/>
                <w:bCs w:val="1"/>
                <w:color w:val="auto"/>
              </w:rPr>
              <w:t>Under the Plans or Programs</w:t>
            </w:r>
            <w:r>
              <w:rPr>
                <w:rFonts w:ascii="Arial" w:cs="Arial" w:eastAsia="Arial" w:hAnsi="Arial"/>
                <w:sz w:val="18"/>
                <w:szCs w:val="18"/>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2"/>
                <w:szCs w:val="12"/>
                <w:color w:val="auto"/>
              </w:rPr>
              <w:t>(in</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3"/>
              </w:rPr>
              <w:t>Purchased</w:t>
            </w:r>
            <w:r>
              <w:rPr>
                <w:rFonts w:ascii="Arial" w:cs="Arial" w:eastAsia="Arial" w:hAnsi="Arial"/>
                <w:sz w:val="21"/>
                <w:szCs w:val="21"/>
                <w:b w:val="1"/>
                <w:bCs w:val="1"/>
                <w:color w:val="auto"/>
                <w:w w:val="93"/>
                <w:vertAlign w:val="superscript"/>
              </w:rPr>
              <w:t>(1,2)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7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5"/>
              </w:rPr>
              <w:t>or Programs</w:t>
            </w:r>
            <w:r>
              <w:rPr>
                <w:rFonts w:ascii="Arial" w:cs="Arial" w:eastAsia="Arial" w:hAnsi="Arial"/>
                <w:sz w:val="21"/>
                <w:szCs w:val="21"/>
                <w:b w:val="1"/>
                <w:bCs w:val="1"/>
                <w:color w:val="auto"/>
                <w:w w:val="95"/>
                <w:vertAlign w:val="superscript"/>
              </w:rPr>
              <w:t>(1,2)</w:t>
            </w:r>
          </w:p>
        </w:tc>
        <w:tc>
          <w:tcPr>
            <w:tcW w:w="3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8/27/23 - 9/30/23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10/1/23 - 10/28/23</w:t>
            </w:r>
          </w:p>
        </w:tc>
        <w:tc>
          <w:tcPr>
            <w:tcW w:w="1560" w:type="dxa"/>
            <w:vAlign w:val="bottom"/>
          </w:tcPr>
          <w:p>
            <w:pPr>
              <w:jc w:val="right"/>
              <w:spacing w:after="0"/>
              <w:rPr>
                <w:sz w:val="20"/>
                <w:szCs w:val="20"/>
                <w:color w:val="auto"/>
              </w:rPr>
            </w:pPr>
            <w:r>
              <w:rPr>
                <w:rFonts w:ascii="Arial" w:cs="Arial" w:eastAsia="Arial" w:hAnsi="Arial"/>
                <w:sz w:val="16"/>
                <w:szCs w:val="16"/>
                <w:color w:val="auto"/>
              </w:rPr>
              <w:t>331,269</w:t>
            </w:r>
          </w:p>
        </w:tc>
        <w:tc>
          <w:tcPr>
            <w:tcW w:w="5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58.02</w:t>
            </w:r>
          </w:p>
        </w:tc>
        <w:tc>
          <w:tcPr>
            <w:tcW w:w="2760" w:type="dxa"/>
            <w:vAlign w:val="bottom"/>
          </w:tcPr>
          <w:p>
            <w:pPr>
              <w:jc w:val="right"/>
              <w:spacing w:after="0"/>
              <w:rPr>
                <w:sz w:val="20"/>
                <w:szCs w:val="20"/>
                <w:color w:val="auto"/>
              </w:rPr>
            </w:pPr>
            <w:r>
              <w:rPr>
                <w:rFonts w:ascii="Arial" w:cs="Arial" w:eastAsia="Arial" w:hAnsi="Arial"/>
                <w:sz w:val="16"/>
                <w:szCs w:val="16"/>
                <w:color w:val="auto"/>
              </w:rPr>
              <w:t>258,612</w:t>
            </w:r>
          </w:p>
        </w:tc>
        <w:tc>
          <w:tcPr>
            <w:tcW w:w="320" w:type="dxa"/>
            <w:vAlign w:val="bottom"/>
          </w:tcPr>
          <w:p>
            <w:pPr>
              <w:spacing w:after="0"/>
              <w:rPr>
                <w:sz w:val="18"/>
                <w:szCs w:val="18"/>
                <w:color w:val="auto"/>
              </w:rPr>
            </w:pP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285.0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10/29/23 - 11/25/23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412,562</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60.61</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412,445</w:t>
            </w:r>
          </w:p>
        </w:tc>
        <w:tc>
          <w:tcPr>
            <w:tcW w:w="320" w:type="dxa"/>
            <w:vAlign w:val="bottom"/>
            <w:shd w:val="clear" w:color="auto" w:fill="CCEEFF"/>
          </w:tcPr>
          <w:p>
            <w:pPr>
              <w:spacing w:after="0"/>
              <w:rPr>
                <w:sz w:val="18"/>
                <w:szCs w:val="18"/>
                <w:color w:val="auto"/>
              </w:rPr>
            </w:pP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0"/>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743,831</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59.46</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671,057</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table are shown in whole numbers.</w:t>
      </w:r>
    </w:p>
    <w:p>
      <w:pPr>
        <w:ind w:left="260" w:right="200" w:hanging="252"/>
        <w:spacing w:after="0" w:line="209" w:lineRule="auto"/>
        <w:tabs>
          <w:tab w:leader="none" w:pos="263"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hanging="252"/>
        <w:spacing w:after="0" w:line="183" w:lineRule="auto"/>
        <w:tabs>
          <w:tab w:leader="none" w:pos="26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Pursuant to a $350.0 million share repurchase program authorized by our Board of Directors on August 17, 2022. There is no time restriction on the authorization.</w:t>
      </w:r>
    </w:p>
    <w:p>
      <w:pPr>
        <w:spacing w:after="0" w:line="22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Senior Secured Notes, as defined in Note 9 in the Notes to Consolidated Financial Statements included in Item 1 of Part I of this Quarterly Report on Form 10-Q, contain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27"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During the three months ended November 25, 2023,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ind w:left="100"/>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ectPr>
          <w:pgSz w:w="11900" w:h="16838" w:orient="portrait"/>
          <w:cols w:equalWidth="0" w:num="1">
            <w:col w:w="10380"/>
          </w:cols>
          <w:pgMar w:left="220" w:top="125" w:right="1299" w:bottom="1440" w:gutter="0" w:footer="0" w:header="0"/>
        </w:sectPr>
      </w:pPr>
    </w:p>
    <w:p>
      <w:pPr>
        <w:spacing w:after="0" w:line="289" w:lineRule="exact"/>
        <w:rPr>
          <w:sz w:val="20"/>
          <w:szCs w:val="20"/>
          <w:color w:val="auto"/>
        </w:rPr>
      </w:pPr>
    </w:p>
    <w:p>
      <w:pPr>
        <w:spacing w:after="0"/>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3.1</w:t>
        </w:r>
      </w:hyperlink>
    </w:p>
    <w:p>
      <w:pPr>
        <w:spacing w:after="0" w:line="113" w:lineRule="exact"/>
        <w:rPr>
          <w:sz w:val="20"/>
          <w:szCs w:val="20"/>
          <w:color w:val="auto"/>
        </w:rPr>
      </w:pPr>
    </w:p>
    <w:p>
      <w:pPr>
        <w:spacing w:after="0"/>
        <w:rPr>
          <w:rFonts w:ascii="Arial" w:cs="Arial" w:eastAsia="Arial" w:hAnsi="Arial"/>
          <w:sz w:val="16"/>
          <w:szCs w:val="16"/>
          <w:u w:val="single" w:color="auto"/>
          <w:color w:val="0000FF"/>
        </w:rPr>
      </w:pPr>
      <w:hyperlink r:id="rId39">
        <w:r>
          <w:rPr>
            <w:rFonts w:ascii="Arial" w:cs="Arial" w:eastAsia="Arial" w:hAnsi="Arial"/>
            <w:sz w:val="16"/>
            <w:szCs w:val="16"/>
            <w:u w:val="single" w:color="auto"/>
            <w:color w:val="0000FF"/>
          </w:rPr>
          <w:t>3.2</w:t>
        </w:r>
      </w:hyperlink>
    </w:p>
    <w:p>
      <w:pPr>
        <w:spacing w:after="0" w:line="194" w:lineRule="exact"/>
        <w:rPr>
          <w:sz w:val="20"/>
          <w:szCs w:val="20"/>
          <w:color w:val="auto"/>
        </w:rPr>
      </w:pPr>
    </w:p>
    <w:p>
      <w:pPr>
        <w:spacing w:after="0"/>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4.1</w:t>
        </w:r>
      </w:hyperlink>
    </w:p>
    <w:p>
      <w:pPr>
        <w:spacing w:after="0" w:line="194" w:lineRule="exact"/>
        <w:rPr>
          <w:sz w:val="20"/>
          <w:szCs w:val="20"/>
          <w:color w:val="auto"/>
        </w:rPr>
      </w:pPr>
    </w:p>
    <w:p>
      <w:pPr>
        <w:spacing w:after="0"/>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4.2</w:t>
        </w:r>
      </w:hyperlink>
    </w:p>
    <w:p>
      <w:pPr>
        <w:spacing w:after="0" w:line="383" w:lineRule="exact"/>
        <w:rPr>
          <w:sz w:val="20"/>
          <w:szCs w:val="20"/>
          <w:color w:val="auto"/>
        </w:rPr>
      </w:pPr>
    </w:p>
    <w:p>
      <w:pPr>
        <w:spacing w:after="0"/>
        <w:rPr>
          <w:rFonts w:ascii="Arial" w:cs="Arial" w:eastAsia="Arial" w:hAnsi="Arial"/>
          <w:sz w:val="16"/>
          <w:szCs w:val="16"/>
          <w:u w:val="single" w:color="auto"/>
          <w:color w:val="0000FF"/>
        </w:rPr>
      </w:pPr>
      <w:hyperlink r:id="rId41">
        <w:r>
          <w:rPr>
            <w:rFonts w:ascii="Arial" w:cs="Arial" w:eastAsia="Arial" w:hAnsi="Arial"/>
            <w:sz w:val="16"/>
            <w:szCs w:val="16"/>
            <w:u w:val="single" w:color="auto"/>
            <w:color w:val="0000FF"/>
          </w:rPr>
          <w:t>4.3</w:t>
        </w:r>
      </w:hyperlink>
    </w:p>
    <w:p>
      <w:pPr>
        <w:spacing w:after="0" w:line="221" w:lineRule="exact"/>
        <w:rPr>
          <w:sz w:val="20"/>
          <w:szCs w:val="20"/>
          <w:color w:val="auto"/>
        </w:rPr>
      </w:pPr>
    </w:p>
    <w:p>
      <w:pPr>
        <w:spacing w:after="0"/>
        <w:rPr>
          <w:rFonts w:ascii="Arial" w:cs="Arial" w:eastAsia="Arial" w:hAnsi="Arial"/>
          <w:sz w:val="16"/>
          <w:szCs w:val="16"/>
          <w:u w:val="single" w:color="auto"/>
          <w:color w:val="0000FF"/>
        </w:rPr>
      </w:pPr>
      <w:hyperlink r:id="rId42">
        <w:r>
          <w:rPr>
            <w:rFonts w:ascii="Arial" w:cs="Arial" w:eastAsia="Arial" w:hAnsi="Arial"/>
            <w:sz w:val="16"/>
            <w:szCs w:val="16"/>
            <w:u w:val="single" w:color="auto"/>
            <w:color w:val="0000FF"/>
          </w:rPr>
          <w:t>4.4</w:t>
        </w:r>
      </w:hyperlink>
    </w:p>
    <w:p>
      <w:pPr>
        <w:spacing w:after="0" w:line="383" w:lineRule="exact"/>
        <w:rPr>
          <w:sz w:val="20"/>
          <w:szCs w:val="20"/>
          <w:color w:val="auto"/>
        </w:rPr>
      </w:pPr>
    </w:p>
    <w:p>
      <w:pPr>
        <w:spacing w:after="0"/>
        <w:rPr>
          <w:rFonts w:ascii="Arial" w:cs="Arial" w:eastAsia="Arial" w:hAnsi="Arial"/>
          <w:sz w:val="16"/>
          <w:szCs w:val="16"/>
          <w:u w:val="single" w:color="auto"/>
          <w:color w:val="0000FF"/>
        </w:rPr>
      </w:pPr>
      <w:hyperlink r:id="rId43">
        <w:r>
          <w:rPr>
            <w:rFonts w:ascii="Arial" w:cs="Arial" w:eastAsia="Arial" w:hAnsi="Arial"/>
            <w:sz w:val="16"/>
            <w:szCs w:val="16"/>
            <w:u w:val="single" w:color="auto"/>
            <w:color w:val="0000FF"/>
          </w:rPr>
          <w:t>0.1</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0.2</w:t>
        </w:r>
      </w:hyperlink>
    </w:p>
    <w:p>
      <w:pPr>
        <w:spacing w:after="0" w:line="208" w:lineRule="exact"/>
        <w:rPr>
          <w:sz w:val="20"/>
          <w:szCs w:val="20"/>
          <w:color w:val="auto"/>
        </w:rPr>
      </w:pPr>
    </w:p>
    <w:p>
      <w:pPr>
        <w:spacing w:after="0"/>
        <w:rPr>
          <w:rFonts w:ascii="Arial" w:cs="Arial" w:eastAsia="Arial" w:hAnsi="Arial"/>
          <w:sz w:val="16"/>
          <w:szCs w:val="16"/>
          <w:u w:val="single" w:color="auto"/>
          <w:color w:val="0000FF"/>
        </w:rPr>
      </w:pPr>
      <w:hyperlink r:id="rId45">
        <w:r>
          <w:rPr>
            <w:rFonts w:ascii="Arial" w:cs="Arial" w:eastAsia="Arial" w:hAnsi="Arial"/>
            <w:sz w:val="16"/>
            <w:szCs w:val="16"/>
            <w:u w:val="single" w:color="auto"/>
            <w:color w:val="0000FF"/>
          </w:rPr>
          <w:t>0.3</w:t>
        </w:r>
      </w:hyperlink>
    </w:p>
    <w:p>
      <w:pPr>
        <w:spacing w:after="0" w:line="221" w:lineRule="exact"/>
        <w:rPr>
          <w:sz w:val="20"/>
          <w:szCs w:val="20"/>
          <w:color w:val="auto"/>
        </w:rPr>
      </w:pPr>
    </w:p>
    <w:p>
      <w:pPr>
        <w:spacing w:after="0"/>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0.4</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1.INS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.SCH</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.LAB</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04</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0"/>
        <w:spacing w:after="0" w:line="246" w:lineRule="auto"/>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Articles of Incorporation of Winnebago Industries, Inc., effective January 1, 2022 (incorporated by reference from Exhibit 3.1 to the</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Registrant’s Current Report on Form 8-K dated January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-238760</wp:posOffset>
            </wp:positionV>
            <wp:extent cx="6532245"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ind w:right="320"/>
        <w:spacing w:after="0" w:line="246" w:lineRule="auto"/>
        <w:rPr>
          <w:rFonts w:ascii="Arial" w:cs="Arial" w:eastAsia="Arial" w:hAnsi="Arial"/>
          <w:sz w:val="16"/>
          <w:szCs w:val="16"/>
          <w:u w:val="single" w:color="auto"/>
          <w:color w:val="0000FF"/>
        </w:rPr>
      </w:pPr>
      <w:hyperlink r:id="rId39">
        <w:r>
          <w:rPr>
            <w:rFonts w:ascii="Arial" w:cs="Arial" w:eastAsia="Arial" w:hAnsi="Arial"/>
            <w:sz w:val="16"/>
            <w:szCs w:val="16"/>
            <w:u w:val="single" w:color="auto"/>
            <w:color w:val="0000FF"/>
          </w:rPr>
          <w:t>Bylaws of Winnebago Industries, Inc., effective August 15, 2023 (incorporated by reference from Exhibit 3.2 to the Registrant’s</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Current Report on Form 8-K dated August 17, 2023).</w:t>
        </w:r>
      </w:hyperlink>
    </w:p>
    <w:p>
      <w:pPr>
        <w:spacing w:after="0" w:line="1" w:lineRule="exact"/>
        <w:rPr>
          <w:sz w:val="20"/>
          <w:szCs w:val="20"/>
          <w:color w:val="auto"/>
        </w:rPr>
      </w:pPr>
    </w:p>
    <w:p>
      <w:pPr>
        <w:jc w:val="both"/>
        <w:ind w:right="1000"/>
        <w:spacing w:after="0" w:line="246" w:lineRule="auto"/>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Indenture, dated November 1, 2019, by and between Winnebago Industries, Inc. and U.S. Bank National Association</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(incorporated by reference from Exhibit 4.1 to the Registrant’s Current Report on Form 8-K dated October 29,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-238760</wp:posOffset>
            </wp:positionV>
            <wp:extent cx="6532245"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Form of 1.50% Convertible Senior Note due 2025 (included in Exhibit 4.1).</w:t>
        </w:r>
      </w:hyperlink>
    </w:p>
    <w:p>
      <w:pPr>
        <w:spacing w:after="0" w:line="194" w:lineRule="exact"/>
        <w:rPr>
          <w:sz w:val="20"/>
          <w:szCs w:val="20"/>
          <w:color w:val="auto"/>
        </w:rPr>
      </w:pPr>
    </w:p>
    <w:p>
      <w:pPr>
        <w:ind w:right="100"/>
        <w:spacing w:after="0" w:line="257" w:lineRule="auto"/>
        <w:rPr>
          <w:rFonts w:ascii="Arial" w:cs="Arial" w:eastAsia="Arial" w:hAnsi="Arial"/>
          <w:sz w:val="16"/>
          <w:szCs w:val="16"/>
          <w:u w:val="single" w:color="auto"/>
          <w:color w:val="0000FF"/>
        </w:rPr>
      </w:pPr>
      <w:hyperlink r:id="rId41">
        <w:r>
          <w:rPr>
            <w:rFonts w:ascii="Arial" w:cs="Arial" w:eastAsia="Arial" w:hAnsi="Arial"/>
            <w:sz w:val="16"/>
            <w:szCs w:val="16"/>
            <w:u w:val="single" w:color="auto"/>
            <w:color w:val="0000FF"/>
          </w:rPr>
          <w:t>Indenture, dated as of July 8, 2020, by and among Winnebago Industries, Inc., the guarantors named therein and U.S. Bank</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National Association, as trustee (incorporated by reference from Exhibit 4.1 to the Registrant’s Current Report on Form 8-K dated</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July 8, 2020).</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-591185</wp:posOffset>
            </wp:positionH>
            <wp:positionV relativeFrom="paragraph">
              <wp:posOffset>-374015</wp:posOffset>
            </wp:positionV>
            <wp:extent cx="6532245" cy="377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532245" cy="377190"/>
                    </a:xfrm>
                    <a:prstGeom prst="rect">
                      <a:avLst/>
                    </a:prstGeom>
                    <a:noFill/>
                  </pic:spPr>
                </pic:pic>
              </a:graphicData>
            </a:graphic>
          </wp:anchor>
        </w:drawing>
      </w:r>
    </w:p>
    <w:p>
      <w:pPr>
        <w:spacing w:after="0"/>
        <w:rPr>
          <w:rFonts w:ascii="Arial" w:cs="Arial" w:eastAsia="Arial" w:hAnsi="Arial"/>
          <w:sz w:val="16"/>
          <w:szCs w:val="16"/>
          <w:u w:val="single" w:color="auto"/>
          <w:color w:val="0000FF"/>
        </w:rPr>
      </w:pPr>
      <w:hyperlink r:id="rId42">
        <w:r>
          <w:rPr>
            <w:rFonts w:ascii="Arial" w:cs="Arial" w:eastAsia="Arial" w:hAnsi="Arial"/>
            <w:sz w:val="16"/>
            <w:szCs w:val="16"/>
            <w:u w:val="single" w:color="auto"/>
            <w:color w:val="0000FF"/>
          </w:rPr>
          <w:t>Form of 6.250% Senior Secured Note due 2028 (included in Exhibit 4.3).</w:t>
        </w:r>
      </w:hyperlink>
    </w:p>
    <w:p>
      <w:pPr>
        <w:spacing w:after="0" w:line="194" w:lineRule="exact"/>
        <w:rPr>
          <w:rFonts w:ascii="Arial" w:cs="Arial" w:eastAsia="Arial" w:hAnsi="Arial"/>
          <w:sz w:val="16"/>
          <w:szCs w:val="16"/>
          <w:u w:val="single" w:color="auto"/>
          <w:color w:val="0000FF"/>
        </w:rPr>
      </w:pPr>
    </w:p>
    <w:p>
      <w:pPr>
        <w:ind w:right="80"/>
        <w:spacing w:after="0" w:line="257" w:lineRule="auto"/>
        <w:rPr>
          <w:rFonts w:ascii="Arial" w:cs="Arial" w:eastAsia="Arial" w:hAnsi="Arial"/>
          <w:sz w:val="16"/>
          <w:szCs w:val="16"/>
          <w:u w:val="single" w:color="auto"/>
          <w:color w:val="0000FF"/>
        </w:rPr>
      </w:pPr>
      <w:hyperlink r:id="rId43">
        <w:r>
          <w:rPr>
            <w:rFonts w:ascii="Arial" w:cs="Arial" w:eastAsia="Arial" w:hAnsi="Arial"/>
            <w:sz w:val="16"/>
            <w:szCs w:val="16"/>
            <w:u w:val="single" w:color="auto"/>
            <w:color w:val="0000FF"/>
          </w:rPr>
          <w:t>Amended and Restated Employment Agreement between Winnebago Industries, Inc., Grand Design RV, LLC, and Donald Clark</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effective September 1, 2023 (incorporated by reference from Exhibit 10.30 to the Registrant’s Current Report on Form 10-K dated</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October 18, 2023).*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-591185</wp:posOffset>
            </wp:positionH>
            <wp:positionV relativeFrom="paragraph">
              <wp:posOffset>-374015</wp:posOffset>
            </wp:positionV>
            <wp:extent cx="6532245" cy="377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6532245" cy="377190"/>
                    </a:xfrm>
                    <a:prstGeom prst="rect">
                      <a:avLst/>
                    </a:prstGeom>
                    <a:noFill/>
                  </pic:spPr>
                </pic:pic>
              </a:graphicData>
            </a:graphic>
          </wp:anchor>
        </w:drawing>
      </w:r>
    </w:p>
    <w:p>
      <w:pPr>
        <w:ind w:right="60"/>
        <w:spacing w:after="0" w:line="246" w:lineRule="auto"/>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Amended and Restated Change in Control Agreement between Winnebago Industries, Inc. and Donald Clark effective September</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1, 2023 (incorporated by reference from Exhibit 10.31 to the Registrant’s Current Report on Form 10-K dated October 18, 2023).*</w:t>
        </w:r>
      </w:hyperlink>
    </w:p>
    <w:p>
      <w:pPr>
        <w:spacing w:after="0" w:line="1" w:lineRule="exact"/>
        <w:rPr>
          <w:sz w:val="20"/>
          <w:szCs w:val="20"/>
          <w:color w:val="auto"/>
        </w:rPr>
      </w:pPr>
    </w:p>
    <w:p>
      <w:pPr>
        <w:ind w:right="160"/>
        <w:spacing w:after="0" w:line="272" w:lineRule="auto"/>
        <w:rPr>
          <w:rFonts w:ascii="Arial" w:cs="Arial" w:eastAsia="Arial" w:hAnsi="Arial"/>
          <w:sz w:val="16"/>
          <w:szCs w:val="16"/>
          <w:u w:val="single" w:color="auto"/>
          <w:color w:val="0000FF"/>
        </w:rPr>
      </w:pPr>
      <w:hyperlink r:id="rId45">
        <w:r>
          <w:rPr>
            <w:rFonts w:ascii="Arial" w:cs="Arial" w:eastAsia="Arial" w:hAnsi="Arial"/>
            <w:sz w:val="16"/>
            <w:szCs w:val="16"/>
            <w:u w:val="single" w:color="auto"/>
            <w:color w:val="0000FF"/>
          </w:rPr>
          <w:t>Winnebago Industries, Inc. Amended and Restated 2019 Omnibus Incentive Plan (incorporated by reference from Appendix A to</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the Registrant's Proxy Statement on Definitive 14A filed on November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-263525</wp:posOffset>
            </wp:positionV>
            <wp:extent cx="6532245"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6532245" cy="265430"/>
                    </a:xfrm>
                    <a:prstGeom prst="rect">
                      <a:avLst/>
                    </a:prstGeom>
                    <a:noFill/>
                  </pic:spPr>
                </pic:pic>
              </a:graphicData>
            </a:graphic>
          </wp:anchor>
        </w:drawing>
      </w:r>
    </w:p>
    <w:p>
      <w:pPr>
        <w:ind w:right="600"/>
        <w:spacing w:after="0" w:line="246" w:lineRule="auto"/>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Winnebago Industries, Inc. Employee Stock Purchase Plan as Amended on May 17, 2023 (incorporated by reference from</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Appendix B to the Registrant's Proxy Statement on Definitive 14A filed on November 3, 2023).*</w:t>
        </w:r>
      </w:hyperlink>
    </w:p>
    <w:p>
      <w:pPr>
        <w:spacing w:after="0" w:line="1" w:lineRule="exact"/>
        <w:rPr>
          <w:sz w:val="20"/>
          <w:szCs w:val="20"/>
          <w:color w:val="auto"/>
        </w:rPr>
      </w:pPr>
    </w:p>
    <w:p>
      <w:pPr>
        <w:spacing w:after="0" w:line="321" w:lineRule="auto"/>
        <w:rPr>
          <w:sz w:val="20"/>
          <w:szCs w:val="20"/>
          <w:color w:val="auto"/>
        </w:rPr>
      </w:pPr>
      <w:r>
        <w:rPr>
          <w:rFonts w:ascii="Arial" w:cs="Arial" w:eastAsia="Arial" w:hAnsi="Arial"/>
          <w:sz w:val="16"/>
          <w:szCs w:val="16"/>
          <w:u w:val="single" w:color="auto"/>
          <w:color w:val="0000FF"/>
        </w:rPr>
        <w:t>Form of Performance Stock Unit Agreement under Winnebago Industries, Inc. 2019 Omnibus Incentive Plan (Fiscal 2024 awards)* Certification by the Chief Executive Officer pursuant to Section 302 of the Sarbanes-Oxley Act of 2002 (filed herewith)</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-311785</wp:posOffset>
            </wp:positionV>
            <wp:extent cx="653224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6532245" cy="13716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Certification by the Chief Financial Officer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-115570</wp:posOffset>
            </wp:positionV>
            <wp:extent cx="6532245"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line="174" w:lineRule="exact"/>
        <w:rPr>
          <w:sz w:val="20"/>
          <w:szCs w:val="20"/>
          <w:color w:val="auto"/>
        </w:rPr>
      </w:pPr>
    </w:p>
    <w:p>
      <w:pPr>
        <w:ind w:right="620"/>
        <w:spacing w:after="0" w:line="246" w:lineRule="auto"/>
        <w:rPr>
          <w:sz w:val="20"/>
          <w:szCs w:val="20"/>
          <w:color w:val="auto"/>
        </w:rPr>
      </w:pPr>
      <w:r>
        <w:rPr>
          <w:rFonts w:ascii="Arial" w:cs="Arial" w:eastAsia="Arial" w:hAnsi="Arial"/>
          <w:sz w:val="16"/>
          <w:szCs w:val="16"/>
          <w:u w:val="single" w:color="auto"/>
          <w:color w:val="0000FF"/>
        </w:rPr>
        <w:t>Certification by the Chief Executive Officer pursuant to 18 U.S.C. Section 1350, as adopted pursuant to Section 906 of the Sarbanes-Oxley Act of 2002 (furnished herewith).</w:t>
      </w:r>
    </w:p>
    <w:p>
      <w:pPr>
        <w:spacing w:after="0" w:line="1" w:lineRule="exact"/>
        <w:rPr>
          <w:sz w:val="20"/>
          <w:szCs w:val="20"/>
          <w:color w:val="auto"/>
        </w:rPr>
      </w:pPr>
    </w:p>
    <w:p>
      <w:pPr>
        <w:ind w:right="680"/>
        <w:spacing w:after="0" w:line="246" w:lineRule="auto"/>
        <w:rPr>
          <w:sz w:val="20"/>
          <w:szCs w:val="20"/>
          <w:color w:val="auto"/>
        </w:rPr>
      </w:pPr>
      <w:r>
        <w:rPr>
          <w:rFonts w:ascii="Arial" w:cs="Arial" w:eastAsia="Arial" w:hAnsi="Arial"/>
          <w:sz w:val="16"/>
          <w:szCs w:val="16"/>
          <w:u w:val="single" w:color="auto"/>
          <w:color w:val="0000FF"/>
        </w:rPr>
        <w:t>Certification by the Chief Financial Officer pursuant to 18 U.S.C. Section 1350, as adopted pursuant to Section 906 of the Sarbanes-Oxley Act of 2002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-238760</wp:posOffset>
            </wp:positionV>
            <wp:extent cx="6532245"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ind w:right="600"/>
        <w:spacing w:after="0" w:line="246"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 (furnished herewith).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Schema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-115570</wp:posOffset>
            </wp:positionV>
            <wp:extent cx="653224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653224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Calculation Linkbase Document (furnished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-115570</wp:posOffset>
            </wp:positionV>
            <wp:extent cx="653224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653224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Label Linkbase Document (furnished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Presentation Linkbase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-115570</wp:posOffset>
            </wp:positionV>
            <wp:extent cx="653224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653224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in Inline XBRL and contained in Exhibit 101) (furnished herewith).</w:t>
      </w:r>
    </w:p>
    <w:p>
      <w:pPr>
        <w:spacing w:after="0" w:line="200" w:lineRule="exact"/>
        <w:rPr>
          <w:sz w:val="20"/>
          <w:szCs w:val="20"/>
          <w:color w:val="auto"/>
        </w:rPr>
      </w:pPr>
    </w:p>
    <w:p>
      <w:pPr>
        <w:sectPr>
          <w:pgSz w:w="11900" w:h="16838" w:orient="portrait"/>
          <w:cols w:equalWidth="0" w:num="2">
            <w:col w:w="400" w:space="640"/>
            <w:col w:w="9340"/>
          </w:cols>
          <w:pgMar w:left="220" w:top="125" w:right="1299" w:bottom="1440" w:gutter="0" w:footer="0" w:header="0"/>
          <w:type w:val="continuous"/>
        </w:sect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5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220" w:top="125" w:right="12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660"/>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WINNEBAGO INDUSTRIES, INC.</w:t>
            </w:r>
          </w:p>
        </w:tc>
      </w:tr>
      <w:tr>
        <w:trPr>
          <w:trHeight w:val="43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140" w:type="dxa"/>
            <w:vAlign w:val="bottom"/>
          </w:tcPr>
          <w:p>
            <w:pPr>
              <w:ind w:left="160"/>
              <w:spacing w:after="0"/>
              <w:rPr>
                <w:sz w:val="20"/>
                <w:szCs w:val="20"/>
                <w:color w:val="auto"/>
              </w:rPr>
            </w:pPr>
            <w:r>
              <w:rPr>
                <w:rFonts w:ascii="Arial" w:cs="Arial" w:eastAsia="Arial" w:hAnsi="Arial"/>
                <w:sz w:val="16"/>
                <w:szCs w:val="16"/>
                <w:color w:val="auto"/>
              </w:rPr>
              <w:t>December 20, 2023</w:t>
            </w: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2"/>
        </w:trPr>
        <w:tc>
          <w:tcPr>
            <w:tcW w:w="5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Michael J. Happe</w:t>
            </w:r>
          </w:p>
        </w:tc>
      </w:tr>
      <w:tr>
        <w:trPr>
          <w:trHeight w:val="284"/>
        </w:trPr>
        <w:tc>
          <w:tcPr>
            <w:tcW w:w="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Executive Officer, President</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43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140" w:type="dxa"/>
            <w:vAlign w:val="bottom"/>
          </w:tcPr>
          <w:p>
            <w:pPr>
              <w:ind w:left="160"/>
              <w:spacing w:after="0"/>
              <w:rPr>
                <w:sz w:val="20"/>
                <w:szCs w:val="20"/>
                <w:color w:val="auto"/>
              </w:rPr>
            </w:pPr>
            <w:r>
              <w:rPr>
                <w:rFonts w:ascii="Arial" w:cs="Arial" w:eastAsia="Arial" w:hAnsi="Arial"/>
                <w:sz w:val="16"/>
                <w:szCs w:val="16"/>
                <w:color w:val="auto"/>
              </w:rPr>
              <w:t>December 20, 2023</w:t>
            </w: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9"/>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Bryan L. Hughes</w:t>
            </w:r>
          </w:p>
        </w:tc>
      </w:tr>
      <w:tr>
        <w:trPr>
          <w:trHeight w:val="215"/>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940"/>
          </w:cols>
          <w:pgMar w:left="320" w:top="125" w:right="639" w:bottom="1440" w:gutter="0" w:footer="0" w:header="0"/>
        </w:sectPr>
      </w:pPr>
    </w:p>
    <w:bookmarkStart w:id="30" w:name="page31"/>
    <w:bookmarkEnd w:id="30"/>
    <w:p>
      <w:pPr>
        <w:ind w:left="10120"/>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Stock Unit Agreement</w:t>
      </w:r>
    </w:p>
    <w:p>
      <w:pPr>
        <w:spacing w:after="0" w:line="22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Winnebago Industries,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pursuant to its 2019 Omnibus Incentive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hereby grants an award of Performance Stock Units to you, the Participant named below. The terms and conditions of this Award are set forth in this Performance Stock</w:t>
      </w:r>
    </w:p>
    <w:p>
      <w:pPr>
        <w:spacing w:after="0" w:line="211" w:lineRule="auto"/>
        <w:rPr>
          <w:sz w:val="20"/>
          <w:szCs w:val="20"/>
          <w:color w:val="auto"/>
        </w:rPr>
      </w:pPr>
      <w:r>
        <w:rPr>
          <w:rFonts w:ascii="Times New Roman" w:cs="Times New Roman" w:eastAsia="Times New Roman" w:hAnsi="Times New Roman"/>
          <w:sz w:val="20"/>
          <w:szCs w:val="20"/>
          <w:color w:val="auto"/>
        </w:rPr>
        <w:t>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consisting of this cover page, the Terms and Conditions on the following pages, the attached Exhibit 1</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any Exhibit subsequently provided for the second or third Sub-Performance Period (together with Exhibit 1, the “</w:t>
      </w:r>
      <w:r>
        <w:rPr>
          <w:rFonts w:ascii="Times New Roman" w:cs="Times New Roman" w:eastAsia="Times New Roman" w:hAnsi="Times New Roman"/>
          <w:sz w:val="19"/>
          <w:szCs w:val="19"/>
          <w:u w:val="single" w:color="auto"/>
          <w:color w:val="auto"/>
        </w:rPr>
        <w:t>Exhibits</w:t>
      </w:r>
      <w:r>
        <w:rPr>
          <w:rFonts w:ascii="Times New Roman" w:cs="Times New Roman" w:eastAsia="Times New Roman" w:hAnsi="Times New Roman"/>
          <w:sz w:val="19"/>
          <w:szCs w:val="19"/>
          <w:color w:val="auto"/>
        </w:rPr>
        <w:t>”), and in the Plan document, a copy of which has been provided to you. Any capitalized term that is used but not defined in this Agreement shall have the</w:t>
      </w:r>
    </w:p>
    <w:p>
      <w:pPr>
        <w:spacing w:after="0"/>
        <w:rPr>
          <w:sz w:val="20"/>
          <w:szCs w:val="20"/>
          <w:color w:val="auto"/>
        </w:rPr>
      </w:pPr>
      <w:r>
        <w:rPr>
          <w:rFonts w:ascii="Times New Roman" w:cs="Times New Roman" w:eastAsia="Times New Roman" w:hAnsi="Times New Roman"/>
          <w:sz w:val="20"/>
          <w:szCs w:val="20"/>
          <w:color w:val="auto"/>
        </w:rPr>
        <w:t>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154305</wp:posOffset>
            </wp:positionV>
            <wp:extent cx="7098030" cy="26320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098030" cy="2632075"/>
                    </a:xfrm>
                    <a:prstGeom prst="rect">
                      <a:avLst/>
                    </a:prstGeom>
                    <a:noFill/>
                  </pic:spPr>
                </pic:pic>
              </a:graphicData>
            </a:graphic>
          </wp:anchor>
        </w:drawing>
      </w:r>
    </w:p>
    <w:p>
      <w:pPr>
        <w:spacing w:after="0" w:line="268"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Name of Participant:</w:t>
            </w:r>
          </w:p>
        </w:tc>
        <w:tc>
          <w:tcPr>
            <w:tcW w:w="2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Target Number of Performance Stock Units:</w:t>
            </w:r>
          </w:p>
        </w:tc>
        <w:tc>
          <w:tcPr>
            <w:tcW w:w="2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Maximum Number of Performance Stock</w:t>
            </w: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Units:</w:t>
            </w:r>
          </w:p>
        </w:tc>
        <w:tc>
          <w:tcPr>
            <w:tcW w:w="7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October 10, 2023</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Grant Date:</w:t>
            </w:r>
          </w:p>
        </w:tc>
        <w:tc>
          <w:tcPr>
            <w:tcW w:w="730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Performance Period:</w:t>
            </w:r>
          </w:p>
        </w:tc>
        <w:tc>
          <w:tcPr>
            <w:tcW w:w="7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There is a full three-year performance period, which is August 27, 2023 – August 29,</w:t>
            </w:r>
          </w:p>
        </w:tc>
        <w:tc>
          <w:tcPr>
            <w:tcW w:w="0" w:type="dxa"/>
            <w:vAlign w:val="bottom"/>
          </w:tcPr>
          <w:p>
            <w:pPr>
              <w:spacing w:after="0"/>
              <w:rPr>
                <w:sz w:val="1"/>
                <w:szCs w:val="1"/>
                <w:color w:val="auto"/>
              </w:rPr>
            </w:pPr>
          </w:p>
        </w:tc>
      </w:tr>
      <w:tr>
        <w:trPr>
          <w:trHeight w:val="52"/>
        </w:trPr>
        <w:tc>
          <w:tcPr>
            <w:tcW w:w="3600" w:type="dxa"/>
            <w:vAlign w:val="bottom"/>
          </w:tcPr>
          <w:p>
            <w:pPr>
              <w:spacing w:after="0"/>
              <w:rPr>
                <w:sz w:val="4"/>
                <w:szCs w:val="4"/>
                <w:color w:val="auto"/>
              </w:rPr>
            </w:pPr>
          </w:p>
        </w:tc>
        <w:tc>
          <w:tcPr>
            <w:tcW w:w="73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730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20"/>
                <w:szCs w:val="20"/>
                <w:color w:val="auto"/>
              </w:rPr>
              <w:t>2026, which also includes three periods of time within such Performance Period that</w:t>
            </w: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730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20"/>
                <w:szCs w:val="20"/>
                <w:color w:val="auto"/>
              </w:rPr>
              <w:t>correspond to the Fiscal Years within the Performance Period (each such Fiscal Year, a</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730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20"/>
                <w:szCs w:val="20"/>
                <w:color w:val="auto"/>
              </w:rPr>
              <w:t>“Sub-Performance Period”).</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Vesting Schedule:</w:t>
            </w:r>
          </w:p>
        </w:tc>
        <w:tc>
          <w:tcPr>
            <w:tcW w:w="2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3600" w:type="dxa"/>
            <w:vAlign w:val="bottom"/>
            <w:vMerge w:val="continue"/>
          </w:tcPr>
          <w:p>
            <w:pPr>
              <w:spacing w:after="0"/>
              <w:rPr>
                <w:sz w:val="24"/>
                <w:szCs w:val="24"/>
                <w:color w:val="auto"/>
              </w:rPr>
            </w:pPr>
          </w:p>
        </w:tc>
        <w:tc>
          <w:tcPr>
            <w:tcW w:w="7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w w:val="98"/>
              </w:rPr>
              <w:t>The number of Units determined in accordance with the Exhibits to have been earned as of</w:t>
            </w:r>
          </w:p>
        </w:tc>
        <w:tc>
          <w:tcPr>
            <w:tcW w:w="0" w:type="dxa"/>
            <w:vAlign w:val="bottom"/>
          </w:tcPr>
          <w:p>
            <w:pPr>
              <w:spacing w:after="0"/>
              <w:rPr>
                <w:sz w:val="1"/>
                <w:szCs w:val="1"/>
                <w:color w:val="auto"/>
              </w:rPr>
            </w:pPr>
          </w:p>
        </w:tc>
      </w:tr>
      <w:tr>
        <w:trPr>
          <w:trHeight w:val="52"/>
        </w:trPr>
        <w:tc>
          <w:tcPr>
            <w:tcW w:w="3600" w:type="dxa"/>
            <w:vAlign w:val="bottom"/>
          </w:tcPr>
          <w:p>
            <w:pPr>
              <w:spacing w:after="0"/>
              <w:rPr>
                <w:sz w:val="4"/>
                <w:szCs w:val="4"/>
                <w:color w:val="auto"/>
              </w:rPr>
            </w:pPr>
          </w:p>
        </w:tc>
        <w:tc>
          <w:tcPr>
            <w:tcW w:w="73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730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20"/>
                <w:szCs w:val="20"/>
                <w:color w:val="auto"/>
                <w:w w:val="98"/>
              </w:rPr>
              <w:t>the end of the Performance Period will vest* on the date the Company’s Human Resources</w:t>
            </w: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7300" w:type="dxa"/>
            <w:vAlign w:val="bottom"/>
            <w:gridSpan w:val="3"/>
          </w:tcPr>
          <w:p>
            <w:pPr>
              <w:ind w:left="120"/>
              <w:spacing w:after="0" w:line="199" w:lineRule="exact"/>
              <w:rPr>
                <w:sz w:val="20"/>
                <w:szCs w:val="20"/>
                <w:color w:val="auto"/>
              </w:rPr>
            </w:pPr>
            <w:r>
              <w:rPr>
                <w:rFonts w:ascii="Times New Roman" w:cs="Times New Roman" w:eastAsia="Times New Roman" w:hAnsi="Times New Roman"/>
                <w:sz w:val="18"/>
                <w:szCs w:val="18"/>
                <w:color w:val="auto"/>
              </w:rPr>
              <w:t>Committee certifies such performance results, which shall be no later than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2"/>
                <w:szCs w:val="22"/>
                <w:color w:val="auto"/>
              </w:rPr>
            </w:pPr>
          </w:p>
        </w:tc>
        <w:tc>
          <w:tcPr>
            <w:tcW w:w="7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the third calendar month following the end of the Performance Period.</w:t>
            </w:r>
          </w:p>
        </w:tc>
        <w:tc>
          <w:tcPr>
            <w:tcW w:w="0" w:type="dxa"/>
            <w:vAlign w:val="bottom"/>
          </w:tcPr>
          <w:p>
            <w:pPr>
              <w:spacing w:after="0"/>
              <w:rPr>
                <w:sz w:val="1"/>
                <w:szCs w:val="1"/>
                <w:color w:val="auto"/>
              </w:rPr>
            </w:pPr>
          </w:p>
        </w:tc>
      </w:tr>
      <w:tr>
        <w:trPr>
          <w:trHeight w:val="299"/>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Performance Goals:</w:t>
            </w:r>
          </w:p>
        </w:tc>
        <w:tc>
          <w:tcPr>
            <w:tcW w:w="7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See Exhibit 1 and any Exhibit subsequently provided for the second or third Sub-</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2"/>
                <w:szCs w:val="22"/>
                <w:color w:val="auto"/>
              </w:rPr>
            </w:pPr>
          </w:p>
        </w:tc>
        <w:tc>
          <w:tcPr>
            <w:tcW w:w="7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Performance Period.</w:t>
            </w:r>
          </w:p>
        </w:tc>
        <w:tc>
          <w:tcPr>
            <w:tcW w:w="0" w:type="dxa"/>
            <w:vAlign w:val="bottom"/>
          </w:tcPr>
          <w:p>
            <w:pPr>
              <w:spacing w:after="0"/>
              <w:rPr>
                <w:sz w:val="1"/>
                <w:szCs w:val="1"/>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 Assumes your Service has been continuous from the Grant Date to the vesting date.</w:t>
      </w:r>
    </w:p>
    <w:p>
      <w:pPr>
        <w:spacing w:after="0" w:line="3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By logging into and accepting this Agreement through your account with E*TRADE, you acknowledge and agree (A) to be bound by</w:t>
      </w:r>
    </w:p>
    <w:p>
      <w:pPr>
        <w:spacing w:after="0" w:line="5"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all of the terms and conditions of this Agreement (including any terms and conditions contained in any Exhibit for a subsequent Sub-Performance Period) and in the Plan document and (B) that you have received and reviewed these documents (other than any 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subsequently provided for the second or third Sub-Performance Period, which I understand will be provided at a later date).</w:t>
      </w:r>
    </w:p>
    <w:p>
      <w:pPr>
        <w:sectPr>
          <w:pgSz w:w="11900" w:h="16838" w:orient="portrait"/>
          <w:cols w:equalWidth="0" w:num="1">
            <w:col w:w="11240"/>
          </w:cols>
          <w:pgMar w:left="320" w:top="94" w:right="339" w:bottom="1440" w:gutter="0" w:footer="0" w:header="0"/>
        </w:sectPr>
      </w:pPr>
    </w:p>
    <w:bookmarkStart w:id="31" w:name="page32"/>
    <w:bookmarkEnd w:id="31"/>
    <w:p>
      <w:pPr>
        <w:ind w:left="410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Performance Stock Unit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29" w:lineRule="exact"/>
        <w:rPr>
          <w:sz w:val="20"/>
          <w:szCs w:val="20"/>
          <w:color w:val="auto"/>
        </w:rPr>
      </w:pPr>
    </w:p>
    <w:p>
      <w:pPr>
        <w:ind w:right="380" w:firstLine="8"/>
        <w:spacing w:after="0" w:line="301" w:lineRule="auto"/>
        <w:tabs>
          <w:tab w:leader="none" w:pos="3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Agreement, the definitions of terms contained in the Plan hereby are incorporated by reference,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to the extent that any such term is specifically defined in this Agreement.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shall have the meaning set forth in your change in control agreement, if applicable.</w:t>
      </w:r>
    </w:p>
    <w:p>
      <w:pPr>
        <w:spacing w:after="0" w:line="202" w:lineRule="exact"/>
        <w:rPr>
          <w:sz w:val="20"/>
          <w:szCs w:val="20"/>
          <w:color w:val="auto"/>
        </w:rPr>
      </w:pPr>
    </w:p>
    <w:p>
      <w:pPr>
        <w:jc w:val="both"/>
        <w:ind w:firstLine="8"/>
        <w:spacing w:after="0" w:line="213" w:lineRule="auto"/>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Award of Performance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hereby confirms the grant to you, as of the Grant Date and subject to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this Agreement and the Plan, of an award of Performance Stock Units (the “Units”) in an amount initially equal to the Target Number of Performance Stock Units specified on the cover page of this Agreement. The number of Units that may actually be earned and become eligible to vest pursuant to this Award can be between 0% and 200% of the Target Number of Performance Stock Units, but may not exceed the Maximum Number of Performance Stock Units specified on the cover page of this Agreement. Each Unit that is earned as a result of the performance goals specified in the Exhibits to this Agreement having been satisfied and which thereafter vests represents the right to receive one share of the Company’s common stock (each, a “Share”). Prior to their settlement or forfeiture in accordance with the terms of this Agreement, the Units granted to you will be credited to a performance stock unit account in your name maintained by the Company. This account will be unfunded and maintained for book-keeping purposes only, with the Units simply representing an unfunded and unsecured contingent obligation of the Company.</w:t>
      </w:r>
    </w:p>
    <w:p>
      <w:pPr>
        <w:spacing w:after="0" w:line="186" w:lineRule="exact"/>
        <w:rPr>
          <w:rFonts w:ascii="Times New Roman" w:cs="Times New Roman" w:eastAsia="Times New Roman" w:hAnsi="Times New Roman"/>
          <w:sz w:val="20"/>
          <w:szCs w:val="20"/>
          <w:color w:val="auto"/>
        </w:rPr>
      </w:pPr>
    </w:p>
    <w:p>
      <w:pPr>
        <w:jc w:val="both"/>
        <w:ind w:firstLine="8"/>
        <w:spacing w:after="0" w:line="228" w:lineRule="auto"/>
        <w:tabs>
          <w:tab w:leader="none" w:pos="36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Restrictions Applicable to Units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Neither this Award nor the Units subject to this Award may be sold, assigned, transferred, exchanged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the Award immediately prior to its transfer. Any attempted transfer in violation of this Section 3 shall be void and without effect. The Units and your right to receive Shares in settlement of any Units under this Agreement shall be subject to forfeiture except to extent the Units have been earned and thereafter vest as provided in Section 5a.</w:t>
      </w:r>
    </w:p>
    <w:p>
      <w:pPr>
        <w:spacing w:after="0" w:line="185" w:lineRule="exact"/>
        <w:rPr>
          <w:rFonts w:ascii="Times New Roman" w:cs="Times New Roman" w:eastAsia="Times New Roman" w:hAnsi="Times New Roman"/>
          <w:sz w:val="19"/>
          <w:szCs w:val="19"/>
          <w:color w:val="auto"/>
        </w:rPr>
      </w:pPr>
    </w:p>
    <w:p>
      <w:pPr>
        <w:jc w:val="both"/>
        <w:ind w:firstLine="8"/>
        <w:spacing w:after="0" w:line="227" w:lineRule="auto"/>
        <w:tabs>
          <w:tab w:leader="none" w:pos="37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Shareholder Rights</w:t>
      </w:r>
      <w:r>
        <w:rPr>
          <w:rFonts w:ascii="Times New Roman" w:cs="Times New Roman" w:eastAsia="Times New Roman" w:hAnsi="Times New Roman"/>
          <w:sz w:val="20"/>
          <w:szCs w:val="20"/>
          <w:color w:val="auto"/>
        </w:rPr>
        <w:t>. The Units subject to this Award do not entitle you to any rights of a holder of the Company’s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not have any of the rights of a shareholder of the Company in connection with any Units granted or earned pursuant to this Agreement unless and until Shares are issued to you in settlement of earned and vested Units as provided in Section 6.</w:t>
      </w:r>
    </w:p>
    <w:p>
      <w:pPr>
        <w:spacing w:after="0" w:line="184" w:lineRule="exact"/>
        <w:rPr>
          <w:rFonts w:ascii="Times New Roman" w:cs="Times New Roman" w:eastAsia="Times New Roman" w:hAnsi="Times New Roman"/>
          <w:sz w:val="20"/>
          <w:szCs w:val="20"/>
          <w:color w:val="auto"/>
        </w:rPr>
      </w:pPr>
    </w:p>
    <w:p>
      <w:pPr>
        <w:jc w:val="both"/>
        <w:ind w:firstLine="8"/>
        <w:spacing w:after="0" w:line="227" w:lineRule="auto"/>
        <w:tabs>
          <w:tab w:leader="none" w:pos="34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and Forfeiture of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Agreement, “Vesting Date” means any date, including the Scheduled Vesting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below), on which Units subject to this Agreement vest as provided in this Section 5. Subject in all cases to Section 16(i) of the Plan, the Units shall vest at the earliest of the following times and to the degree specified.</w:t>
      </w:r>
    </w:p>
    <w:p>
      <w:pPr>
        <w:spacing w:after="0" w:line="188" w:lineRule="exact"/>
        <w:rPr>
          <w:rFonts w:ascii="Times New Roman" w:cs="Times New Roman" w:eastAsia="Times New Roman" w:hAnsi="Times New Roman"/>
          <w:sz w:val="20"/>
          <w:szCs w:val="20"/>
          <w:color w:val="auto"/>
        </w:rPr>
      </w:pPr>
    </w:p>
    <w:p>
      <w:pPr>
        <w:jc w:val="both"/>
        <w:ind w:firstLine="656"/>
        <w:spacing w:after="0" w:line="216" w:lineRule="auto"/>
        <w:tabs>
          <w:tab w:leader="none" w:pos="1065"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Vesting</w:t>
      </w:r>
      <w:r>
        <w:rPr>
          <w:rFonts w:ascii="Times New Roman" w:cs="Times New Roman" w:eastAsia="Times New Roman" w:hAnsi="Times New Roman"/>
          <w:sz w:val="20"/>
          <w:szCs w:val="20"/>
          <w:color w:val="auto"/>
        </w:rPr>
        <w:t>. The number of Units that have been earned during the Performance Period, as determined by the Committee in accordance with the Exhibits, will vest on the Scheduled Vesting Date, so long as your Service has been continuous from the Grant Date to the Scheduled Vesting Date. For these purposes, the “Scheduled Vesting Date” means the date the Committee certifies (i) the degree to which the applicable performance goals for the Performance Period have been satisfied, and (ii) the number of Units that have been earned during the Performance Period as determined in accordance with the Exhibits, which certification shall occur no later than the 10th day of the third calendar month following the end of the Performance Period.</w:t>
      </w:r>
    </w:p>
    <w:p>
      <w:pPr>
        <w:spacing w:after="0" w:line="189" w:lineRule="exact"/>
        <w:rPr>
          <w:rFonts w:ascii="Times New Roman" w:cs="Times New Roman" w:eastAsia="Times New Roman" w:hAnsi="Times New Roman"/>
          <w:sz w:val="20"/>
          <w:szCs w:val="20"/>
          <w:color w:val="auto"/>
        </w:rPr>
      </w:pPr>
    </w:p>
    <w:p>
      <w:pPr>
        <w:jc w:val="both"/>
        <w:ind w:firstLine="656"/>
        <w:spacing w:after="0" w:line="226" w:lineRule="auto"/>
        <w:tabs>
          <w:tab w:leader="none" w:pos="1103"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If your Service terminates by reason of your death or Disability prior to the Scheduled Vesting Date, then as of the date of your termination of Service, a number of Units shall vest determined as follows (i) the number of Units earned based on the actual level of performance for any Sub-</w:t>
      </w:r>
    </w:p>
    <w:p>
      <w:pPr>
        <w:sectPr>
          <w:pgSz w:w="11900" w:h="16838" w:orient="portrait"/>
          <w:cols w:equalWidth="0" w:num="1">
            <w:col w:w="11240"/>
          </w:cols>
          <w:pgMar w:left="320" w:top="142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color w:val="auto"/>
        </w:rPr>
        <w:t>Performance Period that has concluded prior to your termination of Service, plus (ii) either (A) the Target Number of Performance Stock</w:t>
      </w:r>
    </w:p>
    <w:p>
      <w:pPr>
        <w:spacing w:after="0" w:line="204" w:lineRule="auto"/>
        <w:rPr>
          <w:sz w:val="20"/>
          <w:szCs w:val="20"/>
          <w:color w:val="auto"/>
        </w:rPr>
      </w:pPr>
      <w:r>
        <w:rPr>
          <w:rFonts w:ascii="Times New Roman" w:cs="Times New Roman" w:eastAsia="Times New Roman" w:hAnsi="Times New Roman"/>
          <w:sz w:val="20"/>
          <w:szCs w:val="20"/>
          <w:color w:val="auto"/>
        </w:rPr>
        <w:t>Units allocated to the Performance Period or any Sub-Performance Period that has not concluded prior to your termination of Service or (B) in the discretion of the Committee upon its determination of the actual level of performance (if determinable) through the date of your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termination of Service, the number of Units specified by the Committee as having been earned based on such performance.</w:t>
      </w:r>
    </w:p>
    <w:p>
      <w:pPr>
        <w:spacing w:after="0" w:line="194" w:lineRule="exact"/>
        <w:rPr>
          <w:sz w:val="20"/>
          <w:szCs w:val="20"/>
          <w:color w:val="auto"/>
        </w:rPr>
      </w:pPr>
    </w:p>
    <w:p>
      <w:pPr>
        <w:jc w:val="both"/>
        <w:ind w:firstLine="656"/>
        <w:spacing w:after="0" w:line="226" w:lineRule="auto"/>
        <w:tabs>
          <w:tab w:leader="none" w:pos="1079"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If a Change in Control occurs after the Grant Date but before the Scheduled Vesting Date and your Service continues to the date of the Change in Control, the provisions of Section 12 of the Plan shall apply, including those providing for benefits upon termination of Service for Good Reason.</w:t>
      </w:r>
    </w:p>
    <w:p>
      <w:pPr>
        <w:spacing w:after="0" w:line="187" w:lineRule="exact"/>
        <w:rPr>
          <w:rFonts w:ascii="Times New Roman" w:cs="Times New Roman" w:eastAsia="Times New Roman" w:hAnsi="Times New Roman"/>
          <w:sz w:val="20"/>
          <w:szCs w:val="20"/>
          <w:color w:val="auto"/>
        </w:rPr>
      </w:pPr>
    </w:p>
    <w:p>
      <w:pPr>
        <w:jc w:val="both"/>
        <w:ind w:firstLine="656"/>
        <w:spacing w:after="0" w:line="216" w:lineRule="auto"/>
        <w:tabs>
          <w:tab w:leader="none" w:pos="109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If, due to Retirement, your Service terminates at least twelve (12) months after the Grant Date and prior to the end of the Performance Period, then your Units shall remain outstanding and eligible to vest on the Scheduled Vesting Date, and the number of Units vesting on the Scheduled Vesting Date will equal the number of Units that would have vested pursuant to this Agreement if your termination of Service had not occurred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For this purpose, (i) Retirement means any termination of employment (other than by the Company for Cause or due to death or Disability) at or after age sixty-five (65) or at or after age fifty-five (55) with ten (10) or more years of continuous Service to the Company and its Affiliates, with Service measured from your most recent date of hire and (ii) any period of service to an entity prior to such entity becoming an Affiliate will not count towards your Service measurement</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0"/>
          <w:szCs w:val="20"/>
          <w:color w:val="auto"/>
        </w:rPr>
      </w:pPr>
    </w:p>
    <w:p>
      <w:pPr>
        <w:jc w:val="both"/>
        <w:ind w:firstLine="656"/>
        <w:spacing w:after="0" w:line="222" w:lineRule="auto"/>
        <w:tabs>
          <w:tab w:leader="none" w:pos="1106"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of Unvested Units</w:t>
      </w:r>
      <w:r>
        <w:rPr>
          <w:rFonts w:ascii="Times New Roman" w:cs="Times New Roman" w:eastAsia="Times New Roman" w:hAnsi="Times New Roman"/>
          <w:sz w:val="20"/>
          <w:szCs w:val="20"/>
          <w:color w:val="auto"/>
        </w:rPr>
        <w:t>. To the extent any of Sections 5(a) through (d) is applicable to this Award, any Units that do not vest on the Vesting Date as provided therein shall immediately be forfeited. If your Service terminates prior to the Scheduled Vesting Date under circumstances other than as set forth in Sections 5(b) and 5(d), all unvested Units shall immediately be forfeited. Notwithstanding this forfeiture, you will continue to be subject to the terms and conditions of this Agreement.</w:t>
      </w:r>
    </w:p>
    <w:p>
      <w:pPr>
        <w:spacing w:after="0" w:line="171" w:lineRule="exact"/>
        <w:rPr>
          <w:rFonts w:ascii="Times New Roman" w:cs="Times New Roman" w:eastAsia="Times New Roman" w:hAnsi="Times New Roman"/>
          <w:sz w:val="20"/>
          <w:szCs w:val="20"/>
          <w:color w:val="auto"/>
        </w:rPr>
      </w:pPr>
    </w:p>
    <w:p>
      <w:pPr>
        <w:jc w:val="both"/>
        <w:ind w:firstLine="8"/>
        <w:spacing w:after="0" w:line="219" w:lineRule="auto"/>
        <w:tabs>
          <w:tab w:leader="none" w:pos="346"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Settlement of Units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soon as practicable after any date on which Units vest (but no later than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day of the third calendar month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the Vesting Date), the Company shall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75" w:lineRule="exact"/>
        <w:rPr>
          <w:rFonts w:ascii="Times New Roman" w:cs="Times New Roman" w:eastAsia="Times New Roman" w:hAnsi="Times New Roman"/>
          <w:sz w:val="19"/>
          <w:szCs w:val="19"/>
          <w:color w:val="auto"/>
        </w:rPr>
      </w:pPr>
    </w:p>
    <w:p>
      <w:pPr>
        <w:jc w:val="both"/>
        <w:ind w:firstLine="8"/>
        <w:spacing w:after="0" w:line="216" w:lineRule="auto"/>
        <w:tabs>
          <w:tab w:leader="none" w:pos="4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Dividend Equivalents</w:t>
      </w:r>
      <w:r>
        <w:rPr>
          <w:rFonts w:ascii="Times New Roman" w:cs="Times New Roman" w:eastAsia="Times New Roman" w:hAnsi="Times New Roman"/>
          <w:sz w:val="20"/>
          <w:szCs w:val="20"/>
          <w:color w:val="auto"/>
        </w:rPr>
        <w:t>. If the Company pays cash dividends on its Shares while any Units subject to this Agreement are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 on the date this Award vests pursuant to Section 5 above, the Total Dividend Equivalent Amount will be credited to your performance stock unit account in cash. The “Total Dividend Equivalent Amount” will be determined by multiplying the number of underlying Units determined to have vested as of the Vesting Date by the per share amount of each cash dividend paid on the Company’s common stock with a record date and payment date occurring between the Grant Date and the Vesting Date, and adding those products together. The Total Dividend Equivalent Amount so credited will be fully vested and subject to settlement at the same time as the underlying Units as provided in Section 6 above. Any dividend equivalents accrued on Units that are forfeited in accordance with this Agreement shall also be forfeited.</w:t>
      </w:r>
    </w:p>
    <w:p>
      <w:pPr>
        <w:spacing w:after="0" w:line="184" w:lineRule="exact"/>
        <w:rPr>
          <w:rFonts w:ascii="Times New Roman" w:cs="Times New Roman" w:eastAsia="Times New Roman" w:hAnsi="Times New Roman"/>
          <w:sz w:val="20"/>
          <w:szCs w:val="20"/>
          <w:color w:val="auto"/>
        </w:rPr>
      </w:pPr>
    </w:p>
    <w:p>
      <w:pPr>
        <w:jc w:val="both"/>
        <w:ind w:firstLine="8"/>
        <w:spacing w:after="0" w:line="216" w:lineRule="auto"/>
        <w:tabs>
          <w:tab w:leader="none" w:pos="37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Consequences and Withholding</w:t>
      </w:r>
      <w:r>
        <w:rPr>
          <w:rFonts w:ascii="Times New Roman" w:cs="Times New Roman" w:eastAsia="Times New Roman" w:hAnsi="Times New Roman"/>
          <w:sz w:val="20"/>
          <w:szCs w:val="20"/>
          <w:color w:val="auto"/>
        </w:rPr>
        <w:t>. No Shares will be delivered to you in settlement of vested Units, and no payment of any vested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Total Dividend Equivalent Amount will be made, unless you have made arrangements acceptable to the Company for payment of any federal, state, local or foreign withholding taxes that may be due as a result of the delivery of the Shares and any such payment. You hereby authorize the Company (or any Affiliate) to withhold from the Total Dividend Equivalent Amount,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that all withholding tax obligations may be satisfied by</w:t>
      </w:r>
    </w:p>
    <w:p>
      <w:pPr>
        <w:sectPr>
          <w:pgSz w:w="11900" w:h="16838" w:orient="portrait"/>
          <w:cols w:equalWidth="0" w:num="1">
            <w:col w:w="11240"/>
          </w:cols>
          <w:pgMar w:left="320" w:top="139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having the Company or its agent withhold a number of Shares that would otherwise be issued to you in settlement of the Units and that have</w:t>
      </w:r>
    </w:p>
    <w:p>
      <w:pPr>
        <w:spacing w:after="0" w:line="215" w:lineRule="auto"/>
        <w:rPr>
          <w:sz w:val="20"/>
          <w:szCs w:val="20"/>
          <w:color w:val="auto"/>
        </w:rPr>
      </w:pPr>
      <w:r>
        <w:rPr>
          <w:rFonts w:ascii="Times New Roman" w:cs="Times New Roman" w:eastAsia="Times New Roman" w:hAnsi="Times New Roman"/>
          <w:sz w:val="19"/>
          <w:szCs w:val="19"/>
          <w:color w:val="auto"/>
        </w:rPr>
        <w:t>a fair market value equal to the then-outstanding amount of such withholding tax obligations, unless in lieu thereof, you elect at the time of conversion of the Units such other then-permitted method or combination of methods established by the Committee in its discretion, if any, to</w:t>
      </w:r>
    </w:p>
    <w:p>
      <w:pPr>
        <w:spacing w:after="0"/>
        <w:rPr>
          <w:sz w:val="20"/>
          <w:szCs w:val="20"/>
          <w:color w:val="auto"/>
        </w:rPr>
      </w:pPr>
      <w:r>
        <w:rPr>
          <w:rFonts w:ascii="Times New Roman" w:cs="Times New Roman" w:eastAsia="Times New Roman" w:hAnsi="Times New Roman"/>
          <w:sz w:val="20"/>
          <w:szCs w:val="20"/>
          <w:color w:val="auto"/>
        </w:rPr>
        <w:t>satisfy your withholding tax obligations.</w:t>
      </w:r>
    </w:p>
    <w:p>
      <w:pPr>
        <w:spacing w:after="0" w:line="190" w:lineRule="exact"/>
        <w:rPr>
          <w:sz w:val="20"/>
          <w:szCs w:val="20"/>
          <w:color w:val="auto"/>
        </w:rPr>
      </w:pPr>
    </w:p>
    <w:p>
      <w:pPr>
        <w:jc w:val="both"/>
        <w:ind w:firstLine="8"/>
        <w:spacing w:after="0" w:line="216" w:lineRule="auto"/>
        <w:tabs>
          <w:tab w:leader="none" w:pos="48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Every notice or other communication relating to this Agreement shall be in writing and shall be mailed to or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144"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Provisions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656"/>
        <w:spacing w:after="0" w:line="226" w:lineRule="auto"/>
        <w:tabs>
          <w:tab w:leader="none" w:pos="116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79"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Plan Document</w:t>
      </w:r>
      <w:r>
        <w:rPr>
          <w:rFonts w:ascii="Times New Roman" w:cs="Times New Roman" w:eastAsia="Times New Roman" w:hAnsi="Times New Roman"/>
          <w:sz w:val="20"/>
          <w:szCs w:val="20"/>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87" w:lineRule="exact"/>
        <w:rPr>
          <w:rFonts w:ascii="Times New Roman" w:cs="Times New Roman" w:eastAsia="Times New Roman" w:hAnsi="Times New Roman"/>
          <w:sz w:val="20"/>
          <w:szCs w:val="20"/>
          <w:color w:val="auto"/>
        </w:rPr>
      </w:pPr>
    </w:p>
    <w:p>
      <w:pPr>
        <w:ind w:right="20" w:firstLine="656"/>
        <w:spacing w:after="0" w:line="233" w:lineRule="auto"/>
        <w:tabs>
          <w:tab w:leader="none" w:pos="1079"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187" w:lineRule="exact"/>
        <w:rPr>
          <w:rFonts w:ascii="Times New Roman" w:cs="Times New Roman" w:eastAsia="Times New Roman" w:hAnsi="Times New Roman"/>
          <w:sz w:val="20"/>
          <w:szCs w:val="20"/>
          <w:color w:val="auto"/>
        </w:rPr>
      </w:pPr>
    </w:p>
    <w:p>
      <w:pPr>
        <w:jc w:val="both"/>
        <w:ind w:firstLine="656"/>
        <w:spacing w:after="0" w:line="222" w:lineRule="auto"/>
        <w:tabs>
          <w:tab w:leader="none" w:pos="109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88" w:lineRule="exact"/>
        <w:rPr>
          <w:rFonts w:ascii="Times New Roman" w:cs="Times New Roman" w:eastAsia="Times New Roman" w:hAnsi="Times New Roman"/>
          <w:sz w:val="20"/>
          <w:szCs w:val="20"/>
          <w:color w:val="auto"/>
        </w:rPr>
      </w:pPr>
    </w:p>
    <w:p>
      <w:pPr>
        <w:ind w:firstLine="656"/>
        <w:spacing w:after="0" w:line="233" w:lineRule="auto"/>
        <w:tabs>
          <w:tab w:leader="none" w:pos="1065"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be binding in all respects on your heirs, representatives, successors and assigns, and on the successors and assigns of the Company.</w:t>
      </w:r>
    </w:p>
    <w:p>
      <w:pPr>
        <w:spacing w:after="0" w:line="187" w:lineRule="exact"/>
        <w:rPr>
          <w:rFonts w:ascii="Times New Roman" w:cs="Times New Roman" w:eastAsia="Times New Roman" w:hAnsi="Times New Roman"/>
          <w:sz w:val="20"/>
          <w:szCs w:val="20"/>
          <w:color w:val="auto"/>
        </w:rPr>
      </w:pPr>
    </w:p>
    <w:p>
      <w:pPr>
        <w:jc w:val="both"/>
        <w:ind w:left="660" w:hanging="4"/>
        <w:spacing w:after="0" w:line="220" w:lineRule="auto"/>
        <w:tabs>
          <w:tab w:leader="none" w:pos="105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 The award of Units as provided in this Agreement and any issuance of Shares or payment pursuant to this Agreement are intended to be exempt from Section 409A of the Code under the short-term deferral exception specified in Treas. Reg. § 1.409A-l(b)(4). However, for the avoidance of doubt, to the extent that this Agreement is subject to Section 409A of the Code, the Agreement is intended to comply with the requirements of Section 409A of the Code, and the provisions of the Plan and the Agreement shall be interpreted in a manner that satisfies such requirements.</w:t>
      </w:r>
    </w:p>
    <w:p>
      <w:pPr>
        <w:spacing w:after="0" w:line="174" w:lineRule="exact"/>
        <w:rPr>
          <w:rFonts w:ascii="Times New Roman" w:cs="Times New Roman" w:eastAsia="Times New Roman" w:hAnsi="Times New Roman"/>
          <w:sz w:val="20"/>
          <w:szCs w:val="20"/>
          <w:color w:val="auto"/>
        </w:rPr>
      </w:pPr>
    </w:p>
    <w:p>
      <w:pPr>
        <w:jc w:val="both"/>
        <w:ind w:firstLine="656"/>
        <w:spacing w:after="0" w:line="222" w:lineRule="auto"/>
        <w:tabs>
          <w:tab w:leader="none" w:pos="1103"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this Performance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53" w:lineRule="exact"/>
        <w:rPr>
          <w:rFonts w:ascii="Times New Roman" w:cs="Times New Roman" w:eastAsia="Times New Roman" w:hAnsi="Times New Roman"/>
          <w:sz w:val="20"/>
          <w:szCs w:val="20"/>
          <w:color w:val="auto"/>
        </w:rPr>
      </w:pPr>
    </w:p>
    <w:p>
      <w:pPr>
        <w:jc w:val="both"/>
        <w:ind w:firstLine="656"/>
        <w:spacing w:after="0" w:line="226" w:lineRule="auto"/>
        <w:tabs>
          <w:tab w:leader="none" w:pos="1103"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and Compensation Recovery</w:t>
      </w:r>
      <w:r>
        <w:rPr>
          <w:rFonts w:ascii="Times New Roman" w:cs="Times New Roman" w:eastAsia="Times New Roman" w:hAnsi="Times New Roman"/>
          <w:sz w:val="20"/>
          <w:szCs w:val="20"/>
          <w:color w:val="auto"/>
        </w:rPr>
        <w:t>. To the extent that this Award and any compensation associated herewith is considered “incentive-based compensation” within the meaning and subject to the requirements of Section 10D of the Exchange Act, this Award and any compensation associated herewith shall be subject to potential forfeiture or recovery by the Company or other action in</w:t>
      </w:r>
    </w:p>
    <w:p>
      <w:pPr>
        <w:sectPr>
          <w:pgSz w:w="11900" w:h="16838" w:orient="portrait"/>
          <w:cols w:equalWidth="0" w:num="1">
            <w:col w:w="11240"/>
          </w:cols>
          <w:pgMar w:left="320" w:top="139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accordance with the Company’s Mandatory Compensation Recovery Policy and/or the Company’s Supplemental Compensation Recovery</w:t>
      </w:r>
    </w:p>
    <w:p>
      <w:pPr>
        <w:spacing w:after="0" w:line="204" w:lineRule="auto"/>
        <w:rPr>
          <w:sz w:val="20"/>
          <w:szCs w:val="20"/>
          <w:color w:val="auto"/>
        </w:rPr>
      </w:pPr>
      <w:r>
        <w:rPr>
          <w:rFonts w:ascii="Times New Roman" w:cs="Times New Roman" w:eastAsia="Times New Roman" w:hAnsi="Times New Roman"/>
          <w:sz w:val="20"/>
          <w:szCs w:val="20"/>
          <w:color w:val="auto"/>
        </w:rPr>
        <w:t>Policy, as either may be amended or amended and restated from time to time, and any other compensation recovery policy adopted by the Board or the Committee at any time, including in response to the requirements of Section 10D of the Exchange Act and any implementing</w:t>
      </w:r>
    </w:p>
    <w:p>
      <w:pPr>
        <w:spacing w:after="0" w:line="211" w:lineRule="auto"/>
        <w:rPr>
          <w:sz w:val="20"/>
          <w:szCs w:val="20"/>
          <w:color w:val="auto"/>
        </w:rPr>
      </w:pPr>
      <w:r>
        <w:rPr>
          <w:rFonts w:ascii="Times New Roman" w:cs="Times New Roman" w:eastAsia="Times New Roman" w:hAnsi="Times New Roman"/>
          <w:sz w:val="20"/>
          <w:szCs w:val="20"/>
          <w:color w:val="auto"/>
        </w:rPr>
        <w:t>rules and regulations thereunder adopted by the Securities and Exchange Commission or any national securities exchange on which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Company’s Shares are then listed, or as otherwise required by law. This Agreement may be unilaterally amended by the Committee to comply with any such compensation recovery policy.</w:t>
      </w:r>
    </w:p>
    <w:p>
      <w:pPr>
        <w:spacing w:after="0" w:line="185"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ectPr>
          <w:pgSz w:w="11900" w:h="16838" w:orient="portrait"/>
          <w:cols w:equalWidth="0" w:num="1">
            <w:col w:w="11240"/>
          </w:cols>
          <w:pgMar w:left="320" w:top="139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3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660" w:right="300" w:hanging="328"/>
        <w:spacing w:after="0" w:line="275"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660" w:right="20" w:hanging="328"/>
        <w:spacing w:after="0" w:line="266"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660" w:right="820" w:hanging="328"/>
        <w:spacing w:after="0" w:line="286" w:lineRule="auto"/>
        <w:tabs>
          <w:tab w:leader="none" w:pos="65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660" w:hanging="328"/>
        <w:spacing w:after="0" w:line="266"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right="440" w:hanging="332"/>
        <w:spacing w:after="0" w:line="28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6"/>
          <w:szCs w:val="16"/>
          <w:color w:val="auto"/>
        </w:rPr>
      </w:pPr>
    </w:p>
    <w:p>
      <w:pPr>
        <w:ind w:left="660" w:right="60" w:hanging="328"/>
        <w:spacing w:after="0" w:line="286"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6"/>
          <w:szCs w:val="16"/>
          <w:color w:val="auto"/>
        </w:rPr>
      </w:pPr>
    </w:p>
    <w:p>
      <w:pPr>
        <w:ind w:left="660" w:right="360" w:hanging="328"/>
        <w:spacing w:after="0" w:line="304"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680"/>
        <w:spacing w:after="0"/>
        <w:tabs>
          <w:tab w:leader="none" w:pos="1560" w:val="left"/>
          <w:tab w:leader="none" w:pos="64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20, 2023</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20955</wp:posOffset>
            </wp:positionV>
            <wp:extent cx="25457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8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3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660" w:right="300" w:hanging="328"/>
        <w:spacing w:after="0" w:line="275"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660" w:right="20" w:hanging="328"/>
        <w:spacing w:after="0" w:line="266"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660" w:right="820" w:hanging="328"/>
        <w:spacing w:after="0" w:line="286" w:lineRule="auto"/>
        <w:tabs>
          <w:tab w:leader="none" w:pos="65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660" w:hanging="328"/>
        <w:spacing w:after="0" w:line="266"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right="440" w:hanging="332"/>
        <w:spacing w:after="0" w:line="28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6"/>
          <w:szCs w:val="16"/>
          <w:color w:val="auto"/>
        </w:rPr>
      </w:pPr>
    </w:p>
    <w:p>
      <w:pPr>
        <w:ind w:left="660" w:right="60" w:hanging="328"/>
        <w:spacing w:after="0" w:line="286"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6"/>
          <w:szCs w:val="16"/>
          <w:color w:val="auto"/>
        </w:rPr>
      </w:pPr>
    </w:p>
    <w:p>
      <w:pPr>
        <w:ind w:left="660" w:right="360" w:hanging="328"/>
        <w:spacing w:after="0" w:line="304"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1140"/>
        <w:spacing w:after="0"/>
        <w:tabs>
          <w:tab w:leader="none" w:pos="1760" w:val="left"/>
          <w:tab w:leader="none" w:pos="6480" w:val="left"/>
        </w:tabs>
        <w:rPr>
          <w:sz w:val="20"/>
          <w:szCs w:val="20"/>
          <w:color w:val="auto"/>
        </w:rPr>
      </w:pPr>
      <w:r>
        <w:rPr>
          <w:rFonts w:ascii="Arial" w:cs="Arial" w:eastAsia="Arial" w:hAnsi="Arial"/>
          <w:sz w:val="16"/>
          <w:szCs w:val="16"/>
          <w:color w:val="auto"/>
        </w:rPr>
        <w:t>Date:</w:t>
        <w:tab/>
        <w:t>December 20, 2023</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24599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6"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Senior Vice President, Chief Financial Officer</w:t>
      </w:r>
    </w:p>
    <w:p>
      <w:pPr>
        <w:sectPr>
          <w:pgSz w:w="11900" w:h="16838" w:orient="portrait"/>
          <w:cols w:equalWidth="0" w:num="1">
            <w:col w:w="11240"/>
          </w:cols>
          <w:pgMar w:left="320" w:top="89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6" w:lineRule="exact"/>
        <w:rPr>
          <w:sz w:val="20"/>
          <w:szCs w:val="20"/>
          <w:color w:val="auto"/>
        </w:rPr>
      </w:pPr>
    </w:p>
    <w:p>
      <w:pPr>
        <w:ind w:left="660" w:right="700" w:hanging="328"/>
        <w:spacing w:after="0" w:line="28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November 25, 2023 (the "Report") of the Company, fully complies with the requirements of Section 13(a) or 15(d) of the Securities Exchange Act of 1934, and</w:t>
      </w:r>
    </w:p>
    <w:p>
      <w:pPr>
        <w:spacing w:after="0" w:line="18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02" w:lineRule="exact"/>
        <w:rPr>
          <w:sz w:val="20"/>
          <w:szCs w:val="20"/>
          <w:color w:val="auto"/>
        </w:rPr>
      </w:pPr>
    </w:p>
    <w:p>
      <w:pPr>
        <w:ind w:left="720"/>
        <w:spacing w:after="0"/>
        <w:tabs>
          <w:tab w:leader="none" w:pos="1540" w:val="left"/>
          <w:tab w:leader="none" w:pos="6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20, 2023</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20955</wp:posOffset>
            </wp:positionV>
            <wp:extent cx="2700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spacing w:after="0" w:line="8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6" w:lineRule="exact"/>
        <w:rPr>
          <w:sz w:val="20"/>
          <w:szCs w:val="20"/>
          <w:color w:val="auto"/>
        </w:rPr>
      </w:pPr>
    </w:p>
    <w:p>
      <w:pPr>
        <w:ind w:left="660" w:right="700" w:hanging="328"/>
        <w:spacing w:after="0" w:line="28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November 25, 2023 (the "Report") of the Company, fully complies with the requirements of Section 13(a) or 15(d) of the Securities Exchange Act of 1934, and</w:t>
      </w:r>
    </w:p>
    <w:p>
      <w:pPr>
        <w:spacing w:after="0" w:line="18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02" w:lineRule="exact"/>
        <w:rPr>
          <w:sz w:val="20"/>
          <w:szCs w:val="20"/>
          <w:color w:val="auto"/>
        </w:rPr>
      </w:pPr>
    </w:p>
    <w:p>
      <w:pPr>
        <w:ind w:left="700"/>
        <w:spacing w:after="0"/>
        <w:tabs>
          <w:tab w:leader="none" w:pos="1400" w:val="left"/>
          <w:tab w:leader="none" w:pos="65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20, 2023</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20955</wp:posOffset>
            </wp:positionV>
            <wp:extent cx="2691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Senior Vice President, 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2"/>
    </w:lvl>
    <w:lvl w:ilvl="1">
      <w:lvlJc w:val="left"/>
      <w:lvlText w:val="(%2)"/>
      <w:numFmt w:val="lowerLetter"/>
      <w:start w:val="1"/>
    </w:lvl>
  </w:abstractNum>
  <w:abstractNum w:abstractNumId="13">
    <w:nsid w:val="25E45D32"/>
    <w:multiLevelType w:val="hybridMultilevel"/>
    <w:lvl w:ilvl="0">
      <w:lvlJc w:val="left"/>
      <w:lvlText w:val="%1"/>
      <w:numFmt w:val="decimal"/>
      <w:start w:val="1"/>
    </w:lvl>
    <w:lvl w:ilvl="1">
      <w:lvlJc w:val="left"/>
      <w:lvlText w:val="(%2)"/>
      <w:numFmt w:val="lowerLetter"/>
      <w:start w:val="3"/>
    </w:lvl>
  </w:abstractNum>
  <w:abstractNum w:abstractNumId="14">
    <w:nsid w:val="519B500D"/>
    <w:multiLevelType w:val="hybridMultilevel"/>
    <w:lvl w:ilvl="0">
      <w:lvlJc w:val="left"/>
      <w:lvlText w:val="%1."/>
      <w:numFmt w:val="decimal"/>
      <w:start w:val="6"/>
    </w:lvl>
    <w:lvl w:ilvl="1">
      <w:lvlJc w:val="left"/>
      <w:lvlText w:val="%2"/>
      <w:numFmt w:val="lowerLetter"/>
      <w:start w:val="1"/>
    </w:lvl>
  </w:abstractNum>
  <w:abstractNum w:abstractNumId="15">
    <w:nsid w:val="431BD7B7"/>
    <w:multiLevelType w:val="hybridMultilevel"/>
    <w:lvl w:ilvl="0">
      <w:lvlJc w:val="left"/>
      <w:lvlText w:val="%1."/>
      <w:numFmt w:val="decimal"/>
      <w:start w:val="9"/>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38" Type="http://schemas.openxmlformats.org/officeDocument/2006/relationships/hyperlink" Target="https://www.sec.gov/Archives/edgar/data/107687/000010768722000004/wgo-mnarticlesreincorporat.htm" TargetMode="External"/><Relationship Id="rId39" Type="http://schemas.openxmlformats.org/officeDocument/2006/relationships/hyperlink" Target="https://www.sec.gov/Archives/edgar/data/107687/000010768723000018/wgo-bylawsxaugust152023xfi.htm" TargetMode="External"/><Relationship Id="rId40" Type="http://schemas.openxmlformats.org/officeDocument/2006/relationships/hyperlink" Target="http://www.sec.gov/Archives/edgar/data/107687/000110465919059604/a19-21005_2ex4d1.htm" TargetMode="External"/><Relationship Id="rId41" Type="http://schemas.openxmlformats.org/officeDocument/2006/relationships/hyperlink" Target="https://www.sec.gov/Archives/edgar/data/0000107687/000110465920082433/tm2024371d1_ex4-1.htm" TargetMode="External"/><Relationship Id="rId42" Type="http://schemas.openxmlformats.org/officeDocument/2006/relationships/hyperlink" Target="https://www.sec.gov/Archives/edgar/data/107687/000110465920082433/tm2024371d1_ex4-1.htm" TargetMode="External"/><Relationship Id="rId43" Type="http://schemas.openxmlformats.org/officeDocument/2006/relationships/hyperlink" Target="https://www.sec.gov/Archives/edgar/data/107687/000010768723000028/donclark-secondamendedan.htm" TargetMode="External"/><Relationship Id="rId44" Type="http://schemas.openxmlformats.org/officeDocument/2006/relationships/hyperlink" Target="https://www.sec.gov/Archives/edgar/data/107687/000010768723000028/dclark-secondamendedandr.htm" TargetMode="External"/><Relationship Id="rId45" Type="http://schemas.openxmlformats.org/officeDocument/2006/relationships/hyperlink" Target="https://www.sec.gov/ix?doc=/Archives/edgar/data/107687/000114036123051281/ny20008674x1_def14a.htm#tAPPA" TargetMode="External"/><Relationship Id="rId46" Type="http://schemas.openxmlformats.org/officeDocument/2006/relationships/hyperlink" Target="https://www.sec.gov/ix?doc=/Archives/edgar/data/107687/000114036123051281/ny20008674x1_def14a.htm#tAPPB"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2023-12-20T15:16:29Z</dcterms:created>
  <dcterms:modified xsi:type="dcterms:W3CDTF">2023-12-20T15:16:29Z</dcterms:modified>
</cp:coreProperties>
</file>