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1" w:lineRule="exact"/>
        <w:rPr>
          <w:sz w:val="24"/>
          <w:szCs w:val="24"/>
          <w:color w:val="auto"/>
        </w:rPr>
      </w:pPr>
    </w:p>
    <w:p>
      <w:pPr>
        <w:ind w:left="1060" w:right="2199" w:hanging="526"/>
        <w:spacing w:after="0" w:line="347" w:lineRule="auto"/>
        <w:tabs>
          <w:tab w:leader="none" w:pos="1040" w:val="left"/>
        </w:tabs>
        <w:rPr>
          <w:sz w:val="20"/>
          <w:szCs w:val="20"/>
          <w:color w:val="auto"/>
        </w:rPr>
      </w:pPr>
      <w:r>
        <w:rPr>
          <w:rFonts w:ascii="Courier New" w:cs="Courier New" w:eastAsia="Courier New" w:hAnsi="Courier New"/>
          <w:sz w:val="18"/>
          <w:szCs w:val="18"/>
          <w:color w:val="auto"/>
        </w:rPr>
        <w:t>_X_</w:t>
        <w:tab/>
        <w:t>QUARTERLY REPORT PURSUANT TO SECTION 13 OR 15(d) OF THE SECURITIES EXCHANGE ACT OF 1934</w:t>
      </w:r>
    </w:p>
    <w:p>
      <w:pPr>
        <w:spacing w:after="0" w:line="18"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For the quarterly period ended</w:t>
      </w:r>
      <w:r>
        <w:rPr>
          <w:sz w:val="20"/>
          <w:szCs w:val="20"/>
          <w:color w:val="auto"/>
        </w:rPr>
        <w:tab/>
      </w:r>
      <w:r>
        <w:rPr>
          <w:rFonts w:ascii="Courier New" w:cs="Courier New" w:eastAsia="Courier New" w:hAnsi="Courier New"/>
          <w:sz w:val="16"/>
          <w:szCs w:val="16"/>
          <w:color w:val="auto"/>
        </w:rPr>
        <w:t>March 2, 1996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1060" w:right="2099" w:hanging="519"/>
        <w:spacing w:after="0" w:line="347" w:lineRule="auto"/>
        <w:tabs>
          <w:tab w:leader="none" w:pos="1040" w:val="left"/>
        </w:tabs>
        <w:rPr>
          <w:sz w:val="20"/>
          <w:szCs w:val="20"/>
          <w:color w:val="auto"/>
        </w:rPr>
      </w:pPr>
      <w:r>
        <w:rPr>
          <w:rFonts w:ascii="Courier New" w:cs="Courier New" w:eastAsia="Courier New" w:hAnsi="Courier New"/>
          <w:sz w:val="18"/>
          <w:szCs w:val="18"/>
          <w:color w:val="auto"/>
        </w:rPr>
        <w:t>___</w:t>
        <w:tab/>
        <w:t>TRANSITION REPORT PURSUANT TO SECTION 13 OR 15(d) OF THE SECURITIES EXCHANGE ACT OF 1934</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from _____________ to _____________</w:t>
      </w:r>
    </w:p>
    <w:p>
      <w:pPr>
        <w:spacing w:after="0" w:line="20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1-6403</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921" w:orient="portrait"/>
          <w:cols w:equalWidth="0" w:num="1">
            <w:col w:w="10219"/>
          </w:cols>
          <w:pgMar w:left="240" w:top="623" w:right="1440" w:bottom="0" w:gutter="0" w:footer="0" w:header="0"/>
        </w:sectPr>
      </w:pP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IOWA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42-0803978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191" w:lineRule="exact"/>
        <w:rPr>
          <w:sz w:val="24"/>
          <w:szCs w:val="24"/>
          <w:color w:val="auto"/>
        </w:rPr>
      </w:pPr>
    </w:p>
    <w:p>
      <w:pPr>
        <w:sectPr>
          <w:pgSz w:w="11900" w:h="16921" w:orient="portrait"/>
          <w:cols w:equalWidth="0" w:num="2">
            <w:col w:w="4660" w:space="720"/>
            <w:col w:w="4839"/>
          </w:cols>
          <w:pgMar w:left="240" w:top="623" w:right="1440" w:bottom="0" w:gutter="0" w:footer="0" w:header="0"/>
          <w:type w:val="continuous"/>
        </w:sectPr>
      </w:pPr>
    </w:p>
    <w:p>
      <w:pPr>
        <w:ind w:right="760"/>
        <w:spacing w:after="0" w:line="402" w:lineRule="auto"/>
        <w:rPr>
          <w:sz w:val="20"/>
          <w:szCs w:val="20"/>
          <w:color w:val="auto"/>
        </w:rPr>
      </w:pPr>
      <w:r>
        <w:rPr>
          <w:rFonts w:ascii="Courier New" w:cs="Courier New" w:eastAsia="Courier New" w:hAnsi="Courier New"/>
          <w:sz w:val="16"/>
          <w:szCs w:val="16"/>
          <w:color w:val="auto"/>
        </w:rPr>
        <w:t>P. O. Box 152, Forest City, Iowa (Address of principal 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8"/>
          <w:szCs w:val="18"/>
          <w:color w:val="auto"/>
        </w:rPr>
        <w:t>50436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192" w:lineRule="exact"/>
        <w:rPr>
          <w:sz w:val="24"/>
          <w:szCs w:val="24"/>
          <w:color w:val="auto"/>
        </w:rPr>
      </w:pPr>
    </w:p>
    <w:p>
      <w:pPr>
        <w:sectPr>
          <w:pgSz w:w="11900" w:h="16921" w:orient="portrait"/>
          <w:cols w:equalWidth="0" w:num="2">
            <w:col w:w="4980" w:space="720"/>
            <w:col w:w="4519"/>
          </w:cols>
          <w:pgMar w:left="240" w:top="623" w:right="1440" w:bottom="0" w:gutter="0" w:footer="0" w:header="0"/>
          <w:type w:val="continuous"/>
        </w:sectPr>
      </w:pPr>
    </w:p>
    <w:p>
      <w:pPr>
        <w:spacing w:after="0"/>
        <w:tabs>
          <w:tab w:leader="none" w:pos="55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(515) 582-3535</w:t>
      </w:r>
    </w:p>
    <w:p>
      <w:pPr>
        <w:spacing w:after="0" w:line="201"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____.</w:t>
      </w:r>
    </w:p>
    <w:p>
      <w:pPr>
        <w:spacing w:after="0" w:line="90" w:lineRule="exact"/>
        <w:rPr>
          <w:sz w:val="24"/>
          <w:szCs w:val="24"/>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There were 25,352,222 shares of $.50 par value common stock outstanding on April 11, 1996.</w:t>
      </w:r>
    </w:p>
    <w:p>
      <w:pPr>
        <w:spacing w:after="0" w:line="18"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INDEX TO REPORT ON FORM 10-Q</w:t>
      </w:r>
    </w:p>
    <w:p>
      <w:pPr>
        <w:spacing w:after="0" w:line="200" w:lineRule="exact"/>
        <w:rPr>
          <w:sz w:val="24"/>
          <w:szCs w:val="24"/>
          <w:color w:val="auto"/>
        </w:rPr>
      </w:pPr>
    </w:p>
    <w:p>
      <w:pPr>
        <w:spacing w:after="0" w:line="204" w:lineRule="exact"/>
        <w:rPr>
          <w:sz w:val="24"/>
          <w:szCs w:val="24"/>
          <w:color w:val="auto"/>
        </w:rPr>
      </w:pPr>
    </w:p>
    <w:p>
      <w:pPr>
        <w:jc w:val="center"/>
        <w:ind w:left="4400"/>
        <w:spacing w:after="0"/>
        <w:rPr>
          <w:sz w:val="20"/>
          <w:szCs w:val="20"/>
          <w:color w:val="auto"/>
        </w:rPr>
      </w:pPr>
      <w:r>
        <w:rPr>
          <w:rFonts w:ascii="Courier New" w:cs="Courier New" w:eastAsia="Courier New" w:hAnsi="Courier New"/>
          <w:sz w:val="18"/>
          <w:szCs w:val="18"/>
          <w:color w:val="auto"/>
        </w:rPr>
        <w:t>Page</w:t>
      </w:r>
    </w:p>
    <w:p>
      <w:pPr>
        <w:spacing w:after="0" w:line="31" w:lineRule="exact"/>
        <w:rPr>
          <w:sz w:val="24"/>
          <w:szCs w:val="24"/>
          <w:color w:val="auto"/>
        </w:rPr>
      </w:pPr>
    </w:p>
    <w:p>
      <w:pPr>
        <w:jc w:val="center"/>
        <w:ind w:left="4400"/>
        <w:spacing w:after="0"/>
        <w:rPr>
          <w:sz w:val="20"/>
          <w:szCs w:val="20"/>
          <w:color w:val="auto"/>
        </w:rPr>
      </w:pPr>
      <w:r>
        <w:rPr>
          <w:rFonts w:ascii="Courier New" w:cs="Courier New" w:eastAsia="Courier New" w:hAnsi="Courier New"/>
          <w:sz w:val="18"/>
          <w:szCs w:val="18"/>
          <w:color w:val="auto"/>
        </w:rPr>
        <w:t>Number</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7540" w:type="dxa"/>
            <w:vAlign w:val="bottom"/>
            <w:gridSpan w:val="3"/>
          </w:tcPr>
          <w:p>
            <w:pPr>
              <w:spacing w:after="0"/>
              <w:rPr>
                <w:sz w:val="20"/>
                <w:szCs w:val="20"/>
                <w:color w:val="auto"/>
              </w:rPr>
            </w:pPr>
            <w:r>
              <w:rPr>
                <w:rFonts w:ascii="Courier New" w:cs="Courier New" w:eastAsia="Courier New" w:hAnsi="Courier New"/>
                <w:sz w:val="18"/>
                <w:szCs w:val="18"/>
                <w:color w:val="auto"/>
              </w:rPr>
              <w:t>PART I. FINANCIAL INFORMATION: (Interim period information unaudited)</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80" w:type="dxa"/>
            <w:vAlign w:val="bottom"/>
          </w:tcPr>
          <w:p>
            <w:pPr>
              <w:ind w:left="540"/>
              <w:spacing w:after="0"/>
              <w:rPr>
                <w:sz w:val="20"/>
                <w:szCs w:val="20"/>
                <w:color w:val="auto"/>
              </w:rPr>
            </w:pPr>
            <w:r>
              <w:rPr>
                <w:rFonts w:ascii="Courier New" w:cs="Courier New" w:eastAsia="Courier New" w:hAnsi="Courier New"/>
                <w:sz w:val="18"/>
                <w:szCs w:val="18"/>
                <w:color w:val="auto"/>
              </w:rPr>
              <w:t>Consolidated Balance Sheets</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&amp; 2</w:t>
            </w:r>
          </w:p>
        </w:tc>
        <w:tc>
          <w:tcPr>
            <w:tcW w:w="0" w:type="dxa"/>
            <w:vAlign w:val="bottom"/>
          </w:tcPr>
          <w:p>
            <w:pPr>
              <w:spacing w:after="0"/>
              <w:rPr>
                <w:sz w:val="1"/>
                <w:szCs w:val="1"/>
                <w:color w:val="auto"/>
              </w:rPr>
            </w:pPr>
          </w:p>
        </w:tc>
      </w:tr>
      <w:tr>
        <w:trPr>
          <w:trHeight w:val="405"/>
        </w:trPr>
        <w:tc>
          <w:tcPr>
            <w:tcW w:w="61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Unaudited Consolidated Statements of Operations</w:t>
            </w: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405"/>
        </w:trPr>
        <w:tc>
          <w:tcPr>
            <w:tcW w:w="754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Unaudited Consolidated Condensed Statements of Cash Flows</w:t>
            </w:r>
          </w:p>
        </w:tc>
        <w:tc>
          <w:tcPr>
            <w:tcW w:w="4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405"/>
        </w:trPr>
        <w:tc>
          <w:tcPr>
            <w:tcW w:w="754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Unaudited Condensed Notes to Consolidated Financial Statements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&amp; 6</w:t>
            </w:r>
          </w:p>
        </w:tc>
        <w:tc>
          <w:tcPr>
            <w:tcW w:w="0" w:type="dxa"/>
            <w:vAlign w:val="bottom"/>
          </w:tcPr>
          <w:p>
            <w:pPr>
              <w:spacing w:after="0"/>
              <w:rPr>
                <w:sz w:val="1"/>
                <w:szCs w:val="1"/>
                <w:color w:val="auto"/>
              </w:rPr>
            </w:pPr>
          </w:p>
        </w:tc>
      </w:tr>
      <w:tr>
        <w:trPr>
          <w:trHeight w:val="311"/>
        </w:trPr>
        <w:tc>
          <w:tcPr>
            <w:tcW w:w="754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Management's Discussion and Analysis of Financial Condition</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- 9</w:t>
            </w:r>
          </w:p>
        </w:tc>
        <w:tc>
          <w:tcPr>
            <w:tcW w:w="0" w:type="dxa"/>
            <w:vAlign w:val="bottom"/>
          </w:tcPr>
          <w:p>
            <w:pPr>
              <w:spacing w:after="0"/>
              <w:rPr>
                <w:sz w:val="1"/>
                <w:szCs w:val="1"/>
                <w:color w:val="auto"/>
              </w:rPr>
            </w:pPr>
          </w:p>
        </w:tc>
      </w:tr>
      <w:tr>
        <w:trPr>
          <w:trHeight w:val="296"/>
        </w:trPr>
        <w:tc>
          <w:tcPr>
            <w:tcW w:w="4380" w:type="dxa"/>
            <w:vAlign w:val="bottom"/>
          </w:tcPr>
          <w:p>
            <w:pPr>
              <w:ind w:left="540"/>
              <w:spacing w:after="0"/>
              <w:rPr>
                <w:sz w:val="20"/>
                <w:szCs w:val="20"/>
                <w:color w:val="auto"/>
              </w:rPr>
            </w:pPr>
            <w:r>
              <w:rPr>
                <w:rFonts w:ascii="Courier New" w:cs="Courier New" w:eastAsia="Courier New" w:hAnsi="Courier New"/>
                <w:sz w:val="18"/>
                <w:szCs w:val="18"/>
                <w:color w:val="auto"/>
              </w:rPr>
              <w:t>and Results of Operations</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PART II. OTHER INFORMATION</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10 - 12</w:t>
            </w:r>
          </w:p>
        </w:tc>
        <w:tc>
          <w:tcPr>
            <w:tcW w:w="0" w:type="dxa"/>
            <w:vAlign w:val="bottom"/>
          </w:tcPr>
          <w:p>
            <w:pPr>
              <w:spacing w:after="0"/>
              <w:rPr>
                <w:sz w:val="1"/>
                <w:szCs w:val="1"/>
                <w:color w:val="auto"/>
              </w:rPr>
            </w:pPr>
          </w:p>
        </w:tc>
      </w:tr>
      <w:tr>
        <w:trPr>
          <w:trHeight w:val="810"/>
        </w:trPr>
        <w:tc>
          <w:tcPr>
            <w:tcW w:w="4380" w:type="dxa"/>
            <w:vAlign w:val="bottom"/>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7540" w:type="dxa"/>
            <w:vAlign w:val="bottom"/>
            <w:gridSpan w:val="3"/>
          </w:tcPr>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18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CONSOLIDATED BALANCE SHEETS</w:t>
            </w: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8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MARCH 2,</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9"/>
              </w:rPr>
              <w:t>AUGUST 26,</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ASSETS</w:t>
            </w:r>
          </w:p>
        </w:tc>
        <w:tc>
          <w:tcPr>
            <w:tcW w:w="18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1996</w:t>
            </w: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1995</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21" w:orient="portrait"/>
          <w:cols w:equalWidth="0" w:num="1">
            <w:col w:w="10219"/>
          </w:cols>
          <w:pgMar w:left="240" w:top="623"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600" w:type="dxa"/>
            <w:vAlign w:val="bottom"/>
          </w:tcPr>
          <w:p>
            <w:pPr>
              <w:spacing w:after="0"/>
              <w:rPr>
                <w:sz w:val="24"/>
                <w:szCs w:val="24"/>
                <w:color w:val="auto"/>
              </w:rPr>
            </w:pP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(Unaudited)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3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$ 14,541</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8,881</w:t>
            </w:r>
          </w:p>
        </w:tc>
        <w:tc>
          <w:tcPr>
            <w:tcW w:w="0" w:type="dxa"/>
            <w:vAlign w:val="bottom"/>
          </w:tcPr>
          <w:p>
            <w:pPr>
              <w:spacing w:after="0"/>
              <w:rPr>
                <w:sz w:val="1"/>
                <w:szCs w:val="1"/>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3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3,713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2,144</w:t>
            </w:r>
          </w:p>
        </w:tc>
        <w:tc>
          <w:tcPr>
            <w:tcW w:w="0" w:type="dxa"/>
            <w:vAlign w:val="bottom"/>
          </w:tcPr>
          <w:p>
            <w:pPr>
              <w:spacing w:after="0"/>
              <w:rPr>
                <w:sz w:val="1"/>
                <w:szCs w:val="1"/>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w:t>
            </w:r>
          </w:p>
        </w:tc>
        <w:tc>
          <w:tcPr>
            <w:tcW w:w="13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36,452</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37,807</w:t>
            </w:r>
          </w:p>
        </w:tc>
        <w:tc>
          <w:tcPr>
            <w:tcW w:w="0" w:type="dxa"/>
            <w:vAlign w:val="bottom"/>
          </w:tcPr>
          <w:p>
            <w:pPr>
              <w:spacing w:after="0"/>
              <w:rPr>
                <w:sz w:val="1"/>
                <w:szCs w:val="1"/>
                <w:color w:val="auto"/>
              </w:rPr>
            </w:pP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accounts ($856 and $1,184, respectively)</w:t>
            </w:r>
          </w:p>
        </w:tc>
        <w:tc>
          <w:tcPr>
            <w:tcW w:w="13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Dealer financing receivables less allowance</w:t>
            </w: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doubtful accounts ($250 and $255,</w:t>
            </w:r>
          </w:p>
        </w:tc>
        <w:tc>
          <w:tcPr>
            <w:tcW w:w="13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9,760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9,345</w:t>
            </w:r>
          </w:p>
        </w:tc>
        <w:tc>
          <w:tcPr>
            <w:tcW w:w="0" w:type="dxa"/>
            <w:vAlign w:val="bottom"/>
          </w:tcPr>
          <w:p>
            <w:pPr>
              <w:spacing w:after="0"/>
              <w:rPr>
                <w:sz w:val="1"/>
                <w:szCs w:val="1"/>
                <w:color w:val="auto"/>
              </w:rPr>
            </w:pP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3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57,968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53,161</w:t>
            </w:r>
          </w:p>
        </w:tc>
        <w:tc>
          <w:tcPr>
            <w:tcW w:w="0" w:type="dxa"/>
            <w:vAlign w:val="bottom"/>
          </w:tcPr>
          <w:p>
            <w:pPr>
              <w:spacing w:after="0"/>
              <w:rPr>
                <w:sz w:val="1"/>
                <w:szCs w:val="1"/>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4,184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3,342</w:t>
            </w:r>
          </w:p>
        </w:tc>
        <w:tc>
          <w:tcPr>
            <w:tcW w:w="0" w:type="dxa"/>
            <w:vAlign w:val="bottom"/>
          </w:tcPr>
          <w:p>
            <w:pPr>
              <w:spacing w:after="0"/>
              <w:rPr>
                <w:sz w:val="1"/>
                <w:szCs w:val="1"/>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6,224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6,224</w:t>
            </w:r>
          </w:p>
        </w:tc>
        <w:tc>
          <w:tcPr>
            <w:tcW w:w="0" w:type="dxa"/>
            <w:vAlign w:val="bottom"/>
          </w:tcPr>
          <w:p>
            <w:pPr>
              <w:spacing w:after="0"/>
              <w:rPr>
                <w:sz w:val="1"/>
                <w:szCs w:val="1"/>
                <w:color w:val="auto"/>
              </w:rPr>
            </w:pPr>
          </w:p>
        </w:tc>
      </w:tr>
      <w:tr>
        <w:trPr>
          <w:trHeight w:val="296"/>
        </w:trPr>
        <w:tc>
          <w:tcPr>
            <w:tcW w:w="460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600" w:type="dxa"/>
            <w:vAlign w:val="bottom"/>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132,842</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120,904</w:t>
            </w:r>
          </w:p>
        </w:tc>
        <w:tc>
          <w:tcPr>
            <w:tcW w:w="0" w:type="dxa"/>
            <w:vAlign w:val="bottom"/>
          </w:tcPr>
          <w:p>
            <w:pPr>
              <w:spacing w:after="0"/>
              <w:rPr>
                <w:sz w:val="1"/>
                <w:szCs w:val="1"/>
                <w:color w:val="auto"/>
              </w:rPr>
            </w:pPr>
          </w:p>
        </w:tc>
      </w:tr>
      <w:tr>
        <w:trPr>
          <w:trHeight w:val="296"/>
        </w:trPr>
        <w:tc>
          <w:tcPr>
            <w:tcW w:w="460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60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13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1,500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1,512</w:t>
            </w:r>
          </w:p>
        </w:tc>
        <w:tc>
          <w:tcPr>
            <w:tcW w:w="0" w:type="dxa"/>
            <w:vAlign w:val="bottom"/>
          </w:tcPr>
          <w:p>
            <w:pPr>
              <w:spacing w:after="0"/>
              <w:rPr>
                <w:sz w:val="1"/>
                <w:szCs w:val="1"/>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13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43,339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43,014</w:t>
            </w:r>
          </w:p>
        </w:tc>
        <w:tc>
          <w:tcPr>
            <w:tcW w:w="0" w:type="dxa"/>
            <w:vAlign w:val="bottom"/>
          </w:tcPr>
          <w:p>
            <w:pPr>
              <w:spacing w:after="0"/>
              <w:rPr>
                <w:sz w:val="1"/>
                <w:szCs w:val="1"/>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79,266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77,998</w:t>
            </w:r>
          </w:p>
        </w:tc>
        <w:tc>
          <w:tcPr>
            <w:tcW w:w="0" w:type="dxa"/>
            <w:vAlign w:val="bottom"/>
          </w:tcPr>
          <w:p>
            <w:pPr>
              <w:spacing w:after="0"/>
              <w:rPr>
                <w:sz w:val="1"/>
                <w:szCs w:val="1"/>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Transportation equipment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7,922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7,965</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0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Less accumulated depreciation</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132,027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130,489</w:t>
            </w:r>
          </w:p>
        </w:tc>
        <w:tc>
          <w:tcPr>
            <w:tcW w:w="0" w:type="dxa"/>
            <w:vAlign w:val="bottom"/>
          </w:tcPr>
          <w:p>
            <w:pPr>
              <w:spacing w:after="0"/>
              <w:rPr>
                <w:sz w:val="1"/>
                <w:szCs w:val="1"/>
                <w:color w:val="auto"/>
              </w:rPr>
            </w:pPr>
          </w:p>
        </w:tc>
      </w:tr>
      <w:tr>
        <w:trPr>
          <w:trHeight w:val="203"/>
        </w:trPr>
        <w:tc>
          <w:tcPr>
            <w:tcW w:w="4600" w:type="dxa"/>
            <w:vAlign w:val="bottom"/>
            <w:vMerge w:val="continue"/>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88,372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87,511</w:t>
            </w:r>
          </w:p>
        </w:tc>
        <w:tc>
          <w:tcPr>
            <w:tcW w:w="0" w:type="dxa"/>
            <w:vAlign w:val="bottom"/>
          </w:tcPr>
          <w:p>
            <w:pPr>
              <w:spacing w:after="0"/>
              <w:rPr>
                <w:sz w:val="1"/>
                <w:szCs w:val="1"/>
                <w:color w:val="auto"/>
              </w:rPr>
            </w:pPr>
          </w:p>
        </w:tc>
      </w:tr>
      <w:tr>
        <w:trPr>
          <w:trHeight w:val="296"/>
        </w:trPr>
        <w:tc>
          <w:tcPr>
            <w:tcW w:w="460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600" w:type="dxa"/>
            <w:vAlign w:val="bottom"/>
          </w:tcPr>
          <w:p>
            <w:pPr>
              <w:ind w:left="540"/>
              <w:spacing w:after="0"/>
              <w:rPr>
                <w:sz w:val="20"/>
                <w:szCs w:val="20"/>
                <w:color w:val="auto"/>
              </w:rPr>
            </w:pPr>
            <w:r>
              <w:rPr>
                <w:rFonts w:ascii="Courier New" w:cs="Courier New" w:eastAsia="Courier New" w:hAnsi="Courier New"/>
                <w:sz w:val="18"/>
                <w:szCs w:val="18"/>
                <w:color w:val="auto"/>
              </w:rPr>
              <w:t>Total property and equipment, net</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43,655</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42,978</w:t>
            </w:r>
          </w:p>
        </w:tc>
        <w:tc>
          <w:tcPr>
            <w:tcW w:w="0" w:type="dxa"/>
            <w:vAlign w:val="bottom"/>
          </w:tcPr>
          <w:p>
            <w:pPr>
              <w:spacing w:after="0"/>
              <w:rPr>
                <w:sz w:val="1"/>
                <w:szCs w:val="1"/>
                <w:color w:val="auto"/>
              </w:rPr>
            </w:pPr>
          </w:p>
        </w:tc>
      </w:tr>
      <w:tr>
        <w:trPr>
          <w:trHeight w:val="296"/>
        </w:trPr>
        <w:tc>
          <w:tcPr>
            <w:tcW w:w="460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600" w:type="dxa"/>
            <w:vAlign w:val="bottom"/>
          </w:tcPr>
          <w:p>
            <w:pPr>
              <w:spacing w:after="0"/>
              <w:rPr>
                <w:sz w:val="20"/>
                <w:szCs w:val="20"/>
                <w:color w:val="auto"/>
              </w:rPr>
            </w:pPr>
            <w:r>
              <w:rPr>
                <w:rFonts w:ascii="Courier New" w:cs="Courier New" w:eastAsia="Courier New" w:hAnsi="Courier New"/>
                <w:sz w:val="18"/>
                <w:szCs w:val="18"/>
                <w:color w:val="auto"/>
                <w:w w:val="98"/>
              </w:rPr>
              <w:t>LONG-TERM NOTES RECEIVABLE, less allowances</w:t>
            </w:r>
          </w:p>
        </w:tc>
        <w:tc>
          <w:tcPr>
            <w:tcW w:w="13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2,354</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2,465</w:t>
            </w:r>
          </w:p>
        </w:tc>
        <w:tc>
          <w:tcPr>
            <w:tcW w:w="0" w:type="dxa"/>
            <w:vAlign w:val="bottom"/>
          </w:tcPr>
          <w:p>
            <w:pPr>
              <w:spacing w:after="0"/>
              <w:rPr>
                <w:sz w:val="1"/>
                <w:szCs w:val="1"/>
                <w:color w:val="auto"/>
              </w:rPr>
            </w:pP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($1,406 and $950, respectively)</w:t>
            </w:r>
          </w:p>
        </w:tc>
        <w:tc>
          <w:tcPr>
            <w:tcW w:w="13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0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600" w:type="dxa"/>
            <w:vAlign w:val="bottom"/>
          </w:tcPr>
          <w:p>
            <w:pPr>
              <w:spacing w:after="0"/>
              <w:rPr>
                <w:sz w:val="20"/>
                <w:szCs w:val="20"/>
                <w:color w:val="auto"/>
              </w:rPr>
            </w:pPr>
            <w:r>
              <w:rPr>
                <w:rFonts w:ascii="Courier New" w:cs="Courier New" w:eastAsia="Courier New" w:hAnsi="Courier New"/>
                <w:sz w:val="18"/>
                <w:szCs w:val="18"/>
                <w:color w:val="auto"/>
              </w:rPr>
              <w:t>INVESTMENT IN LIFE INSURANCE</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16,736</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15,942</w:t>
            </w:r>
          </w:p>
        </w:tc>
        <w:tc>
          <w:tcPr>
            <w:tcW w:w="0" w:type="dxa"/>
            <w:vAlign w:val="bottom"/>
          </w:tcPr>
          <w:p>
            <w:pPr>
              <w:spacing w:after="0"/>
              <w:rPr>
                <w:sz w:val="1"/>
                <w:szCs w:val="1"/>
                <w:color w:val="auto"/>
              </w:rPr>
            </w:pPr>
          </w:p>
        </w:tc>
      </w:tr>
      <w:tr>
        <w:trPr>
          <w:trHeight w:val="296"/>
        </w:trPr>
        <w:tc>
          <w:tcPr>
            <w:tcW w:w="460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600" w:type="dxa"/>
            <w:vAlign w:val="bottom"/>
          </w:tcPr>
          <w:p>
            <w:pPr>
              <w:spacing w:after="0"/>
              <w:rPr>
                <w:sz w:val="20"/>
                <w:szCs w:val="20"/>
                <w:color w:val="auto"/>
              </w:rPr>
            </w:pPr>
            <w:r>
              <w:rPr>
                <w:rFonts w:ascii="Courier New" w:cs="Courier New" w:eastAsia="Courier New" w:hAnsi="Courier New"/>
                <w:sz w:val="18"/>
                <w:szCs w:val="18"/>
                <w:color w:val="auto"/>
              </w:rPr>
              <w:t>DEFERRED INCOME TAXES, NET</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14,107</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14,107</w:t>
            </w:r>
          </w:p>
        </w:tc>
        <w:tc>
          <w:tcPr>
            <w:tcW w:w="0" w:type="dxa"/>
            <w:vAlign w:val="bottom"/>
          </w:tcPr>
          <w:p>
            <w:pPr>
              <w:spacing w:after="0"/>
              <w:rPr>
                <w:sz w:val="1"/>
                <w:szCs w:val="1"/>
                <w:color w:val="auto"/>
              </w:rPr>
            </w:pPr>
          </w:p>
        </w:tc>
      </w:tr>
      <w:tr>
        <w:trPr>
          <w:trHeight w:val="296"/>
        </w:trPr>
        <w:tc>
          <w:tcPr>
            <w:tcW w:w="460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600" w:type="dxa"/>
            <w:vAlign w:val="bottom"/>
          </w:tcPr>
          <w:p>
            <w:pPr>
              <w:spacing w:after="0"/>
              <w:rPr>
                <w:sz w:val="20"/>
                <w:szCs w:val="20"/>
                <w:color w:val="auto"/>
              </w:rPr>
            </w:pPr>
            <w:r>
              <w:rPr>
                <w:rFonts w:ascii="Courier New" w:cs="Courier New" w:eastAsia="Courier New" w:hAnsi="Courier New"/>
                <w:sz w:val="18"/>
                <w:szCs w:val="18"/>
                <w:color w:val="auto"/>
              </w:rPr>
              <w:t>INTANGIBLE AND OTHER ASSETS</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14,970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15,234</w:t>
            </w:r>
          </w:p>
        </w:tc>
        <w:tc>
          <w:tcPr>
            <w:tcW w:w="0" w:type="dxa"/>
            <w:vAlign w:val="bottom"/>
          </w:tcPr>
          <w:p>
            <w:pPr>
              <w:spacing w:after="0"/>
              <w:rPr>
                <w:sz w:val="1"/>
                <w:szCs w:val="1"/>
                <w:color w:val="auto"/>
              </w:rPr>
            </w:pPr>
          </w:p>
        </w:tc>
      </w:tr>
      <w:tr>
        <w:trPr>
          <w:trHeight w:val="296"/>
        </w:trPr>
        <w:tc>
          <w:tcPr>
            <w:tcW w:w="460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60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$224,664</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$211,630</w:t>
            </w:r>
          </w:p>
        </w:tc>
        <w:tc>
          <w:tcPr>
            <w:tcW w:w="0" w:type="dxa"/>
            <w:vAlign w:val="bottom"/>
          </w:tcPr>
          <w:p>
            <w:pPr>
              <w:spacing w:after="0"/>
              <w:rPr>
                <w:sz w:val="1"/>
                <w:szCs w:val="1"/>
                <w:color w:val="auto"/>
              </w:rPr>
            </w:pPr>
          </w:p>
        </w:tc>
      </w:tr>
      <w:tr>
        <w:trPr>
          <w:trHeight w:val="296"/>
        </w:trPr>
        <w:tc>
          <w:tcPr>
            <w:tcW w:w="460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spacing w:after="0" w:line="3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CONSOLIDATED BALANCE SHEETS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MARCH 2,</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AUGUST 26,</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1996</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4"/>
                <w:szCs w:val="24"/>
                <w:color w:val="auto"/>
              </w:rPr>
            </w:pP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(Unaudited)</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  2,962</w:t>
            </w:r>
          </w:p>
        </w:tc>
        <w:tc>
          <w:tcPr>
            <w:tcW w:w="158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w w:val="94"/>
              </w:rPr>
              <w:t>$  3,564</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14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4,500</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4,000</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25,983</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22,581</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payable</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2,834</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5,704</w:t>
            </w:r>
          </w:p>
        </w:tc>
        <w:tc>
          <w:tcPr>
            <w:tcW w:w="158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4,620</w:t>
            </w:r>
          </w:p>
        </w:tc>
        <w:tc>
          <w:tcPr>
            <w:tcW w:w="0" w:type="dxa"/>
            <w:vAlign w:val="bottom"/>
          </w:tcPr>
          <w:p>
            <w:pPr>
              <w:spacing w:after="0"/>
              <w:rPr>
                <w:sz w:val="1"/>
                <w:szCs w:val="1"/>
                <w:color w:val="auto"/>
              </w:rPr>
            </w:pP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Insurance</w:t>
            </w:r>
          </w:p>
        </w:tc>
        <w:tc>
          <w:tcPr>
            <w:tcW w:w="14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Product warranties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3,179</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3,184</w:t>
            </w:r>
          </w:p>
        </w:tc>
        <w:tc>
          <w:tcPr>
            <w:tcW w:w="0" w:type="dxa"/>
            <w:vAlign w:val="bottom"/>
          </w:tcPr>
          <w:p>
            <w:pPr>
              <w:spacing w:after="0"/>
              <w:rPr>
                <w:sz w:val="1"/>
                <w:szCs w:val="1"/>
                <w:color w:val="auto"/>
              </w:rPr>
            </w:pP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Vacation liability</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3,318</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3,287</w:t>
            </w:r>
          </w:p>
        </w:tc>
        <w:tc>
          <w:tcPr>
            <w:tcW w:w="0" w:type="dxa"/>
            <w:vAlign w:val="bottom"/>
          </w:tcPr>
          <w:p>
            <w:pPr>
              <w:spacing w:after="0"/>
              <w:rPr>
                <w:sz w:val="1"/>
                <w:szCs w:val="1"/>
                <w:color w:val="auto"/>
              </w:rPr>
            </w:pP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Promotional</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3,835</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1,916</w:t>
            </w:r>
          </w:p>
        </w:tc>
        <w:tc>
          <w:tcPr>
            <w:tcW w:w="0" w:type="dxa"/>
            <w:vAlign w:val="bottom"/>
          </w:tcPr>
          <w:p>
            <w:pPr>
              <w:spacing w:after="0"/>
              <w:rPr>
                <w:sz w:val="1"/>
                <w:szCs w:val="1"/>
                <w:color w:val="auto"/>
              </w:rPr>
            </w:pP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7,874</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8,058</w:t>
            </w: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4640" w:type="dxa"/>
            <w:vAlign w:val="bottom"/>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60,189</w:t>
            </w:r>
          </w:p>
        </w:tc>
        <w:tc>
          <w:tcPr>
            <w:tcW w:w="15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51,210</w:t>
            </w: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LONG-TERM DEBT AND OBLIGATIONS</w:t>
            </w: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12,281</w:t>
            </w:r>
          </w:p>
        </w:tc>
        <w:tc>
          <w:tcPr>
            <w:tcW w:w="158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12,678</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UNDER CAPITAL LEASES</w:t>
            </w:r>
          </w:p>
        </w:tc>
        <w:tc>
          <w:tcPr>
            <w:tcW w:w="14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w w:val="99"/>
              </w:rPr>
              <w:t>POSTRETIREMENT BENEFITS OTHER THAN PENSIONS</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46,792</w:t>
            </w:r>
          </w:p>
        </w:tc>
        <w:tc>
          <w:tcPr>
            <w:tcW w:w="15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45,223</w:t>
            </w: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20"/>
                <w:szCs w:val="20"/>
                <w:color w:val="auto"/>
              </w:rPr>
            </w:pPr>
            <w:r>
              <w:rPr>
                <w:rFonts w:ascii="Courier New" w:cs="Courier New" w:eastAsia="Courier New" w:hAnsi="Courier New"/>
                <w:sz w:val="18"/>
                <w:szCs w:val="18"/>
                <w:color w:val="auto"/>
              </w:rPr>
              <w:t>MINORITY INTEREST IN CONSOLIDATED SUBSIDIARY</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2,184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2,071</w:t>
            </w:r>
          </w:p>
        </w:tc>
        <w:tc>
          <w:tcPr>
            <w:tcW w:w="0" w:type="dxa"/>
            <w:vAlign w:val="bottom"/>
          </w:tcPr>
          <w:p>
            <w:pPr>
              <w:spacing w:after="0"/>
              <w:rPr>
                <w:sz w:val="1"/>
                <w:szCs w:val="1"/>
                <w:color w:val="auto"/>
              </w:rPr>
            </w:pPr>
          </w:p>
        </w:tc>
      </w:tr>
      <w:tr>
        <w:trPr>
          <w:trHeight w:val="296"/>
        </w:trPr>
        <w:tc>
          <w:tcPr>
            <w:tcW w:w="480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8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stock, common, par value $.50;</w:t>
            </w:r>
          </w:p>
        </w:tc>
        <w:tc>
          <w:tcPr>
            <w:tcW w:w="11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12,920</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12,915</w:t>
            </w: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authorized 60,000,000 shares</w:t>
            </w:r>
          </w:p>
        </w:tc>
        <w:tc>
          <w:tcPr>
            <w:tcW w:w="11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23,729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23,658</w:t>
            </w:r>
          </w:p>
        </w:tc>
        <w:tc>
          <w:tcPr>
            <w:tcW w:w="0" w:type="dxa"/>
            <w:vAlign w:val="bottom"/>
          </w:tcPr>
          <w:p>
            <w:pPr>
              <w:spacing w:after="0"/>
              <w:rPr>
                <w:sz w:val="1"/>
                <w:szCs w:val="1"/>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Reinvested earnings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72,134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69,440</w:t>
            </w: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vMerge w:val="restart"/>
          </w:tcPr>
          <w:p>
            <w:pPr>
              <w:spacing w:after="0"/>
              <w:rPr>
                <w:sz w:val="20"/>
                <w:szCs w:val="20"/>
                <w:color w:val="auto"/>
              </w:rPr>
            </w:pPr>
            <w:r>
              <w:rPr>
                <w:rFonts w:ascii="Courier New" w:cs="Courier New" w:eastAsia="Courier New" w:hAnsi="Courier New"/>
                <w:sz w:val="18"/>
                <w:szCs w:val="18"/>
                <w:color w:val="auto"/>
              </w:rPr>
              <w:t>Less treasury stock, at cost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108,783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106,013</w:t>
            </w:r>
          </w:p>
        </w:tc>
        <w:tc>
          <w:tcPr>
            <w:tcW w:w="0" w:type="dxa"/>
            <w:vAlign w:val="bottom"/>
          </w:tcPr>
          <w:p>
            <w:pPr>
              <w:spacing w:after="0"/>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5,565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5,565</w:t>
            </w:r>
          </w:p>
        </w:tc>
        <w:tc>
          <w:tcPr>
            <w:tcW w:w="0" w:type="dxa"/>
            <w:vAlign w:val="bottom"/>
          </w:tcPr>
          <w:p>
            <w:pPr>
              <w:spacing w:after="0"/>
              <w:rPr>
                <w:sz w:val="1"/>
                <w:szCs w:val="1"/>
                <w:color w:val="auto"/>
              </w:rPr>
            </w:pPr>
          </w:p>
        </w:tc>
      </w:tr>
      <w:tr>
        <w:trPr>
          <w:trHeight w:val="296"/>
        </w:trPr>
        <w:tc>
          <w:tcPr>
            <w:tcW w:w="480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800" w:type="dxa"/>
            <w:vAlign w:val="bottom"/>
          </w:tcPr>
          <w:p>
            <w:pPr>
              <w:spacing w:after="0"/>
              <w:rPr>
                <w:sz w:val="20"/>
                <w:szCs w:val="20"/>
                <w:color w:val="auto"/>
              </w:rPr>
            </w:pPr>
            <w:r>
              <w:rPr>
                <w:rFonts w:ascii="Courier New" w:cs="Courier New" w:eastAsia="Courier New" w:hAnsi="Courier New"/>
                <w:sz w:val="18"/>
                <w:szCs w:val="18"/>
                <w:color w:val="auto"/>
              </w:rPr>
              <w:t>Total stockholders' equity</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103,218</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100,448</w:t>
            </w:r>
          </w:p>
        </w:tc>
        <w:tc>
          <w:tcPr>
            <w:tcW w:w="0" w:type="dxa"/>
            <w:vAlign w:val="bottom"/>
          </w:tcPr>
          <w:p>
            <w:pPr>
              <w:spacing w:after="0"/>
              <w:rPr>
                <w:sz w:val="1"/>
                <w:szCs w:val="1"/>
                <w:color w:val="auto"/>
              </w:rPr>
            </w:pPr>
          </w:p>
        </w:tc>
      </w:tr>
      <w:tr>
        <w:trPr>
          <w:trHeight w:val="296"/>
        </w:trPr>
        <w:tc>
          <w:tcPr>
            <w:tcW w:w="480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80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$224,664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$211,630</w:t>
            </w:r>
          </w:p>
        </w:tc>
        <w:tc>
          <w:tcPr>
            <w:tcW w:w="0" w:type="dxa"/>
            <w:vAlign w:val="bottom"/>
          </w:tcPr>
          <w:p>
            <w:pPr>
              <w:spacing w:after="0"/>
              <w:rPr>
                <w:sz w:val="1"/>
                <w:szCs w:val="1"/>
                <w:color w:val="auto"/>
              </w:rPr>
            </w:pPr>
          </w:p>
        </w:tc>
      </w:tr>
      <w:tr>
        <w:trPr>
          <w:trHeight w:val="296"/>
        </w:trPr>
        <w:tc>
          <w:tcPr>
            <w:tcW w:w="480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spacing w:after="0" w:line="3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UNAUDITED CONSOLIDATED STATEMENTS OF OPERATIONS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3220" w:type="dxa"/>
            <w:vAlign w:val="bottom"/>
            <w:gridSpan w:val="4"/>
            <w:vMerge w:val="restart"/>
          </w:tcPr>
          <w:p>
            <w:pPr>
              <w:jc w:val="right"/>
              <w:ind w:right="852"/>
              <w:spacing w:after="0"/>
              <w:rPr>
                <w:sz w:val="20"/>
                <w:szCs w:val="20"/>
                <w:color w:val="auto"/>
              </w:rPr>
            </w:pPr>
            <w:r>
              <w:rPr>
                <w:rFonts w:ascii="Courier New" w:cs="Courier New" w:eastAsia="Courier New" w:hAnsi="Courier New"/>
                <w:sz w:val="18"/>
                <w:szCs w:val="18"/>
                <w:color w:val="auto"/>
              </w:rPr>
              <w:t>THIRTEEN WEEKS ENDED</w:t>
            </w:r>
          </w:p>
        </w:tc>
        <w:tc>
          <w:tcPr>
            <w:tcW w:w="320" w:type="dxa"/>
            <w:vAlign w:val="bottom"/>
          </w:tcPr>
          <w:p>
            <w:pPr>
              <w:spacing w:after="0"/>
              <w:rPr>
                <w:sz w:val="17"/>
                <w:szCs w:val="17"/>
                <w:color w:val="auto"/>
              </w:rPr>
            </w:pPr>
          </w:p>
        </w:tc>
        <w:tc>
          <w:tcPr>
            <w:tcW w:w="2740" w:type="dxa"/>
            <w:vAlign w:val="bottom"/>
            <w:gridSpan w:val="3"/>
          </w:tcPr>
          <w:p>
            <w:pPr>
              <w:spacing w:after="0"/>
              <w:rPr>
                <w:sz w:val="20"/>
                <w:szCs w:val="20"/>
                <w:color w:val="auto"/>
              </w:rPr>
            </w:pPr>
            <w:r>
              <w:rPr>
                <w:rFonts w:ascii="Courier New" w:cs="Courier New" w:eastAsia="Courier New" w:hAnsi="Courier New"/>
                <w:sz w:val="18"/>
                <w:szCs w:val="18"/>
                <w:color w:val="auto"/>
              </w:rPr>
              <w:t>TWENTY-SEVEN/TWENTY-SIX</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3220" w:type="dxa"/>
            <w:vAlign w:val="bottom"/>
            <w:gridSpan w:val="4"/>
            <w:vMerge w:val="continue"/>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5"/>
              </w:rPr>
              <w:t>WEEKS ENDED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6280" w:type="dxa"/>
            <w:vAlign w:val="bottom"/>
            <w:gridSpan w:val="8"/>
          </w:tcPr>
          <w:p>
            <w:pPr>
              <w:ind w:left="160"/>
              <w:spacing w:after="0" w:line="203" w:lineRule="exact"/>
              <w:rPr>
                <w:sz w:val="20"/>
                <w:szCs w:val="20"/>
                <w:color w:val="auto"/>
              </w:rPr>
            </w:pPr>
            <w:r>
              <w:rPr>
                <w:rFonts w:ascii="Courier New" w:cs="Courier New" w:eastAsia="Courier New" w:hAnsi="Courier New"/>
                <w:sz w:val="18"/>
                <w:szCs w:val="18"/>
                <w:color w:val="auto"/>
                <w:w w:val="97"/>
              </w:rPr>
              <w:t>--------------------------- ------------------------------</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MARCH 2,</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FEBRUARY 25,</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MARCH 2,</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FEBRUARY 25,</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w w:val="97"/>
              </w:rPr>
              <w:t>1996</w:t>
            </w:r>
          </w:p>
        </w:tc>
        <w:tc>
          <w:tcPr>
            <w:tcW w:w="48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1995</w:t>
            </w:r>
          </w:p>
        </w:tc>
        <w:tc>
          <w:tcPr>
            <w:tcW w:w="32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5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514"/>
        </w:trPr>
        <w:tc>
          <w:tcPr>
            <w:tcW w:w="332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420" w:type="dxa"/>
            <w:vAlign w:val="bottom"/>
            <w:gridSpan w:val="2"/>
            <w:vMerge w:val="restart"/>
          </w:tcPr>
          <w:p>
            <w:pPr>
              <w:jc w:val="right"/>
              <w:ind w:right="212"/>
              <w:spacing w:after="0"/>
              <w:rPr>
                <w:sz w:val="20"/>
                <w:szCs w:val="20"/>
                <w:color w:val="auto"/>
              </w:rPr>
            </w:pPr>
            <w:r>
              <w:rPr>
                <w:rFonts w:ascii="Courier New" w:cs="Courier New" w:eastAsia="Courier New" w:hAnsi="Courier New"/>
                <w:sz w:val="18"/>
                <w:szCs w:val="18"/>
                <w:color w:val="auto"/>
              </w:rPr>
              <w:t>$ 105,780</w:t>
            </w:r>
          </w:p>
        </w:tc>
        <w:tc>
          <w:tcPr>
            <w:tcW w:w="1800" w:type="dxa"/>
            <w:vAlign w:val="bottom"/>
            <w:gridSpan w:val="2"/>
            <w:vMerge w:val="restart"/>
          </w:tcPr>
          <w:p>
            <w:pPr>
              <w:jc w:val="right"/>
              <w:ind w:right="432"/>
              <w:spacing w:after="0"/>
              <w:rPr>
                <w:sz w:val="20"/>
                <w:szCs w:val="20"/>
                <w:color w:val="auto"/>
              </w:rPr>
            </w:pPr>
            <w:r>
              <w:rPr>
                <w:rFonts w:ascii="Courier New" w:cs="Courier New" w:eastAsia="Courier New" w:hAnsi="Courier New"/>
                <w:sz w:val="18"/>
                <w:szCs w:val="18"/>
                <w:color w:val="auto"/>
              </w:rPr>
              <w:t>$ 111,270</w:t>
            </w:r>
          </w:p>
        </w:tc>
        <w:tc>
          <w:tcPr>
            <w:tcW w:w="1480" w:type="dxa"/>
            <w:vAlign w:val="bottom"/>
            <w:gridSpan w:val="2"/>
            <w:vMerge w:val="restart"/>
          </w:tcPr>
          <w:p>
            <w:pPr>
              <w:jc w:val="right"/>
              <w:ind w:right="232"/>
              <w:spacing w:after="0"/>
              <w:rPr>
                <w:sz w:val="20"/>
                <w:szCs w:val="20"/>
                <w:color w:val="auto"/>
              </w:rPr>
            </w:pPr>
            <w:r>
              <w:rPr>
                <w:rFonts w:ascii="Courier New" w:cs="Courier New" w:eastAsia="Courier New" w:hAnsi="Courier New"/>
                <w:sz w:val="18"/>
                <w:szCs w:val="18"/>
                <w:color w:val="auto"/>
              </w:rPr>
              <w:t>$ 219,166</w:t>
            </w:r>
          </w:p>
        </w:tc>
        <w:tc>
          <w:tcPr>
            <w:tcW w:w="1580" w:type="dxa"/>
            <w:vAlign w:val="bottom"/>
            <w:gridSpan w:val="2"/>
            <w:vMerge w:val="restart"/>
          </w:tcPr>
          <w:p>
            <w:pPr>
              <w:jc w:val="right"/>
              <w:ind w:right="232"/>
              <w:spacing w:after="0"/>
              <w:rPr>
                <w:sz w:val="20"/>
                <w:szCs w:val="20"/>
                <w:color w:val="auto"/>
              </w:rPr>
            </w:pPr>
            <w:r>
              <w:rPr>
                <w:rFonts w:ascii="Courier New" w:cs="Courier New" w:eastAsia="Courier New" w:hAnsi="Courier New"/>
                <w:sz w:val="18"/>
                <w:szCs w:val="18"/>
                <w:color w:val="auto"/>
              </w:rPr>
              <w:t>$ 235,728</w:t>
            </w:r>
          </w:p>
        </w:tc>
        <w:tc>
          <w:tcPr>
            <w:tcW w:w="0" w:type="dxa"/>
            <w:vAlign w:val="bottom"/>
          </w:tcPr>
          <w:p>
            <w:pPr>
              <w:spacing w:after="0"/>
              <w:rPr>
                <w:sz w:val="1"/>
                <w:szCs w:val="1"/>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Manufactured products</w:t>
            </w:r>
          </w:p>
        </w:tc>
        <w:tc>
          <w:tcPr>
            <w:tcW w:w="1420" w:type="dxa"/>
            <w:vAlign w:val="bottom"/>
            <w:gridSpan w:val="2"/>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Services</w:t>
            </w:r>
          </w:p>
        </w:tc>
        <w:tc>
          <w:tcPr>
            <w:tcW w:w="2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7,822</w:t>
            </w:r>
          </w:p>
        </w:tc>
        <w:tc>
          <w:tcPr>
            <w:tcW w:w="48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4,178</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16,414</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10,479</w:t>
            </w:r>
          </w:p>
        </w:tc>
        <w:tc>
          <w:tcPr>
            <w:tcW w:w="0" w:type="dxa"/>
            <w:vAlign w:val="bottom"/>
          </w:tcPr>
          <w:p>
            <w:pPr>
              <w:spacing w:after="0"/>
              <w:rPr>
                <w:sz w:val="1"/>
                <w:szCs w:val="1"/>
                <w:color w:val="auto"/>
              </w:rPr>
            </w:pPr>
          </w:p>
        </w:tc>
      </w:tr>
      <w:tr>
        <w:trPr>
          <w:trHeight w:val="203"/>
        </w:trPr>
        <w:tc>
          <w:tcPr>
            <w:tcW w:w="332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net revenues</w:t>
            </w:r>
          </w:p>
        </w:tc>
        <w:tc>
          <w:tcPr>
            <w:tcW w:w="1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113,602</w:t>
            </w:r>
          </w:p>
        </w:tc>
        <w:tc>
          <w:tcPr>
            <w:tcW w:w="48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115,448</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235,580</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246,207</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14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260" w:type="dxa"/>
            <w:vAlign w:val="bottom"/>
          </w:tcPr>
          <w:p>
            <w:pPr>
              <w:spacing w:after="0"/>
              <w:rPr>
                <w:sz w:val="24"/>
                <w:szCs w:val="24"/>
                <w:color w:val="auto"/>
              </w:rPr>
            </w:pPr>
          </w:p>
        </w:tc>
        <w:tc>
          <w:tcPr>
            <w:tcW w:w="11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92,639</w:t>
            </w:r>
          </w:p>
        </w:tc>
        <w:tc>
          <w:tcPr>
            <w:tcW w:w="480" w:type="dxa"/>
            <w:vAlign w:val="bottom"/>
          </w:tcPr>
          <w:p>
            <w:pPr>
              <w:spacing w:after="0"/>
              <w:rPr>
                <w:sz w:val="24"/>
                <w:szCs w:val="24"/>
                <w:color w:val="auto"/>
              </w:rPr>
            </w:pPr>
          </w:p>
        </w:tc>
        <w:tc>
          <w:tcPr>
            <w:tcW w:w="13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95,314</w:t>
            </w:r>
          </w:p>
        </w:tc>
        <w:tc>
          <w:tcPr>
            <w:tcW w:w="320" w:type="dxa"/>
            <w:vAlign w:val="bottom"/>
          </w:tcPr>
          <w:p>
            <w:pPr>
              <w:spacing w:after="0"/>
              <w:rPr>
                <w:sz w:val="24"/>
                <w:szCs w:val="24"/>
                <w:color w:val="auto"/>
              </w:rPr>
            </w:pP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190,405</w:t>
            </w:r>
          </w:p>
        </w:tc>
        <w:tc>
          <w:tcPr>
            <w:tcW w:w="520" w:type="dxa"/>
            <w:vAlign w:val="bottom"/>
          </w:tcPr>
          <w:p>
            <w:pPr>
              <w:spacing w:after="0"/>
              <w:rPr>
                <w:sz w:val="24"/>
                <w:szCs w:val="24"/>
                <w:color w:val="auto"/>
              </w:rPr>
            </w:pPr>
          </w:p>
        </w:tc>
        <w:tc>
          <w:tcPr>
            <w:tcW w:w="10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5"/>
              </w:rPr>
              <w:t>202,315</w:t>
            </w:r>
          </w:p>
        </w:tc>
        <w:tc>
          <w:tcPr>
            <w:tcW w:w="0" w:type="dxa"/>
            <w:vAlign w:val="bottom"/>
          </w:tcPr>
          <w:p>
            <w:pPr>
              <w:spacing w:after="0"/>
              <w:rPr>
                <w:sz w:val="1"/>
                <w:szCs w:val="1"/>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manufactured product</w:t>
            </w:r>
          </w:p>
        </w:tc>
        <w:tc>
          <w:tcPr>
            <w:tcW w:w="2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services</w:t>
            </w:r>
          </w:p>
        </w:tc>
        <w:tc>
          <w:tcPr>
            <w:tcW w:w="2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4,616</w:t>
            </w:r>
          </w:p>
        </w:tc>
        <w:tc>
          <w:tcPr>
            <w:tcW w:w="48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2,723</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9,613</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6,196</w:t>
            </w:r>
          </w:p>
        </w:tc>
        <w:tc>
          <w:tcPr>
            <w:tcW w:w="0" w:type="dxa"/>
            <w:vAlign w:val="bottom"/>
          </w:tcPr>
          <w:p>
            <w:pPr>
              <w:spacing w:after="0"/>
              <w:rPr>
                <w:sz w:val="1"/>
                <w:szCs w:val="1"/>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and delivery</w:t>
            </w:r>
          </w:p>
        </w:tc>
        <w:tc>
          <w:tcPr>
            <w:tcW w:w="2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5,495</w:t>
            </w:r>
          </w:p>
        </w:tc>
        <w:tc>
          <w:tcPr>
            <w:tcW w:w="48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6,594</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12,304</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12,672</w:t>
            </w:r>
          </w:p>
        </w:tc>
        <w:tc>
          <w:tcPr>
            <w:tcW w:w="0" w:type="dxa"/>
            <w:vAlign w:val="bottom"/>
          </w:tcPr>
          <w:p>
            <w:pPr>
              <w:spacing w:after="0"/>
              <w:rPr>
                <w:sz w:val="1"/>
                <w:szCs w:val="1"/>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7,605</w:t>
            </w:r>
          </w:p>
        </w:tc>
        <w:tc>
          <w:tcPr>
            <w:tcW w:w="48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5,750</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15,277</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12,154</w:t>
            </w:r>
          </w:p>
        </w:tc>
        <w:tc>
          <w:tcPr>
            <w:tcW w:w="0" w:type="dxa"/>
            <w:vAlign w:val="bottom"/>
          </w:tcPr>
          <w:p>
            <w:pPr>
              <w:spacing w:after="0"/>
              <w:rPr>
                <w:sz w:val="1"/>
                <w:szCs w:val="1"/>
                <w:color w:val="auto"/>
              </w:rPr>
            </w:pPr>
          </w:p>
        </w:tc>
      </w:tr>
      <w:tr>
        <w:trPr>
          <w:trHeight w:val="203"/>
        </w:trPr>
        <w:tc>
          <w:tcPr>
            <w:tcW w:w="332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costs and expenses</w:t>
            </w:r>
          </w:p>
        </w:tc>
        <w:tc>
          <w:tcPr>
            <w:tcW w:w="1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110,355</w:t>
            </w:r>
          </w:p>
        </w:tc>
        <w:tc>
          <w:tcPr>
            <w:tcW w:w="48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110,381</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227,599</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233,337</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14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26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3,247</w:t>
            </w:r>
          </w:p>
        </w:tc>
        <w:tc>
          <w:tcPr>
            <w:tcW w:w="480" w:type="dxa"/>
            <w:vAlign w:val="bottom"/>
          </w:tcPr>
          <w:p>
            <w:pPr>
              <w:spacing w:after="0"/>
              <w:rPr>
                <w:sz w:val="24"/>
                <w:szCs w:val="24"/>
                <w:color w:val="auto"/>
              </w:rPr>
            </w:pP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5,067</w:t>
            </w:r>
          </w:p>
        </w:tc>
        <w:tc>
          <w:tcPr>
            <w:tcW w:w="32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7,981</w:t>
            </w:r>
          </w:p>
        </w:tc>
        <w:tc>
          <w:tcPr>
            <w:tcW w:w="5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12,870</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Financial income</w:t>
            </w:r>
          </w:p>
        </w:tc>
        <w:tc>
          <w:tcPr>
            <w:tcW w:w="26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67</w:t>
            </w:r>
          </w:p>
        </w:tc>
        <w:tc>
          <w:tcPr>
            <w:tcW w:w="480" w:type="dxa"/>
            <w:vAlign w:val="bottom"/>
          </w:tcPr>
          <w:p>
            <w:pPr>
              <w:spacing w:after="0"/>
              <w:rPr>
                <w:sz w:val="24"/>
                <w:szCs w:val="24"/>
                <w:color w:val="auto"/>
              </w:rPr>
            </w:pP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1,018</w:t>
            </w:r>
          </w:p>
        </w:tc>
        <w:tc>
          <w:tcPr>
            <w:tcW w:w="32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81</w:t>
            </w:r>
          </w:p>
        </w:tc>
        <w:tc>
          <w:tcPr>
            <w:tcW w:w="5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824</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14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Income before taxes</w:t>
            </w:r>
          </w:p>
        </w:tc>
        <w:tc>
          <w:tcPr>
            <w:tcW w:w="26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3,314</w:t>
            </w:r>
          </w:p>
        </w:tc>
        <w:tc>
          <w:tcPr>
            <w:tcW w:w="480" w:type="dxa"/>
            <w:vAlign w:val="bottom"/>
          </w:tcPr>
          <w:p>
            <w:pPr>
              <w:spacing w:after="0"/>
              <w:rPr>
                <w:sz w:val="24"/>
                <w:szCs w:val="24"/>
                <w:color w:val="auto"/>
              </w:rPr>
            </w:pP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6,085</w:t>
            </w:r>
          </w:p>
        </w:tc>
        <w:tc>
          <w:tcPr>
            <w:tcW w:w="32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8,062</w:t>
            </w:r>
          </w:p>
        </w:tc>
        <w:tc>
          <w:tcPr>
            <w:tcW w:w="5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13,694</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Provision (credit) for taxes</w:t>
            </w:r>
          </w:p>
        </w:tc>
        <w:tc>
          <w:tcPr>
            <w:tcW w:w="26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1,076</w:t>
            </w:r>
          </w:p>
        </w:tc>
        <w:tc>
          <w:tcPr>
            <w:tcW w:w="480" w:type="dxa"/>
            <w:vAlign w:val="bottom"/>
          </w:tcPr>
          <w:p>
            <w:pPr>
              <w:spacing w:after="0"/>
              <w:rPr>
                <w:sz w:val="24"/>
                <w:szCs w:val="24"/>
                <w:color w:val="auto"/>
              </w:rPr>
            </w:pP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(6,000)</w:t>
            </w:r>
          </w:p>
        </w:tc>
        <w:tc>
          <w:tcPr>
            <w:tcW w:w="32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2,834</w:t>
            </w:r>
          </w:p>
        </w:tc>
        <w:tc>
          <w:tcPr>
            <w:tcW w:w="52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(6,000)</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14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2,238</w:t>
            </w:r>
          </w:p>
        </w:tc>
        <w:tc>
          <w:tcPr>
            <w:tcW w:w="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12,085</w:t>
            </w:r>
          </w:p>
        </w:tc>
        <w:tc>
          <w:tcPr>
            <w:tcW w:w="320" w:type="dxa"/>
            <w:vAlign w:val="bottom"/>
          </w:tcPr>
          <w:p>
            <w:pPr>
              <w:ind w:left="200"/>
              <w:spacing w:after="0"/>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5,228</w:t>
            </w:r>
          </w:p>
        </w:tc>
        <w:tc>
          <w:tcPr>
            <w:tcW w:w="52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19,694</w:t>
            </w:r>
          </w:p>
        </w:tc>
        <w:tc>
          <w:tcPr>
            <w:tcW w:w="0" w:type="dxa"/>
            <w:vAlign w:val="bottom"/>
          </w:tcPr>
          <w:p>
            <w:pPr>
              <w:spacing w:after="0"/>
              <w:rPr>
                <w:sz w:val="1"/>
                <w:szCs w:val="1"/>
                <w:color w:val="auto"/>
              </w:rPr>
            </w:pPr>
          </w:p>
        </w:tc>
      </w:tr>
      <w:tr>
        <w:trPr>
          <w:trHeight w:val="296"/>
        </w:trPr>
        <w:tc>
          <w:tcPr>
            <w:tcW w:w="3320" w:type="dxa"/>
            <w:vAlign w:val="bottom"/>
            <w:vMerge w:val="restart"/>
          </w:tcPr>
          <w:p>
            <w:pPr>
              <w:spacing w:after="0"/>
              <w:rPr>
                <w:sz w:val="20"/>
                <w:szCs w:val="20"/>
                <w:color w:val="auto"/>
              </w:rPr>
            </w:pPr>
            <w:r>
              <w:rPr>
                <w:rFonts w:ascii="Courier New" w:cs="Courier New" w:eastAsia="Courier New" w:hAnsi="Courier New"/>
                <w:sz w:val="18"/>
                <w:szCs w:val="18"/>
                <w:color w:val="auto"/>
              </w:rPr>
              <w:t>Income per common share:</w:t>
            </w:r>
          </w:p>
        </w:tc>
        <w:tc>
          <w:tcPr>
            <w:tcW w:w="14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320" w:type="dxa"/>
            <w:vAlign w:val="bottom"/>
            <w:vMerge w:val="continue"/>
          </w:tcPr>
          <w:p>
            <w:pPr>
              <w:spacing w:after="0"/>
              <w:rPr>
                <w:sz w:val="9"/>
                <w:szCs w:val="9"/>
                <w:color w:val="auto"/>
              </w:rPr>
            </w:pP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.09</w:t>
            </w:r>
          </w:p>
        </w:tc>
        <w:tc>
          <w:tcPr>
            <w:tcW w:w="4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.48</w:t>
            </w:r>
          </w:p>
        </w:tc>
        <w:tc>
          <w:tcPr>
            <w:tcW w:w="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w w:val="92"/>
              </w:rPr>
              <w:t>$</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.21</w:t>
            </w:r>
          </w:p>
        </w:tc>
        <w:tc>
          <w:tcPr>
            <w:tcW w:w="5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.78</w:t>
            </w:r>
          </w:p>
        </w:tc>
        <w:tc>
          <w:tcPr>
            <w:tcW w:w="0" w:type="dxa"/>
            <w:vAlign w:val="bottom"/>
          </w:tcPr>
          <w:p>
            <w:pPr>
              <w:spacing w:after="0"/>
              <w:rPr>
                <w:sz w:val="1"/>
                <w:szCs w:val="1"/>
                <w:color w:val="auto"/>
              </w:rPr>
            </w:pP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14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of common stock</w:t>
            </w:r>
          </w:p>
        </w:tc>
        <w:tc>
          <w:tcPr>
            <w:tcW w:w="260" w:type="dxa"/>
            <w:vAlign w:val="bottom"/>
          </w:tcPr>
          <w:p>
            <w:pPr>
              <w:spacing w:after="0"/>
              <w:rPr>
                <w:sz w:val="17"/>
                <w:szCs w:val="17"/>
                <w:color w:val="auto"/>
              </w:rPr>
            </w:pPr>
          </w:p>
        </w:tc>
        <w:tc>
          <w:tcPr>
            <w:tcW w:w="11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25,346</w:t>
            </w:r>
          </w:p>
        </w:tc>
        <w:tc>
          <w:tcPr>
            <w:tcW w:w="480" w:type="dxa"/>
            <w:vAlign w:val="bottom"/>
          </w:tcPr>
          <w:p>
            <w:pPr>
              <w:spacing w:after="0"/>
              <w:rPr>
                <w:sz w:val="17"/>
                <w:szCs w:val="17"/>
                <w:color w:val="auto"/>
              </w:rPr>
            </w:pPr>
          </w:p>
        </w:tc>
        <w:tc>
          <w:tcPr>
            <w:tcW w:w="13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25,244</w:t>
            </w:r>
          </w:p>
        </w:tc>
        <w:tc>
          <w:tcPr>
            <w:tcW w:w="320" w:type="dxa"/>
            <w:vAlign w:val="bottom"/>
          </w:tcPr>
          <w:p>
            <w:pPr>
              <w:spacing w:after="0"/>
              <w:rPr>
                <w:sz w:val="17"/>
                <w:szCs w:val="17"/>
                <w:color w:val="auto"/>
              </w:rPr>
            </w:pP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25,346</w:t>
            </w:r>
          </w:p>
        </w:tc>
        <w:tc>
          <w:tcPr>
            <w:tcW w:w="520" w:type="dxa"/>
            <w:vAlign w:val="bottom"/>
          </w:tcPr>
          <w:p>
            <w:pPr>
              <w:spacing w:after="0"/>
              <w:rPr>
                <w:sz w:val="17"/>
                <w:szCs w:val="17"/>
                <w:color w:val="auto"/>
              </w:rPr>
            </w:pPr>
          </w:p>
        </w:tc>
        <w:tc>
          <w:tcPr>
            <w:tcW w:w="10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25,243</w:t>
            </w:r>
          </w:p>
        </w:tc>
        <w:tc>
          <w:tcPr>
            <w:tcW w:w="0" w:type="dxa"/>
            <w:vAlign w:val="bottom"/>
          </w:tcPr>
          <w:p>
            <w:pPr>
              <w:spacing w:after="0"/>
              <w:rPr>
                <w:sz w:val="1"/>
                <w:szCs w:val="1"/>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w:t>
            </w:r>
          </w:p>
        </w:tc>
        <w:tc>
          <w:tcPr>
            <w:tcW w:w="2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14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ectPr>
          <w:pgSz w:w="11900" w:h="16838" w:orient="portrait"/>
          <w:cols w:equalWidth="0" w:num="1">
            <w:col w:w="10219"/>
          </w:cols>
          <w:pgMar w:left="240" w:top="311" w:right="1440" w:bottom="0" w:gutter="0" w:footer="0" w:header="0"/>
        </w:sectPr>
      </w:pPr>
    </w:p>
    <w:bookmarkStart w:id="3" w:name="page4"/>
    <w:bookmarkEnd w:id="3"/>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WINNEBAGO INDUSTRIES, INC. AND SUBSIDIARIES</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UNAUDITED CONSOLIDATED CONDENSED STATEMENTS OF CASH FLOWS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142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7"/>
              </w:rPr>
              <w:t>TWENTY-SEVEN</w:t>
            </w:r>
          </w:p>
        </w:tc>
        <w:tc>
          <w:tcPr>
            <w:tcW w:w="16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TWENTY-SIX</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306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rPr>
              <w:t>WEEKS ENDED</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March 2,</w:t>
            </w:r>
          </w:p>
        </w:tc>
        <w:tc>
          <w:tcPr>
            <w:tcW w:w="1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February 25,</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1996</w:t>
            </w:r>
          </w:p>
        </w:tc>
        <w:tc>
          <w:tcPr>
            <w:tcW w:w="280" w:type="dxa"/>
            <w:vAlign w:val="bottom"/>
          </w:tcPr>
          <w:p>
            <w:pPr>
              <w:spacing w:after="0"/>
              <w:rPr>
                <w:sz w:val="17"/>
                <w:szCs w:val="17"/>
                <w:color w:val="auto"/>
              </w:rPr>
            </w:pP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96"/>
        </w:trPr>
        <w:tc>
          <w:tcPr>
            <w:tcW w:w="43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  5,228</w:t>
            </w:r>
          </w:p>
        </w:tc>
        <w:tc>
          <w:tcPr>
            <w:tcW w:w="1640" w:type="dxa"/>
            <w:vAlign w:val="bottom"/>
            <w:gridSpan w:val="2"/>
            <w:vMerge w:val="restart"/>
          </w:tcPr>
          <w:p>
            <w:pPr>
              <w:jc w:val="right"/>
              <w:ind w:right="552"/>
              <w:spacing w:after="0"/>
              <w:rPr>
                <w:sz w:val="20"/>
                <w:szCs w:val="20"/>
                <w:color w:val="auto"/>
              </w:rPr>
            </w:pPr>
            <w:r>
              <w:rPr>
                <w:rFonts w:ascii="Courier New" w:cs="Courier New" w:eastAsia="Courier New" w:hAnsi="Courier New"/>
                <w:sz w:val="18"/>
                <w:szCs w:val="18"/>
                <w:color w:val="auto"/>
              </w:rPr>
              <w:t>$ 19,694</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420" w:type="dxa"/>
            <w:vAlign w:val="bottom"/>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net cash from operating activities:</w:t>
            </w:r>
          </w:p>
        </w:tc>
        <w:tc>
          <w:tcPr>
            <w:tcW w:w="1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4,806</w:t>
            </w:r>
          </w:p>
        </w:tc>
        <w:tc>
          <w:tcPr>
            <w:tcW w:w="280" w:type="dxa"/>
            <w:vAlign w:val="bottom"/>
          </w:tcPr>
          <w:p>
            <w:pPr>
              <w:spacing w:after="0"/>
              <w:rPr>
                <w:sz w:val="17"/>
                <w:szCs w:val="17"/>
                <w:color w:val="auto"/>
              </w:rPr>
            </w:pPr>
          </w:p>
        </w:tc>
        <w:tc>
          <w:tcPr>
            <w:tcW w:w="13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4,084</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(6,000)</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Realized and unrealized gains</w:t>
            </w:r>
          </w:p>
        </w:tc>
        <w:tc>
          <w:tcPr>
            <w:tcW w:w="142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(149)</w:t>
            </w:r>
          </w:p>
        </w:tc>
        <w:tc>
          <w:tcPr>
            <w:tcW w:w="280" w:type="dxa"/>
            <w:vAlign w:val="bottom"/>
          </w:tcPr>
          <w:p>
            <w:pPr>
              <w:spacing w:after="0"/>
              <w:rPr>
                <w:sz w:val="17"/>
                <w:szCs w:val="17"/>
                <w:color w:val="auto"/>
              </w:rPr>
            </w:pPr>
          </w:p>
        </w:tc>
        <w:tc>
          <w:tcPr>
            <w:tcW w:w="13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(282)</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on investments, net</w:t>
            </w:r>
          </w:p>
        </w:tc>
        <w:tc>
          <w:tcPr>
            <w:tcW w:w="1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trading securities</w:t>
            </w:r>
          </w:p>
        </w:tc>
        <w:tc>
          <w:tcPr>
            <w:tcW w:w="1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(3,157)</w:t>
            </w:r>
          </w:p>
        </w:tc>
        <w:tc>
          <w:tcPr>
            <w:tcW w:w="2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(1,937)</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the sale of</w:t>
            </w:r>
          </w:p>
        </w:tc>
        <w:tc>
          <w:tcPr>
            <w:tcW w:w="1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1,737</w:t>
            </w:r>
          </w:p>
        </w:tc>
        <w:tc>
          <w:tcPr>
            <w:tcW w:w="280" w:type="dxa"/>
            <w:vAlign w:val="bottom"/>
          </w:tcPr>
          <w:p>
            <w:pPr>
              <w:spacing w:after="0"/>
              <w:rPr>
                <w:sz w:val="17"/>
                <w:szCs w:val="17"/>
                <w:color w:val="auto"/>
              </w:rPr>
            </w:pPr>
          </w:p>
        </w:tc>
        <w:tc>
          <w:tcPr>
            <w:tcW w:w="13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2,440</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trading securities</w:t>
            </w:r>
          </w:p>
        </w:tc>
        <w:tc>
          <w:tcPr>
            <w:tcW w:w="1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Minority shareholders' portion of</w:t>
            </w:r>
          </w:p>
        </w:tc>
        <w:tc>
          <w:tcPr>
            <w:tcW w:w="1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113</w:t>
            </w:r>
          </w:p>
        </w:tc>
        <w:tc>
          <w:tcPr>
            <w:tcW w:w="280" w:type="dxa"/>
            <w:vAlign w:val="bottom"/>
          </w:tcPr>
          <w:p>
            <w:pPr>
              <w:spacing w:after="0"/>
              <w:rPr>
                <w:sz w:val="17"/>
                <w:szCs w:val="17"/>
                <w:color w:val="auto"/>
              </w:rPr>
            </w:pPr>
          </w:p>
        </w:tc>
        <w:tc>
          <w:tcPr>
            <w:tcW w:w="13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23</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consolidated subsidiary's net income</w:t>
            </w:r>
          </w:p>
        </w:tc>
        <w:tc>
          <w:tcPr>
            <w:tcW w:w="1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w:t>
            </w:r>
          </w:p>
        </w:tc>
        <w:tc>
          <w:tcPr>
            <w:tcW w:w="280" w:type="dxa"/>
            <w:vAlign w:val="bottom"/>
          </w:tcPr>
          <w:p>
            <w:pPr>
              <w:spacing w:after="0"/>
              <w:rPr>
                <w:sz w:val="17"/>
                <w:szCs w:val="17"/>
                <w:color w:val="auto"/>
              </w:rPr>
            </w:pPr>
          </w:p>
        </w:tc>
        <w:tc>
          <w:tcPr>
            <w:tcW w:w="1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783</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1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1,203</w:t>
            </w:r>
          </w:p>
        </w:tc>
        <w:tc>
          <w:tcPr>
            <w:tcW w:w="280" w:type="dxa"/>
            <w:vAlign w:val="bottom"/>
          </w:tcPr>
          <w:p>
            <w:pPr>
              <w:spacing w:after="0"/>
              <w:rPr>
                <w:sz w:val="17"/>
                <w:szCs w:val="17"/>
                <w:color w:val="auto"/>
              </w:rPr>
            </w:pPr>
          </w:p>
        </w:tc>
        <w:tc>
          <w:tcPr>
            <w:tcW w:w="13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4,008</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 accounts receivable</w:t>
            </w:r>
          </w:p>
        </w:tc>
        <w:tc>
          <w:tcPr>
            <w:tcW w:w="1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1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(4,844)</w:t>
            </w:r>
          </w:p>
        </w:tc>
        <w:tc>
          <w:tcPr>
            <w:tcW w:w="2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(11,254)</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accounts payable and</w:t>
            </w:r>
          </w:p>
        </w:tc>
        <w:tc>
          <w:tcPr>
            <w:tcW w:w="1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9,581</w:t>
            </w:r>
          </w:p>
        </w:tc>
        <w:tc>
          <w:tcPr>
            <w:tcW w:w="280" w:type="dxa"/>
            <w:vAlign w:val="bottom"/>
          </w:tcPr>
          <w:p>
            <w:pPr>
              <w:spacing w:after="0"/>
              <w:rPr>
                <w:sz w:val="17"/>
                <w:szCs w:val="17"/>
                <w:color w:val="auto"/>
              </w:rPr>
            </w:pPr>
          </w:p>
        </w:tc>
        <w:tc>
          <w:tcPr>
            <w:tcW w:w="13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303</w:t>
            </w:r>
          </w:p>
        </w:tc>
        <w:tc>
          <w:tcPr>
            <w:tcW w:w="0" w:type="dxa"/>
            <w:vAlign w:val="bottom"/>
          </w:tcPr>
          <w:p>
            <w:pPr>
              <w:spacing w:after="0"/>
              <w:rPr>
                <w:sz w:val="1"/>
                <w:szCs w:val="1"/>
                <w:color w:val="auto"/>
              </w:rPr>
            </w:pP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postretirement benefits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1,569</w:t>
            </w:r>
          </w:p>
        </w:tc>
        <w:tc>
          <w:tcPr>
            <w:tcW w:w="280" w:type="dxa"/>
            <w:vAlign w:val="bottom"/>
          </w:tcPr>
          <w:p>
            <w:pPr>
              <w:spacing w:after="0"/>
              <w:rPr>
                <w:sz w:val="17"/>
                <w:szCs w:val="17"/>
                <w:color w:val="auto"/>
              </w:rPr>
            </w:pPr>
          </w:p>
        </w:tc>
        <w:tc>
          <w:tcPr>
            <w:tcW w:w="1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925</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(842)</w:t>
            </w:r>
          </w:p>
        </w:tc>
        <w:tc>
          <w:tcPr>
            <w:tcW w:w="2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(2,943)</w:t>
            </w:r>
          </w:p>
        </w:tc>
        <w:tc>
          <w:tcPr>
            <w:tcW w:w="0" w:type="dxa"/>
            <w:vAlign w:val="bottom"/>
          </w:tcPr>
          <w:p>
            <w:pPr>
              <w:spacing w:after="0"/>
              <w:rPr>
                <w:sz w:val="1"/>
                <w:szCs w:val="1"/>
                <w:color w:val="auto"/>
              </w:rPr>
            </w:pPr>
          </w:p>
        </w:tc>
      </w:tr>
      <w:tr>
        <w:trPr>
          <w:trHeight w:val="203"/>
        </w:trPr>
        <w:tc>
          <w:tcPr>
            <w:tcW w:w="4320" w:type="dxa"/>
            <w:vAlign w:val="bottom"/>
            <w:vMerge w:val="restart"/>
          </w:tcPr>
          <w:p>
            <w:pPr>
              <w:spacing w:after="0"/>
              <w:rPr>
                <w:sz w:val="20"/>
                <w:szCs w:val="20"/>
                <w:color w:val="auto"/>
              </w:rPr>
            </w:pPr>
            <w:r>
              <w:rPr>
                <w:rFonts w:ascii="Courier New" w:cs="Courier New" w:eastAsia="Courier New" w:hAnsi="Courier New"/>
                <w:sz w:val="18"/>
                <w:szCs w:val="18"/>
                <w:color w:val="auto"/>
                <w:w w:val="97"/>
              </w:rPr>
              <w:t>Net cash provided by operating activities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15,330</w:t>
            </w:r>
          </w:p>
        </w:tc>
        <w:tc>
          <w:tcPr>
            <w:tcW w:w="280" w:type="dxa"/>
            <w:vAlign w:val="bottom"/>
          </w:tcPr>
          <w:p>
            <w:pPr>
              <w:spacing w:after="0"/>
              <w:rPr>
                <w:sz w:val="17"/>
                <w:szCs w:val="17"/>
                <w:color w:val="auto"/>
              </w:rPr>
            </w:pPr>
          </w:p>
        </w:tc>
        <w:tc>
          <w:tcPr>
            <w:tcW w:w="1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9,844</w:t>
            </w:r>
          </w:p>
        </w:tc>
        <w:tc>
          <w:tcPr>
            <w:tcW w:w="0" w:type="dxa"/>
            <w:vAlign w:val="bottom"/>
          </w:tcPr>
          <w:p>
            <w:pPr>
              <w:spacing w:after="0"/>
              <w:rPr>
                <w:sz w:val="1"/>
                <w:szCs w:val="1"/>
                <w:color w:val="auto"/>
              </w:rPr>
            </w:pPr>
          </w:p>
        </w:tc>
      </w:tr>
      <w:tr>
        <w:trPr>
          <w:trHeight w:val="296"/>
        </w:trPr>
        <w:tc>
          <w:tcPr>
            <w:tcW w:w="432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Cash flows used by investing activities:</w:t>
            </w:r>
          </w:p>
        </w:tc>
        <w:tc>
          <w:tcPr>
            <w:tcW w:w="142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(4,936)</w:t>
            </w:r>
          </w:p>
        </w:tc>
        <w:tc>
          <w:tcPr>
            <w:tcW w:w="280" w:type="dxa"/>
            <w:vAlign w:val="bottom"/>
          </w:tcPr>
          <w:p>
            <w:pPr>
              <w:spacing w:after="0"/>
              <w:rPr>
                <w:sz w:val="24"/>
                <w:szCs w:val="24"/>
                <w:color w:val="auto"/>
              </w:rPr>
            </w:pPr>
          </w:p>
        </w:tc>
        <w:tc>
          <w:tcPr>
            <w:tcW w:w="13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(5,283)</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1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dealer receivables</w:t>
            </w:r>
          </w:p>
        </w:tc>
        <w:tc>
          <w:tcPr>
            <w:tcW w:w="1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(20,022)</w:t>
            </w:r>
          </w:p>
        </w:tc>
        <w:tc>
          <w:tcPr>
            <w:tcW w:w="2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(18,717)</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Collections of dealer receivables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19,601</w:t>
            </w:r>
          </w:p>
        </w:tc>
        <w:tc>
          <w:tcPr>
            <w:tcW w:w="280" w:type="dxa"/>
            <w:vAlign w:val="bottom"/>
          </w:tcPr>
          <w:p>
            <w:pPr>
              <w:spacing w:after="0"/>
              <w:rPr>
                <w:sz w:val="17"/>
                <w:szCs w:val="17"/>
                <w:color w:val="auto"/>
              </w:rPr>
            </w:pPr>
          </w:p>
        </w:tc>
        <w:tc>
          <w:tcPr>
            <w:tcW w:w="1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16,218</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(856)</w:t>
            </w:r>
          </w:p>
        </w:tc>
        <w:tc>
          <w:tcPr>
            <w:tcW w:w="2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(268)</w:t>
            </w:r>
          </w:p>
        </w:tc>
        <w:tc>
          <w:tcPr>
            <w:tcW w:w="0" w:type="dxa"/>
            <w:vAlign w:val="bottom"/>
          </w:tcPr>
          <w:p>
            <w:pPr>
              <w:spacing w:after="0"/>
              <w:rPr>
                <w:sz w:val="1"/>
                <w:szCs w:val="1"/>
                <w:color w:val="auto"/>
              </w:rPr>
            </w:pPr>
          </w:p>
        </w:tc>
      </w:tr>
      <w:tr>
        <w:trPr>
          <w:trHeight w:val="203"/>
        </w:trPr>
        <w:tc>
          <w:tcPr>
            <w:tcW w:w="4320" w:type="dxa"/>
            <w:vAlign w:val="bottom"/>
            <w:vMerge w:val="restart"/>
          </w:tcPr>
          <w:p>
            <w:pPr>
              <w:spacing w:after="0"/>
              <w:rPr>
                <w:sz w:val="20"/>
                <w:szCs w:val="20"/>
                <w:color w:val="auto"/>
              </w:rPr>
            </w:pPr>
            <w:r>
              <w:rPr>
                <w:rFonts w:ascii="Courier New" w:cs="Courier New" w:eastAsia="Courier New" w:hAnsi="Courier New"/>
                <w:sz w:val="18"/>
                <w:szCs w:val="18"/>
                <w:color w:val="auto"/>
              </w:rPr>
              <w:t>Net cash used by investing activities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1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(6,213)</w:t>
            </w:r>
          </w:p>
        </w:tc>
        <w:tc>
          <w:tcPr>
            <w:tcW w:w="2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(8,050)</w:t>
            </w:r>
          </w:p>
        </w:tc>
        <w:tc>
          <w:tcPr>
            <w:tcW w:w="0" w:type="dxa"/>
            <w:vAlign w:val="bottom"/>
          </w:tcPr>
          <w:p>
            <w:pPr>
              <w:spacing w:after="0"/>
              <w:rPr>
                <w:sz w:val="1"/>
                <w:szCs w:val="1"/>
                <w:color w:val="auto"/>
              </w:rPr>
            </w:pPr>
          </w:p>
        </w:tc>
      </w:tr>
      <w:tr>
        <w:trPr>
          <w:trHeight w:val="296"/>
        </w:trPr>
        <w:tc>
          <w:tcPr>
            <w:tcW w:w="432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flows used by financing activities</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capital transactions:</w:t>
            </w: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of long-term debt and</w:t>
            </w:r>
          </w:p>
        </w:tc>
        <w:tc>
          <w:tcPr>
            <w:tcW w:w="142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(2,177)</w:t>
            </w:r>
          </w:p>
        </w:tc>
        <w:tc>
          <w:tcPr>
            <w:tcW w:w="280" w:type="dxa"/>
            <w:vAlign w:val="bottom"/>
          </w:tcPr>
          <w:p>
            <w:pPr>
              <w:spacing w:after="0"/>
              <w:rPr>
                <w:sz w:val="17"/>
                <w:szCs w:val="17"/>
                <w:color w:val="auto"/>
              </w:rPr>
            </w:pPr>
          </w:p>
        </w:tc>
        <w:tc>
          <w:tcPr>
            <w:tcW w:w="13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(880)</w:t>
            </w:r>
          </w:p>
        </w:tc>
        <w:tc>
          <w:tcPr>
            <w:tcW w:w="0" w:type="dxa"/>
            <w:vAlign w:val="bottom"/>
          </w:tcPr>
          <w:p>
            <w:pPr>
              <w:spacing w:after="0"/>
              <w:rPr>
                <w:sz w:val="1"/>
                <w:szCs w:val="1"/>
                <w:color w:val="auto"/>
              </w:rPr>
            </w:pP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capital leases</w:t>
            </w:r>
          </w:p>
        </w:tc>
        <w:tc>
          <w:tcPr>
            <w:tcW w:w="1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of cash dividends</w:t>
            </w:r>
          </w:p>
        </w:tc>
        <w:tc>
          <w:tcPr>
            <w:tcW w:w="1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(2,534)</w:t>
            </w:r>
          </w:p>
        </w:tc>
        <w:tc>
          <w:tcPr>
            <w:tcW w:w="2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(2,524)</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w:t>
            </w:r>
          </w:p>
        </w:tc>
        <w:tc>
          <w:tcPr>
            <w:tcW w:w="1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1,000</w:t>
            </w:r>
          </w:p>
        </w:tc>
        <w:tc>
          <w:tcPr>
            <w:tcW w:w="280" w:type="dxa"/>
            <w:vAlign w:val="bottom"/>
          </w:tcPr>
          <w:p>
            <w:pPr>
              <w:spacing w:after="0"/>
              <w:rPr>
                <w:sz w:val="17"/>
                <w:szCs w:val="17"/>
                <w:color w:val="auto"/>
              </w:rPr>
            </w:pPr>
          </w:p>
        </w:tc>
        <w:tc>
          <w:tcPr>
            <w:tcW w:w="13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700</w:t>
            </w:r>
          </w:p>
        </w:tc>
        <w:tc>
          <w:tcPr>
            <w:tcW w:w="0" w:type="dxa"/>
            <w:vAlign w:val="bottom"/>
          </w:tcPr>
          <w:p>
            <w:pPr>
              <w:spacing w:after="0"/>
              <w:rPr>
                <w:sz w:val="1"/>
                <w:szCs w:val="1"/>
                <w:color w:val="auto"/>
              </w:rPr>
            </w:pP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long-term debt</w:t>
            </w:r>
          </w:p>
        </w:tc>
        <w:tc>
          <w:tcPr>
            <w:tcW w:w="1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254</w:t>
            </w:r>
          </w:p>
        </w:tc>
        <w:tc>
          <w:tcPr>
            <w:tcW w:w="280" w:type="dxa"/>
            <w:vAlign w:val="bottom"/>
          </w:tcPr>
          <w:p>
            <w:pPr>
              <w:spacing w:after="0"/>
              <w:rPr>
                <w:sz w:val="17"/>
                <w:szCs w:val="17"/>
                <w:color w:val="auto"/>
              </w:rPr>
            </w:pPr>
          </w:p>
        </w:tc>
        <w:tc>
          <w:tcPr>
            <w:tcW w:w="1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63</w:t>
            </w:r>
          </w:p>
        </w:tc>
        <w:tc>
          <w:tcPr>
            <w:tcW w:w="0" w:type="dxa"/>
            <w:vAlign w:val="bottom"/>
          </w:tcPr>
          <w:p>
            <w:pPr>
              <w:spacing w:after="0"/>
              <w:rPr>
                <w:sz w:val="1"/>
                <w:szCs w:val="1"/>
                <w:color w:val="auto"/>
              </w:rPr>
            </w:pPr>
          </w:p>
        </w:tc>
      </w:tr>
      <w:tr>
        <w:trPr>
          <w:trHeight w:val="296"/>
        </w:trPr>
        <w:tc>
          <w:tcPr>
            <w:tcW w:w="4320" w:type="dxa"/>
            <w:vAlign w:val="bottom"/>
            <w:vMerge w:val="restart"/>
          </w:tcPr>
          <w:p>
            <w:pPr>
              <w:spacing w:after="0"/>
              <w:rPr>
                <w:sz w:val="20"/>
                <w:szCs w:val="20"/>
                <w:color w:val="auto"/>
              </w:rPr>
            </w:pPr>
            <w:r>
              <w:rPr>
                <w:rFonts w:ascii="Courier New" w:cs="Courier New" w:eastAsia="Courier New" w:hAnsi="Courier New"/>
                <w:sz w:val="18"/>
                <w:szCs w:val="18"/>
                <w:color w:val="auto"/>
              </w:rPr>
              <w:t>Net cash used by financing</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320" w:type="dxa"/>
            <w:vAlign w:val="bottom"/>
            <w:vMerge w:val="continue"/>
          </w:tcPr>
          <w:p>
            <w:pPr>
              <w:spacing w:after="0"/>
              <w:rPr>
                <w:sz w:val="9"/>
                <w:szCs w:val="9"/>
                <w:color w:val="auto"/>
              </w:rPr>
            </w:pPr>
          </w:p>
        </w:tc>
        <w:tc>
          <w:tcPr>
            <w:tcW w:w="142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(3,457)</w:t>
            </w:r>
          </w:p>
        </w:tc>
        <w:tc>
          <w:tcPr>
            <w:tcW w:w="280" w:type="dxa"/>
            <w:vAlign w:val="bottom"/>
          </w:tcPr>
          <w:p>
            <w:pPr>
              <w:spacing w:after="0"/>
              <w:rPr>
                <w:sz w:val="9"/>
                <w:szCs w:val="9"/>
                <w:color w:val="auto"/>
              </w:rPr>
            </w:pPr>
          </w:p>
        </w:tc>
        <w:tc>
          <w:tcPr>
            <w:tcW w:w="13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(2,641)</w:t>
            </w:r>
          </w:p>
        </w:tc>
        <w:tc>
          <w:tcPr>
            <w:tcW w:w="0" w:type="dxa"/>
            <w:vAlign w:val="bottom"/>
          </w:tcPr>
          <w:p>
            <w:pPr>
              <w:spacing w:after="0"/>
              <w:rPr>
                <w:sz w:val="1"/>
                <w:szCs w:val="1"/>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 and capital transactions</w:t>
            </w:r>
          </w:p>
        </w:tc>
        <w:tc>
          <w:tcPr>
            <w:tcW w:w="1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320" w:type="dxa"/>
            <w:vAlign w:val="bottom"/>
            <w:vMerge w:val="restart"/>
          </w:tcPr>
          <w:p>
            <w:pPr>
              <w:spacing w:after="0"/>
              <w:rPr>
                <w:sz w:val="20"/>
                <w:szCs w:val="20"/>
                <w:color w:val="auto"/>
              </w:rPr>
            </w:pPr>
            <w:r>
              <w:rPr>
                <w:rFonts w:ascii="Courier New" w:cs="Courier New" w:eastAsia="Courier New" w:hAnsi="Courier New"/>
                <w:sz w:val="18"/>
                <w:szCs w:val="18"/>
                <w:color w:val="auto"/>
              </w:rPr>
              <w:t>Net increase (decrease) in cash</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320" w:type="dxa"/>
            <w:vAlign w:val="bottom"/>
            <w:vMerge w:val="continue"/>
          </w:tcPr>
          <w:p>
            <w:pPr>
              <w:spacing w:after="0"/>
              <w:rPr>
                <w:sz w:val="9"/>
                <w:szCs w:val="9"/>
                <w:color w:val="auto"/>
              </w:rPr>
            </w:pPr>
          </w:p>
        </w:tc>
        <w:tc>
          <w:tcPr>
            <w:tcW w:w="1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5,660</w:t>
            </w:r>
          </w:p>
        </w:tc>
        <w:tc>
          <w:tcPr>
            <w:tcW w:w="280" w:type="dxa"/>
            <w:vAlign w:val="bottom"/>
          </w:tcPr>
          <w:p>
            <w:pPr>
              <w:spacing w:after="0"/>
              <w:rPr>
                <w:sz w:val="9"/>
                <w:szCs w:val="9"/>
                <w:color w:val="auto"/>
              </w:rPr>
            </w:pPr>
          </w:p>
        </w:tc>
        <w:tc>
          <w:tcPr>
            <w:tcW w:w="13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(847)</w:t>
            </w:r>
          </w:p>
        </w:tc>
        <w:tc>
          <w:tcPr>
            <w:tcW w:w="0" w:type="dxa"/>
            <w:vAlign w:val="bottom"/>
          </w:tcPr>
          <w:p>
            <w:pPr>
              <w:spacing w:after="0"/>
              <w:rPr>
                <w:sz w:val="1"/>
                <w:szCs w:val="1"/>
                <w:color w:val="auto"/>
              </w:rPr>
            </w:pPr>
          </w:p>
        </w:tc>
      </w:tr>
      <w:tr>
        <w:trPr>
          <w:trHeight w:val="296"/>
        </w:trPr>
        <w:tc>
          <w:tcPr>
            <w:tcW w:w="4320" w:type="dxa"/>
            <w:vAlign w:val="bottom"/>
          </w:tcPr>
          <w:p>
            <w:pPr>
              <w:ind w:left="120"/>
              <w:spacing w:after="0"/>
              <w:rPr>
                <w:sz w:val="20"/>
                <w:szCs w:val="20"/>
                <w:color w:val="auto"/>
              </w:rPr>
            </w:pPr>
            <w:r>
              <w:rPr>
                <w:rFonts w:ascii="Courier New" w:cs="Courier New" w:eastAsia="Courier New" w:hAnsi="Courier New"/>
                <w:sz w:val="18"/>
                <w:szCs w:val="18"/>
                <w:color w:val="auto"/>
              </w:rPr>
              <w:t>and cash equivalents</w:t>
            </w:r>
          </w:p>
        </w:tc>
        <w:tc>
          <w:tcPr>
            <w:tcW w:w="1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and cash equivalents -</w:t>
            </w:r>
          </w:p>
        </w:tc>
        <w:tc>
          <w:tcPr>
            <w:tcW w:w="1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8,881</w:t>
            </w:r>
          </w:p>
        </w:tc>
        <w:tc>
          <w:tcPr>
            <w:tcW w:w="280" w:type="dxa"/>
            <w:vAlign w:val="bottom"/>
          </w:tcPr>
          <w:p>
            <w:pPr>
              <w:spacing w:after="0"/>
              <w:rPr>
                <w:sz w:val="24"/>
                <w:szCs w:val="24"/>
                <w:color w:val="auto"/>
              </w:rPr>
            </w:pPr>
          </w:p>
        </w:tc>
        <w:tc>
          <w:tcPr>
            <w:tcW w:w="13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847</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1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32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and cash equivalents -</w:t>
            </w:r>
          </w:p>
        </w:tc>
        <w:tc>
          <w:tcPr>
            <w:tcW w:w="1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$ 14,541</w:t>
            </w:r>
          </w:p>
        </w:tc>
        <w:tc>
          <w:tcPr>
            <w:tcW w:w="2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end of period</w:t>
            </w:r>
          </w:p>
        </w:tc>
        <w:tc>
          <w:tcPr>
            <w:tcW w:w="14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32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UNAUDITED CONDENSED NOTES TO CONSOLIDATED FINANCIAL STATEMENTS</w:t>
      </w:r>
    </w:p>
    <w:p>
      <w:pPr>
        <w:spacing w:after="0" w:line="372" w:lineRule="exact"/>
        <w:rPr>
          <w:sz w:val="20"/>
          <w:szCs w:val="20"/>
          <w:color w:val="auto"/>
        </w:rPr>
      </w:pPr>
    </w:p>
    <w:p>
      <w:pPr>
        <w:ind w:left="540" w:right="2199" w:hanging="532"/>
        <w:spacing w:after="0" w:line="318"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opinion of management, the accompanying unaudited consolidated condensed financial statements contain all adjustments, consisting of normal recurring accruals, necessary to present fairly the consolidated financial position as of March 2, 1996, the consolidated results of</w:t>
      </w:r>
    </w:p>
    <w:p>
      <w:pPr>
        <w:sectPr>
          <w:pgSz w:w="11900" w:h="16869" w:orient="portrait"/>
          <w:cols w:equalWidth="0" w:num="1">
            <w:col w:w="10219"/>
          </w:cols>
          <w:pgMar w:left="240" w:top="515" w:right="1440" w:bottom="0" w:gutter="0" w:footer="0" w:header="0"/>
        </w:sectPr>
      </w:pPr>
    </w:p>
    <w:bookmarkStart w:id="4" w:name="page5"/>
    <w:bookmarkEnd w:id="4"/>
    <w:p>
      <w:pPr>
        <w:ind w:left="532" w:right="1999"/>
        <w:spacing w:after="0" w:line="344" w:lineRule="auto"/>
        <w:rPr>
          <w:sz w:val="20"/>
          <w:szCs w:val="20"/>
          <w:color w:val="auto"/>
        </w:rPr>
      </w:pPr>
      <w:r>
        <w:rPr>
          <w:rFonts w:ascii="Courier New" w:cs="Courier New" w:eastAsia="Courier New" w:hAnsi="Courier New"/>
          <w:sz w:val="16"/>
          <w:szCs w:val="16"/>
          <w:color w:val="auto"/>
        </w:rPr>
        <w:t>operations for the 27 and 13 weeks ended March 2, 1996 and the 26 and 13 weeks ended February 25, 1995, and the consolidated cash flows for the 27 weeks ended March 2, 1996 and the 26 weeks ended February 25, 1995.</w:t>
      </w:r>
    </w:p>
    <w:p>
      <w:pPr>
        <w:spacing w:after="0" w:line="31" w:lineRule="exact"/>
        <w:rPr>
          <w:sz w:val="20"/>
          <w:szCs w:val="20"/>
          <w:color w:val="auto"/>
        </w:rPr>
      </w:pPr>
    </w:p>
    <w:p>
      <w:pPr>
        <w:ind w:left="532" w:right="1879" w:hanging="532"/>
        <w:spacing w:after="0" w:line="265" w:lineRule="auto"/>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operations for the 27 weeks ended March 2, 1996, are not necessarily indicative of the results to be expected for the full year. Service revenues, in the Consolidated Statements of Operations, consist of revenues generated by Cycle-Sat, Inc. (Cycle-Sat) and Winnebago Acceptance Corporation (WAC), subsidiaries of the Company.</w:t>
      </w:r>
    </w:p>
    <w:p>
      <w:pPr>
        <w:spacing w:after="0" w:line="89" w:lineRule="exact"/>
        <w:rPr>
          <w:rFonts w:ascii="Courier New" w:cs="Courier New" w:eastAsia="Courier New" w:hAnsi="Courier New"/>
          <w:sz w:val="18"/>
          <w:szCs w:val="18"/>
          <w:color w:val="auto"/>
        </w:rPr>
      </w:pPr>
    </w:p>
    <w:p>
      <w:pPr>
        <w:ind w:left="532" w:right="1779" w:hanging="532"/>
        <w:spacing w:after="0" w:line="292" w:lineRule="auto"/>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are valued at the lower of cost or market, with cost being determined under the last-in, first-out (LIFO) method and market defined as net realizable value.</w:t>
      </w:r>
    </w:p>
    <w:p>
      <w:pPr>
        <w:spacing w:after="0" w:line="66"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are composed of the following (dollars in thousands):</w:t>
      </w:r>
    </w:p>
    <w:p>
      <w:pPr>
        <w:spacing w:after="0" w:line="200" w:lineRule="exact"/>
        <w:rPr>
          <w:sz w:val="20"/>
          <w:szCs w:val="20"/>
          <w:color w:val="auto"/>
        </w:rPr>
      </w:pPr>
    </w:p>
    <w:tbl>
      <w:tblPr>
        <w:tblLayout w:type="fixed"/>
        <w:tblInd w:w="2632" w:type="dxa"/>
        <w:tblCellMar>
          <w:top w:w="0" w:type="dxa"/>
          <w:left w:w="0" w:type="dxa"/>
          <w:bottom w:w="0" w:type="dxa"/>
          <w:right w:w="0" w:type="dxa"/>
        </w:tblCellMar>
      </w:tblPr>
      <w:tr>
        <w:trPr>
          <w:trHeight w:val="204"/>
        </w:trPr>
        <w:tc>
          <w:tcPr>
            <w:tcW w:w="168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MARCH 2,</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AUGUST 26,</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96"/>
        </w:trPr>
        <w:tc>
          <w:tcPr>
            <w:tcW w:w="168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$22,494</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$19,855</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16,202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14,223</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35,356</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34,704</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680" w:type="dxa"/>
            <w:vAlign w:val="bottom"/>
            <w:vMerge w:val="restart"/>
          </w:tcPr>
          <w:p>
            <w:pPr>
              <w:spacing w:after="0"/>
              <w:rPr>
                <w:sz w:val="20"/>
                <w:szCs w:val="20"/>
                <w:color w:val="auto"/>
              </w:rPr>
            </w:pPr>
            <w:r>
              <w:rPr>
                <w:rFonts w:ascii="Courier New" w:cs="Courier New" w:eastAsia="Courier New" w:hAnsi="Courier New"/>
                <w:sz w:val="18"/>
                <w:szCs w:val="18"/>
                <w:color w:val="auto"/>
              </w:rPr>
              <w:t>LIFO Reserve</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74,052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68,782</w:t>
            </w:r>
          </w:p>
        </w:tc>
        <w:tc>
          <w:tcPr>
            <w:tcW w:w="0" w:type="dxa"/>
            <w:vAlign w:val="bottom"/>
          </w:tcPr>
          <w:p>
            <w:pPr>
              <w:spacing w:after="0"/>
              <w:rPr>
                <w:sz w:val="1"/>
                <w:szCs w:val="1"/>
                <w:color w:val="auto"/>
              </w:rPr>
            </w:pPr>
          </w:p>
        </w:tc>
      </w:tr>
      <w:tr>
        <w:trPr>
          <w:trHeight w:val="203"/>
        </w:trPr>
        <w:tc>
          <w:tcPr>
            <w:tcW w:w="1680" w:type="dxa"/>
            <w:vAlign w:val="bottom"/>
            <w:vMerge w:val="continue"/>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16,084</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15,621</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$57,968</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$53,161</w:t>
            </w:r>
          </w:p>
        </w:tc>
        <w:tc>
          <w:tcPr>
            <w:tcW w:w="0" w:type="dxa"/>
            <w:vAlign w:val="bottom"/>
          </w:tcPr>
          <w:p>
            <w:pPr>
              <w:spacing w:after="0"/>
              <w:rPr>
                <w:sz w:val="1"/>
                <w:szCs w:val="1"/>
                <w:color w:val="auto"/>
              </w:rPr>
            </w:pPr>
          </w:p>
        </w:tc>
      </w:tr>
      <w:tr>
        <w:trPr>
          <w:trHeight w:val="296"/>
        </w:trPr>
        <w:tc>
          <w:tcPr>
            <w:tcW w:w="168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32" w:right="2099" w:hanging="532"/>
        <w:spacing w:after="0" w:line="402" w:lineRule="auto"/>
        <w:tabs>
          <w:tab w:leader="none" w:pos="5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March 1992, the Company has had a financing and security agreement with NationsCredit Corporation (NationsCredit) a Nations Bank Company.</w:t>
      </w:r>
    </w:p>
    <w:p>
      <w:pPr>
        <w:ind w:left="532" w:right="1779"/>
        <w:spacing w:after="0" w:line="28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the agreement limit borrowings to the lesser of $30,000,000 or 75 percent of eligible inventory (fully manufactured recreation vehicles and motor home chassis and related components). Borrowings are secured by the Company's receivables and inventory. Borrowings pursuant to the agreement bear interest at the prime rate, as defined in the agreement, plus 50 basis points. The line of credit is available through March 31, 1997, and continues during successive one-year periods unless either party provides at least 90-days notice prior to the end of the one-year period to the other party that they wish to terminate the line of credit. The agreement also contains certain covenants including maintenance of minimum net worth, working capital and current ratio. As of March 2, 1996, the Company was in compliance with these covenants. There were no outstanding borrowings under the line of credit at March 2, 1996 or August 26, 1995.</w:t>
      </w:r>
    </w:p>
    <w:p>
      <w:pPr>
        <w:spacing w:after="0" w:line="289" w:lineRule="exact"/>
        <w:rPr>
          <w:rFonts w:ascii="Courier New" w:cs="Courier New" w:eastAsia="Courier New" w:hAnsi="Courier New"/>
          <w:sz w:val="16"/>
          <w:szCs w:val="16"/>
          <w:color w:val="auto"/>
        </w:rPr>
      </w:pPr>
    </w:p>
    <w:p>
      <w:pPr>
        <w:ind w:left="532" w:right="1779"/>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Cycle-Sat maintain a line of credit with Firstar Bank Cedar Rapids (Firstar). Terms of the agreement limit the amount advanced to the lesser of $4,500,000 or the sum of 80 percent of Cycle-Sat's eligible accounts receivable and 50 percent of its inventory. Borrowings pursuant to the agreement bear interest at the 90-day LIBOR rate, plus 150 basis points (7.4 percent per annum at March 2, 1996 and August 26, 1995). The agreement contains certain restrictive covenants. As of March 2, 1996, Cycle-Sat was in compliance with these covenants. Borrowings under the line of credit are secured by Cycle-Sat's accounts receivable and inventories and have been guaranteed by the Company. The line of credit expires January 31, 1997. The outstanding balance under the line of credit was $4,500,000 at March 2, 1996 and $4,000,000 at August 26, 1995. As of March 2, 1996, Cycle-Sat had exceeded the available borrowing limit by $285,000. Subsequent to the end of the quarter, Cycle-Sat repaid the excess borrowings.</w:t>
      </w:r>
    </w:p>
    <w:p>
      <w:pPr>
        <w:spacing w:after="0" w:line="289" w:lineRule="exact"/>
        <w:rPr>
          <w:rFonts w:ascii="Courier New" w:cs="Courier New" w:eastAsia="Courier New" w:hAnsi="Courier New"/>
          <w:sz w:val="16"/>
          <w:szCs w:val="16"/>
          <w:color w:val="auto"/>
        </w:rPr>
      </w:pPr>
    </w:p>
    <w:p>
      <w:pPr>
        <w:ind w:left="532" w:right="1879" w:hanging="532"/>
        <w:spacing w:after="0" w:line="249"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$137,647,000 and $120,487,000 under repurchase agreements with lending institutions as of March 2, 1996, and August 26, 1995, respectively. Included in these contingent liabilities are approximately $35,737,000 and $37,616,000, respectively, of certain dealer receivables subject to recourse agreements with NationsCredit and John Deere Credit, Inc.</w:t>
      </w:r>
    </w:p>
    <w:p>
      <w:pPr>
        <w:spacing w:after="0" w:line="1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27 weeks ended March 2, 1996 and the 26 weeks ended February 25,</w:t>
      </w:r>
    </w:p>
    <w:p>
      <w:pPr>
        <w:spacing w:after="0" w:line="30"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1995 the Company paid cash for the following (dollars in thousands):</w:t>
      </w:r>
    </w:p>
    <w:p>
      <w:pPr>
        <w:spacing w:after="0" w:line="168" w:lineRule="exact"/>
        <w:rPr>
          <w:sz w:val="20"/>
          <w:szCs w:val="20"/>
          <w:color w:val="auto"/>
        </w:rPr>
      </w:pPr>
    </w:p>
    <w:tbl>
      <w:tblPr>
        <w:tblLayout w:type="fixed"/>
        <w:tblInd w:w="4112" w:type="dxa"/>
        <w:tblCellMar>
          <w:top w:w="0" w:type="dxa"/>
          <w:left w:w="0" w:type="dxa"/>
          <w:bottom w:w="0" w:type="dxa"/>
          <w:right w:w="0" w:type="dxa"/>
        </w:tblCellMar>
      </w:tblPr>
      <w:tr>
        <w:trPr>
          <w:trHeight w:val="204"/>
        </w:trPr>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rPr>
              <w:t>TWENTY-SEVEN</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TWENTY-SIX</w:t>
            </w:r>
          </w:p>
        </w:tc>
        <w:tc>
          <w:tcPr>
            <w:tcW w:w="0" w:type="dxa"/>
            <w:vAlign w:val="bottom"/>
          </w:tcPr>
          <w:p>
            <w:pPr>
              <w:spacing w:after="0"/>
              <w:rPr>
                <w:sz w:val="1"/>
                <w:szCs w:val="1"/>
                <w:color w:val="auto"/>
              </w:rPr>
            </w:pPr>
          </w:p>
        </w:tc>
      </w:tr>
      <w:tr>
        <w:trPr>
          <w:trHeight w:val="203"/>
        </w:trPr>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WEEKS ENDED</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WEEKS ENDED</w:t>
            </w:r>
          </w:p>
        </w:tc>
        <w:tc>
          <w:tcPr>
            <w:tcW w:w="0" w:type="dxa"/>
            <w:vAlign w:val="bottom"/>
          </w:tcPr>
          <w:p>
            <w:pPr>
              <w:spacing w:after="0"/>
              <w:rPr>
                <w:sz w:val="1"/>
                <w:szCs w:val="1"/>
                <w:color w:val="auto"/>
              </w:rPr>
            </w:pPr>
          </w:p>
        </w:tc>
      </w:tr>
      <w:tr>
        <w:trPr>
          <w:trHeight w:val="203"/>
        </w:trPr>
        <w:tc>
          <w:tcPr>
            <w:tcW w:w="1780" w:type="dxa"/>
            <w:vAlign w:val="bottom"/>
            <w:vMerge w:val="restart"/>
          </w:tcPr>
          <w:p>
            <w:pPr>
              <w:spacing w:after="0"/>
              <w:rPr>
                <w:sz w:val="20"/>
                <w:szCs w:val="20"/>
                <w:color w:val="auto"/>
              </w:rPr>
            </w:pPr>
            <w:r>
              <w:rPr>
                <w:rFonts w:ascii="Courier New" w:cs="Courier New" w:eastAsia="Courier New" w:hAnsi="Courier New"/>
                <w:sz w:val="17"/>
                <w:szCs w:val="17"/>
                <w:color w:val="auto"/>
                <w:w w:val="70"/>
              </w:rPr>
              <w:t>---------------</w:t>
            </w:r>
            <w:r>
              <w:rPr>
                <w:rFonts w:ascii="Courier New" w:cs="Courier New" w:eastAsia="Courier New" w:hAnsi="Courier New"/>
                <w:sz w:val="34"/>
                <w:szCs w:val="34"/>
                <w:color w:val="auto"/>
                <w:w w:val="70"/>
                <w:vertAlign w:val="subscript"/>
              </w:rPr>
              <w:t>MARCH2,</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3"/>
        </w:trPr>
        <w:tc>
          <w:tcPr>
            <w:tcW w:w="1780" w:type="dxa"/>
            <w:vAlign w:val="bottom"/>
            <w:vMerge w:val="continue"/>
          </w:tcPr>
          <w:p>
            <w:pPr>
              <w:spacing w:after="0"/>
              <w:rPr>
                <w:sz w:val="24"/>
                <w:szCs w:val="24"/>
                <w:color w:val="auto"/>
              </w:rPr>
            </w:pP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FEBRUARY 25,</w:t>
            </w:r>
          </w:p>
        </w:tc>
        <w:tc>
          <w:tcPr>
            <w:tcW w:w="0" w:type="dxa"/>
            <w:vAlign w:val="bottom"/>
          </w:tcPr>
          <w:p>
            <w:pPr>
              <w:spacing w:after="0"/>
              <w:rPr>
                <w:sz w:val="1"/>
                <w:szCs w:val="1"/>
                <w:color w:val="auto"/>
              </w:rPr>
            </w:pPr>
          </w:p>
        </w:tc>
      </w:tr>
    </w:tbl>
    <w:p>
      <w:pPr>
        <w:sectPr>
          <w:pgSz w:w="11900" w:h="16838" w:orient="portrait"/>
          <w:cols w:equalWidth="0" w:num="1">
            <w:col w:w="10211"/>
          </w:cols>
          <w:pgMar w:left="248" w:top="110" w:right="1440" w:bottom="0" w:gutter="0" w:footer="0" w:header="0"/>
        </w:sectPr>
      </w:pPr>
    </w:p>
    <w:bookmarkStart w:id="5" w:name="page6"/>
    <w:bookmarkEnd w:id="5"/>
    <w:p>
      <w:pPr>
        <w:spacing w:after="0" w:line="1"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ind w:right="712"/>
              <w:spacing w:after="0"/>
              <w:rPr>
                <w:sz w:val="20"/>
                <w:szCs w:val="20"/>
                <w:color w:val="auto"/>
              </w:rPr>
            </w:pPr>
            <w:r>
              <w:rPr>
                <w:rFonts w:ascii="Courier New" w:cs="Courier New" w:eastAsia="Courier New" w:hAnsi="Courier New"/>
                <w:sz w:val="18"/>
                <w:szCs w:val="18"/>
                <w:color w:val="auto"/>
                <w:w w:val="92"/>
              </w:rPr>
              <w:t>1996</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1995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vMerge w:val="restart"/>
          </w:tcPr>
          <w:p>
            <w:pPr>
              <w:spacing w:after="0"/>
              <w:rPr>
                <w:sz w:val="20"/>
                <w:szCs w:val="20"/>
                <w:color w:val="auto"/>
              </w:rPr>
            </w:pPr>
            <w:r>
              <w:rPr>
                <w:rFonts w:ascii="Courier New" w:cs="Courier New" w:eastAsia="Courier New" w:hAnsi="Courier New"/>
                <w:sz w:val="18"/>
                <w:szCs w:val="18"/>
                <w:color w:val="auto"/>
              </w:rPr>
              <w:t>Interest</w:t>
            </w:r>
          </w:p>
        </w:tc>
        <w:tc>
          <w:tcPr>
            <w:tcW w:w="68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6"/>
              </w:rPr>
              <w:t>---------------</w:t>
            </w:r>
            <w:r>
              <w:rPr>
                <w:rFonts w:ascii="Courier New" w:cs="Courier New" w:eastAsia="Courier New" w:hAnsi="Courier New"/>
                <w:sz w:val="12"/>
                <w:szCs w:val="12"/>
                <w:color w:val="auto"/>
                <w:w w:val="76"/>
                <w:vertAlign w:val="subscript"/>
              </w:rPr>
              <w:t>$</w:t>
            </w:r>
          </w:p>
        </w:tc>
        <w:tc>
          <w:tcPr>
            <w:tcW w:w="12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978</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4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605</w:t>
            </w: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68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520</w:t>
            </w:r>
          </w:p>
        </w:tc>
        <w:tc>
          <w:tcPr>
            <w:tcW w:w="12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3,914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1879" w:hanging="532"/>
        <w:spacing w:after="0" w:line="292"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March 2, 1996, Postretirement Health Care and Deferred Compensation Benefits included postretirement benefits related to health care and other benefits of $25,838,000 and deferred compensation of $20,954,000.</w:t>
      </w:r>
    </w:p>
    <w:p>
      <w:pPr>
        <w:spacing w:after="0" w:line="66" w:lineRule="exact"/>
        <w:rPr>
          <w:sz w:val="20"/>
          <w:szCs w:val="20"/>
          <w:color w:val="auto"/>
        </w:rPr>
      </w:pPr>
    </w:p>
    <w:p>
      <w:pPr>
        <w:ind w:left="540" w:right="1779"/>
        <w:spacing w:after="0" w:line="347" w:lineRule="auto"/>
        <w:rPr>
          <w:sz w:val="20"/>
          <w:szCs w:val="20"/>
          <w:color w:val="auto"/>
        </w:rPr>
      </w:pPr>
      <w:r>
        <w:rPr>
          <w:rFonts w:ascii="Courier New" w:cs="Courier New" w:eastAsia="Courier New" w:hAnsi="Courier New"/>
          <w:sz w:val="18"/>
          <w:szCs w:val="18"/>
          <w:color w:val="auto"/>
        </w:rPr>
        <w:t>Net postretirement benefit cost for the 13 and 27 weeks ended March 2, 1996 consisted of the following components: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ind w:left="420"/>
              <w:spacing w:after="0"/>
              <w:rPr>
                <w:sz w:val="20"/>
                <w:szCs w:val="20"/>
                <w:color w:val="auto"/>
              </w:rPr>
            </w:pPr>
            <w:r>
              <w:rPr>
                <w:rFonts w:ascii="Courier New" w:cs="Courier New" w:eastAsia="Courier New" w:hAnsi="Courier New"/>
                <w:sz w:val="18"/>
                <w:szCs w:val="18"/>
                <w:color w:val="auto"/>
              </w:rPr>
              <w:t>(DOLLARS IN THOUSANDS)</w:t>
            </w: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THIRTEEN</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TWENTY-SEVEN</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WEEKS</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WEEKS</w:t>
            </w:r>
          </w:p>
        </w:tc>
        <w:tc>
          <w:tcPr>
            <w:tcW w:w="0" w:type="dxa"/>
            <w:vAlign w:val="bottom"/>
          </w:tcPr>
          <w:p>
            <w:pPr>
              <w:spacing w:after="0"/>
              <w:rPr>
                <w:sz w:val="1"/>
                <w:szCs w:val="1"/>
                <w:color w:val="auto"/>
              </w:rPr>
            </w:pPr>
          </w:p>
        </w:tc>
      </w:tr>
      <w:tr>
        <w:trPr>
          <w:trHeight w:val="203"/>
        </w:trPr>
        <w:tc>
          <w:tcPr>
            <w:tcW w:w="5440" w:type="dxa"/>
            <w:vAlign w:val="bottom"/>
            <w:vMerge w:val="restart"/>
          </w:tcPr>
          <w:p>
            <w:pPr>
              <w:spacing w:after="0"/>
              <w:rPr>
                <w:sz w:val="20"/>
                <w:szCs w:val="20"/>
                <w:color w:val="auto"/>
              </w:rPr>
            </w:pPr>
            <w:r>
              <w:rPr>
                <w:rFonts w:ascii="Courier New" w:cs="Courier New" w:eastAsia="Courier New" w:hAnsi="Courier New"/>
                <w:sz w:val="18"/>
                <w:szCs w:val="18"/>
                <w:color w:val="auto"/>
              </w:rPr>
              <w:t>Service cost - benefits earned during the period</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40" w:type="dxa"/>
            <w:vAlign w:val="bottom"/>
            <w:vMerge w:val="continue"/>
          </w:tcPr>
          <w:p>
            <w:pPr>
              <w:spacing w:after="0"/>
              <w:rPr>
                <w:sz w:val="17"/>
                <w:szCs w:val="17"/>
                <w:color w:val="auto"/>
              </w:rPr>
            </w:pP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$366</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759</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cost on accumulated</w:t>
            </w:r>
          </w:p>
        </w:tc>
        <w:tc>
          <w:tcPr>
            <w:tcW w:w="130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379</w:t>
            </w:r>
          </w:p>
        </w:tc>
        <w:tc>
          <w:tcPr>
            <w:tcW w:w="138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786</w:t>
            </w:r>
          </w:p>
        </w:tc>
        <w:tc>
          <w:tcPr>
            <w:tcW w:w="0" w:type="dxa"/>
            <w:vAlign w:val="bottom"/>
          </w:tcPr>
          <w:p>
            <w:pPr>
              <w:spacing w:after="0"/>
              <w:rPr>
                <w:sz w:val="1"/>
                <w:szCs w:val="1"/>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postretirement benefit obligation</w:t>
            </w:r>
          </w:p>
        </w:tc>
        <w:tc>
          <w:tcPr>
            <w:tcW w:w="130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(gain)/loss</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$714</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$ 1,482</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 FINANCIAL</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CONDITION AND RESULTS OF OPERATIONS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Thirteen Weeks Ended March 2, 1996 Compared to Thirteen Weeks Ended February 25, 1995</w:t>
      </w:r>
    </w:p>
    <w:p>
      <w:pPr>
        <w:spacing w:after="0" w:line="18"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Net revenues of manufactured products for the 13 weeks ended March 2, 1996 decreased $5,490,000 or 4.9 percent from the 13 week period ended February 25, 1995. Motor home shipments decreased by 262 units or 12.3 percent during the 13 weeks ended March 2, 1996 when compared to the second quarter of fiscal 1995. The second quarter of 1996 continued to reflect the weakness within which the RV industry has operated since last summer. The Company has seen an improvement in the RV industry recently, therefore, the Company is optimistic about the outlook for the remainder of the 1996 fiscal year.</w:t>
      </w:r>
    </w:p>
    <w:p>
      <w:pPr>
        <w:spacing w:after="0" w:line="104"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Service revenues for the 13 weeks ended March 2, 1996 increased $3,644,000 or 87.2 percent from the comparable period of fiscal 1995. Cycle-Sat recorded revenues of $7,441,000, an increase of $3,606,000 or 94.0 percent, primarily due to increased revenues generated through the acquisition by Cycle-Sat of the TFI division of MPO Videotronics (TFI) during the third quarter of fiscal 1995.</w:t>
      </w:r>
    </w:p>
    <w:p>
      <w:pPr>
        <w:spacing w:after="0" w:line="60"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Cost of manufactured products, as a percent of manufactured product revenues, was 87.6 percent for the 13 weeks ended March 2, 1996 compared to 85.7 percent for the 13 weeks ended February 25, 1995. This percentage increase was primarily caused by lower motor home production volume.</w:t>
      </w:r>
    </w:p>
    <w:p>
      <w:pPr>
        <w:spacing w:after="0" w:line="82"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Cost of services, as a percent of service revenues, decreased during the second quarter of fiscal 1996 to 59.0 percent from 65.2 percent during the second quarter of fiscal 1995. This percentage decrease is attributed to the increase in Cycle-Sat's sales and the fixed costs of its operations remaining relatively constant.</w:t>
      </w:r>
    </w:p>
    <w:p>
      <w:pPr>
        <w:spacing w:after="0" w:line="90" w:lineRule="exact"/>
        <w:rPr>
          <w:sz w:val="20"/>
          <w:szCs w:val="20"/>
          <w:color w:val="auto"/>
        </w:rPr>
      </w:pPr>
    </w:p>
    <w:p>
      <w:pPr>
        <w:ind w:right="1999"/>
        <w:spacing w:after="0" w:line="306" w:lineRule="auto"/>
        <w:rPr>
          <w:sz w:val="20"/>
          <w:szCs w:val="20"/>
          <w:color w:val="auto"/>
        </w:rPr>
      </w:pPr>
      <w:r>
        <w:rPr>
          <w:rFonts w:ascii="Courier New" w:cs="Courier New" w:eastAsia="Courier New" w:hAnsi="Courier New"/>
          <w:sz w:val="16"/>
          <w:szCs w:val="16"/>
          <w:color w:val="auto"/>
        </w:rPr>
        <w:t>Selling and delivery expenses decreased by $1,099,000 to $5,495,000 comparing the 13 weeks ended March 2, 1996 to the 13 weeks ended February 25, 1995 and decreased as a percentage of net revenues to 4.8 percent from 5.7 percent. The decreases in dollars and percentage primarily reflects decreases in the Company's promotional and advertising costs and net delivery expenses.</w:t>
      </w:r>
    </w:p>
    <w:p>
      <w:pPr>
        <w:spacing w:after="0" w:line="60" w:lineRule="exact"/>
        <w:rPr>
          <w:sz w:val="20"/>
          <w:szCs w:val="20"/>
          <w:color w:val="auto"/>
        </w:rPr>
      </w:pPr>
    </w:p>
    <w:p>
      <w:pPr>
        <w:ind w:right="2099"/>
        <w:spacing w:after="0" w:line="260" w:lineRule="auto"/>
        <w:rPr>
          <w:sz w:val="20"/>
          <w:szCs w:val="20"/>
          <w:color w:val="auto"/>
        </w:rPr>
      </w:pPr>
      <w:r>
        <w:rPr>
          <w:rFonts w:ascii="Courier New" w:cs="Courier New" w:eastAsia="Courier New" w:hAnsi="Courier New"/>
          <w:sz w:val="18"/>
          <w:szCs w:val="18"/>
          <w:color w:val="auto"/>
        </w:rPr>
        <w:t>General and administrative expenses increased by $1,855,000 to $7,605,000 comparing the 13 weeks ended March 2, 1996 to the 13 weeks ended February 25, 1995 and increased as a percentage of net revenues to 6.7 percent from 5.0 percent. The increases in dollars and percentage were caused primarily by increased spending by Cycle-Sat, increases in the Company's reserves for retirement programs and legal reserves.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had net financial income of $67,000 for the second quarter of fiscal</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1996 compared to net financial income of $1,018,000 for the comparable quarter</w:t>
      </w:r>
    </w:p>
    <w:p>
      <w:pPr>
        <w:spacing w:after="0" w:line="238" w:lineRule="auto"/>
        <w:rPr>
          <w:sz w:val="20"/>
          <w:szCs w:val="20"/>
          <w:color w:val="auto"/>
        </w:rPr>
      </w:pPr>
      <w:r>
        <w:rPr>
          <w:rFonts w:ascii="Courier New" w:cs="Courier New" w:eastAsia="Courier New" w:hAnsi="Courier New"/>
          <w:sz w:val="18"/>
          <w:szCs w:val="18"/>
          <w:color w:val="auto"/>
        </w:rPr>
        <w:t>of fiscal 1995. During the 13 weeks ended March 2, 1996, the Company recorded</w:t>
      </w:r>
    </w:p>
    <w:p>
      <w:pPr>
        <w:spacing w:after="0"/>
        <w:rPr>
          <w:sz w:val="20"/>
          <w:szCs w:val="20"/>
          <w:color w:val="auto"/>
        </w:rPr>
      </w:pPr>
      <w:r>
        <w:rPr>
          <w:rFonts w:ascii="Courier New" w:cs="Courier New" w:eastAsia="Courier New" w:hAnsi="Courier New"/>
          <w:sz w:val="18"/>
          <w:szCs w:val="18"/>
          <w:color w:val="auto"/>
        </w:rPr>
        <w:t>realized and unrealized gains in its marketable securities portfolio of</w:t>
      </w:r>
    </w:p>
    <w:p>
      <w:pPr>
        <w:spacing w:after="0"/>
        <w:rPr>
          <w:sz w:val="20"/>
          <w:szCs w:val="20"/>
          <w:color w:val="auto"/>
        </w:rPr>
      </w:pPr>
      <w:r>
        <w:rPr>
          <w:rFonts w:ascii="Courier New" w:cs="Courier New" w:eastAsia="Courier New" w:hAnsi="Courier New"/>
          <w:sz w:val="16"/>
          <w:szCs w:val="16"/>
          <w:color w:val="auto"/>
        </w:rPr>
        <w:t>$189,000, interest expense of $90,000 and foreign currency transaction losses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$32,000. During the 13 weeks ended February 25, 1995, the Company recorded</w:t>
      </w:r>
    </w:p>
    <w:p>
      <w:pPr>
        <w:spacing w:after="0" w:line="238" w:lineRule="auto"/>
        <w:rPr>
          <w:sz w:val="20"/>
          <w:szCs w:val="20"/>
          <w:color w:val="auto"/>
        </w:rPr>
      </w:pPr>
      <w:r>
        <w:rPr>
          <w:rFonts w:ascii="Courier New" w:cs="Courier New" w:eastAsia="Courier New" w:hAnsi="Courier New"/>
          <w:sz w:val="18"/>
          <w:szCs w:val="18"/>
          <w:color w:val="auto"/>
        </w:rPr>
        <w:t>$705,000 of realized and unrealized gains in its marketable securities</w:t>
      </w:r>
    </w:p>
    <w:p>
      <w:pPr>
        <w:spacing w:after="0"/>
        <w:rPr>
          <w:sz w:val="20"/>
          <w:szCs w:val="20"/>
          <w:color w:val="auto"/>
        </w:rPr>
      </w:pPr>
      <w:r>
        <w:rPr>
          <w:rFonts w:ascii="Courier New" w:cs="Courier New" w:eastAsia="Courier New" w:hAnsi="Courier New"/>
          <w:sz w:val="18"/>
          <w:szCs w:val="18"/>
          <w:color w:val="auto"/>
        </w:rPr>
        <w:t>portfolio, $207,000 of foreign currency transaction gains and $106,000 of</w:t>
      </w:r>
    </w:p>
    <w:p>
      <w:pPr>
        <w:spacing w:after="0"/>
        <w:rPr>
          <w:sz w:val="20"/>
          <w:szCs w:val="20"/>
          <w:color w:val="auto"/>
        </w:rPr>
      </w:pPr>
      <w:r>
        <w:rPr>
          <w:rFonts w:ascii="Courier New" w:cs="Courier New" w:eastAsia="Courier New" w:hAnsi="Courier New"/>
          <w:sz w:val="18"/>
          <w:szCs w:val="18"/>
          <w:color w:val="auto"/>
        </w:rPr>
        <w:t>interest income.</w:t>
      </w:r>
    </w:p>
    <w:p>
      <w:pPr>
        <w:sectPr>
          <w:pgSz w:w="11900" w:h="16838" w:orient="portrait"/>
          <w:cols w:equalWidth="0" w:num="1">
            <w:col w:w="10219"/>
          </w:cols>
          <w:pgMar w:left="240" w:top="108" w:right="1440" w:bottom="0" w:gutter="0" w:footer="0" w:header="0"/>
        </w:sectPr>
      </w:pPr>
    </w:p>
    <w:bookmarkStart w:id="6" w:name="page7"/>
    <w:bookmarkEnd w:id="6"/>
    <w:p>
      <w:pPr>
        <w:ind w:right="1879"/>
        <w:spacing w:after="0" w:line="250" w:lineRule="auto"/>
        <w:rPr>
          <w:sz w:val="20"/>
          <w:szCs w:val="20"/>
          <w:color w:val="auto"/>
        </w:rPr>
      </w:pPr>
      <w:r>
        <w:rPr>
          <w:rFonts w:ascii="Courier New" w:cs="Courier New" w:eastAsia="Courier New" w:hAnsi="Courier New"/>
          <w:sz w:val="18"/>
          <w:szCs w:val="18"/>
          <w:color w:val="auto"/>
        </w:rPr>
        <w:t>For the 13 weeks ended March 2, 1996, the Company reported net income of $2,238,000 or $.09 per share which consisted primarily of income from manufactured products operations of $1,987,000 ($.08 per share) and income from Cycle-Sat operations of $26,000. This quarter's results reflect the impact of income tax expense of $1,076,000. For the 13 weeks ended February 25, 1995, the Company reported net income of $12,085,000 or $.48 per share which consisted primarily of income from manufactured products operations of $6,197,000 ($.25 per share) and a net loss from Cycle-Sat operations of $487,000 ($.02 per share). Also during the quarter ended February 25, 1995, the Company reported a $6,000,000 ($.24 per share) credit for income taxes.</w:t>
      </w:r>
    </w:p>
    <w:p>
      <w:pPr>
        <w:spacing w:after="0" w:line="104"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Twenty-Seven Weeks Ended March 2, 1996 Compared to Twenty-Six Weeks Ended February 25, 1995</w:t>
      </w:r>
    </w:p>
    <w:p>
      <w:pPr>
        <w:spacing w:after="0" w:line="18"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Net revenues of manufactured products for the 27 weeks ended March 2, 1996 decreased $16,562,000 or 7.0 percent from the 26 weeks ended February 25, 1995. Motor home shipments decreased by 609 units or 13.4 percent during the 27 weeks ended March 2, 1996 when compared to the first half of fiscal 1995. This decrease in the Company's revenues is attributed to the weakness the RV industry has experienced since last summer.</w:t>
      </w:r>
    </w:p>
    <w:p>
      <w:pPr>
        <w:spacing w:after="0" w:line="93" w:lineRule="exact"/>
        <w:rPr>
          <w:sz w:val="20"/>
          <w:szCs w:val="20"/>
          <w:color w:val="auto"/>
        </w:rPr>
      </w:pPr>
    </w:p>
    <w:p>
      <w:pPr>
        <w:ind w:right="1779"/>
        <w:spacing w:after="0" w:line="318" w:lineRule="auto"/>
        <w:rPr>
          <w:sz w:val="20"/>
          <w:szCs w:val="20"/>
          <w:color w:val="auto"/>
        </w:rPr>
      </w:pPr>
      <w:r>
        <w:rPr>
          <w:rFonts w:ascii="Courier New" w:cs="Courier New" w:eastAsia="Courier New" w:hAnsi="Courier New"/>
          <w:sz w:val="16"/>
          <w:szCs w:val="16"/>
          <w:color w:val="auto"/>
        </w:rPr>
        <w:t>Service revenues for the 27 weeks ended March 2, 1996 increased $5,935,000 or 56.6 percent from the 26 weeks ended February 25, 1995. Cycle-Sat recorded revenues of $15,684,000, an increase of $5,811,000, or 58.9 percent, primarily due to increased revenues generated through the acquisition by Cycle-Sat of TFI.</w:t>
      </w:r>
    </w:p>
    <w:p>
      <w:pPr>
        <w:spacing w:after="0" w:line="52"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Cost of manufactured products, as a percent of manufactured product revenues, was 86.9 percent for the 27 weeks ended March 2, 1996 compared to 85.8 percent for the 26 weeks ended February 25, 1995. This percentage increase was primarily caused by lower motor home production volume.</w:t>
      </w:r>
    </w:p>
    <w:p>
      <w:pPr>
        <w:spacing w:after="0" w:line="82" w:lineRule="exact"/>
        <w:rPr>
          <w:sz w:val="20"/>
          <w:szCs w:val="20"/>
          <w:color w:val="auto"/>
        </w:rPr>
      </w:pPr>
    </w:p>
    <w:p>
      <w:pPr>
        <w:ind w:right="2199"/>
        <w:spacing w:after="0" w:line="318" w:lineRule="auto"/>
        <w:rPr>
          <w:sz w:val="20"/>
          <w:szCs w:val="20"/>
          <w:color w:val="auto"/>
        </w:rPr>
      </w:pPr>
      <w:r>
        <w:rPr>
          <w:rFonts w:ascii="Courier New" w:cs="Courier New" w:eastAsia="Courier New" w:hAnsi="Courier New"/>
          <w:sz w:val="16"/>
          <w:szCs w:val="16"/>
          <w:color w:val="auto"/>
        </w:rPr>
        <w:t>Cost of services, as a percent of service revenue, decreased to 58.6 percent from 59.1 percent when comparing the 27 weeks ended March 2, 1996 to the 26 weeks ended February 25, 1995. This percentage decrease is attributed to the increase in Cycle-Sat's sales while its fixed costs remained constant</w:t>
      </w:r>
    </w:p>
    <w:p>
      <w:pPr>
        <w:spacing w:after="0" w:line="52"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Selling and delivery expenses decreased by $368,000 but increased to 5.2 percent from 5.1 percent of net revenues when comparing the 27 weeks ended March 2, 1996 to the comparable period of fiscal 1995. The decrease in dollars can be attributed primarily to a reduction in the Company's promotional and advertising costs.</w:t>
      </w:r>
    </w:p>
    <w:p>
      <w:pPr>
        <w:spacing w:after="0" w:line="90" w:lineRule="exact"/>
        <w:rPr>
          <w:sz w:val="20"/>
          <w:szCs w:val="20"/>
          <w:color w:val="auto"/>
        </w:rPr>
      </w:pPr>
    </w:p>
    <w:p>
      <w:pPr>
        <w:ind w:right="2099"/>
        <w:spacing w:after="0" w:line="260" w:lineRule="auto"/>
        <w:rPr>
          <w:sz w:val="20"/>
          <w:szCs w:val="20"/>
          <w:color w:val="auto"/>
        </w:rPr>
      </w:pPr>
      <w:r>
        <w:rPr>
          <w:rFonts w:ascii="Courier New" w:cs="Courier New" w:eastAsia="Courier New" w:hAnsi="Courier New"/>
          <w:sz w:val="18"/>
          <w:szCs w:val="18"/>
          <w:color w:val="auto"/>
        </w:rPr>
        <w:t>General and administrative expenses increased by $3,123,000 to $15,277,000 comparing the 27 weeks ended March 2, 1996 to the 26 weeks ended February 25, 1995 and increased as a percentage of net revenues to 6.5 percent from 4.9 percent. The increase in dollars and percentage were caused primarily by increases of Cycle-Sat's spending, increases in the Company's reserves for retirement programs and provisions for product liability expenses.</w:t>
      </w:r>
    </w:p>
    <w:p>
      <w:pPr>
        <w:spacing w:after="0" w:line="93"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The Company had net financial income of $81,000 for the first half of fiscal 1996 compared to net financial income of $824,000 for the first half of fiscal of 1995. During the 27 weeks ended March 2, 1996, the Company recorded realized and unrealized gains in its marketable securities portfolio of $149,000, interest expense of $145,000, and foreign currency transaction gains of $77,000. During the 26 weeks ended February 25, 1995, the Company recorded foreign currency transaction gains of $313,000, realized and unrealized gains in its marketable securities portfolio of $281,000, and interest income of $230,000.</w:t>
      </w:r>
    </w:p>
    <w:p>
      <w:pPr>
        <w:spacing w:after="0" w:line="77" w:lineRule="exact"/>
        <w:rPr>
          <w:sz w:val="20"/>
          <w:szCs w:val="20"/>
          <w:color w:val="auto"/>
        </w:rPr>
      </w:pPr>
    </w:p>
    <w:p>
      <w:pPr>
        <w:ind w:right="1879"/>
        <w:spacing w:after="0" w:line="250" w:lineRule="auto"/>
        <w:rPr>
          <w:sz w:val="20"/>
          <w:szCs w:val="20"/>
          <w:color w:val="auto"/>
        </w:rPr>
      </w:pPr>
      <w:r>
        <w:rPr>
          <w:rFonts w:ascii="Courier New" w:cs="Courier New" w:eastAsia="Courier New" w:hAnsi="Courier New"/>
          <w:sz w:val="18"/>
          <w:szCs w:val="18"/>
          <w:color w:val="auto"/>
        </w:rPr>
        <w:t>For the 27 weeks ended March 2, 1996, the Company reported net income of $5,228,000 or $.21 per share which consisted primarily of income from manufactured products operations of $4,399,000 ($.17 per share) and income from Cycle-Sat operations of $222,000 ($.01 per share). The results of the 27 weeks ended March 2, 1996 reflect the impact of income tax expense of $2,834,000. For the 26 weeks ended February 25, 1995, the Company reported net income of $19,694,000 or $.78 per share which consisted primarily of income from manufactured products operations of $12,599,000 ($.50 per share), the aforementioned $6,000,000 ($.24 per share) tax credit, and income of $137,000 ($.01 per share) from Cycle-Sat operations.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FINANCIAL CONDITION</w:t>
      </w:r>
    </w:p>
    <w:p>
      <w:pPr>
        <w:spacing w:after="0" w:line="201" w:lineRule="exact"/>
        <w:rPr>
          <w:sz w:val="20"/>
          <w:szCs w:val="20"/>
          <w:color w:val="auto"/>
        </w:rPr>
      </w:pPr>
    </w:p>
    <w:p>
      <w:pPr>
        <w:ind w:right="2199"/>
        <w:spacing w:after="0" w:line="292" w:lineRule="auto"/>
        <w:rPr>
          <w:sz w:val="20"/>
          <w:szCs w:val="20"/>
          <w:color w:val="auto"/>
        </w:rPr>
      </w:pPr>
      <w:r>
        <w:rPr>
          <w:rFonts w:ascii="Courier New" w:cs="Courier New" w:eastAsia="Courier New" w:hAnsi="Courier New"/>
          <w:sz w:val="18"/>
          <w:szCs w:val="18"/>
          <w:color w:val="auto"/>
        </w:rPr>
        <w:t>The Company meets its working capital and capital equipment requirements and cash requirements of subsidiaries with funds generated internally and funds borrowed under agreements with financial institutions.</w:t>
      </w:r>
    </w:p>
    <w:p>
      <w:pPr>
        <w:spacing w:after="0" w:line="66"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At March 2, 1996, working capital was $72,653,000, an increase of $2,959,000 from the amount at August 26, 1995. The Company's principal sources and uses of cash during the 27 weeks ended March 2, 1996 are set forth in the unaudited consolidated condensed statement of cash flows for that period.</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known demands at March 2, 1996 on the Company's liquid assets for the</w:t>
      </w:r>
    </w:p>
    <w:p>
      <w:pPr>
        <w:sectPr>
          <w:pgSz w:w="11900" w:h="16838" w:orient="portrait"/>
          <w:cols w:equalWidth="0" w:num="1">
            <w:col w:w="10219"/>
          </w:cols>
          <w:pgMar w:left="240" w:top="110" w:right="1440" w:bottom="0" w:gutter="0" w:footer="0" w:header="0"/>
        </w:sectPr>
      </w:pPr>
    </w:p>
    <w:bookmarkStart w:id="7" w:name="page8"/>
    <w:bookmarkEnd w:id="7"/>
    <w:p>
      <w:pPr>
        <w:ind w:right="1779"/>
        <w:spacing w:after="0" w:line="344" w:lineRule="auto"/>
        <w:rPr>
          <w:sz w:val="20"/>
          <w:szCs w:val="20"/>
          <w:color w:val="auto"/>
        </w:rPr>
      </w:pPr>
      <w:r>
        <w:rPr>
          <w:rFonts w:ascii="Courier New" w:cs="Courier New" w:eastAsia="Courier New" w:hAnsi="Courier New"/>
          <w:sz w:val="16"/>
          <w:szCs w:val="16"/>
          <w:color w:val="auto"/>
        </w:rPr>
        <w:t>remainder of fiscal 1996 include approximately $3,209,000 of capital expenditures (primarily equipment replacements) and $2,535,000 of cash dividends declared by the Board of Directors on February 1, 1996 (payable April 8, 1996).</w:t>
      </w:r>
    </w:p>
    <w:p>
      <w:pPr>
        <w:spacing w:after="0" w:line="31"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Management currently expects its cash on hand, funds from operations and borrowings available under existing credit facilities to be sufficient to cover both short-term and long-term operating requirements.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meeting was held December 13, 1995.</w:t>
      </w:r>
    </w:p>
    <w:p>
      <w:pPr>
        <w:spacing w:after="0" w:line="201" w:lineRule="exact"/>
        <w:rPr>
          <w:rFonts w:ascii="Courier New" w:cs="Courier New" w:eastAsia="Courier New" w:hAnsi="Courier New"/>
          <w:sz w:val="18"/>
          <w:szCs w:val="18"/>
          <w:color w:val="auto"/>
        </w:rPr>
      </w:pPr>
    </w:p>
    <w:p>
      <w:pPr>
        <w:ind w:left="1060" w:right="2099" w:hanging="525"/>
        <w:spacing w:after="0" w:line="292"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election of nine directors was the only shareholder business transacted at the annual meeting. The breakdown of the votes was as follows*:</w:t>
      </w:r>
    </w:p>
    <w:p>
      <w:pPr>
        <w:spacing w:after="0" w:line="65"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520" w:type="dxa"/>
            <w:vAlign w:val="bottom"/>
          </w:tcPr>
          <w:p>
            <w:pPr>
              <w:spacing w:after="0"/>
              <w:rPr>
                <w:sz w:val="17"/>
                <w:szCs w:val="17"/>
                <w:color w:val="auto"/>
              </w:rPr>
            </w:pPr>
          </w:p>
        </w:tc>
        <w:tc>
          <w:tcPr>
            <w:tcW w:w="1680" w:type="dxa"/>
            <w:vAlign w:val="bottom"/>
          </w:tcPr>
          <w:p>
            <w:pPr>
              <w:ind w:left="220"/>
              <w:spacing w:after="0"/>
              <w:rPr>
                <w:sz w:val="20"/>
                <w:szCs w:val="20"/>
                <w:color w:val="auto"/>
              </w:rPr>
            </w:pPr>
            <w:r>
              <w:rPr>
                <w:rFonts w:ascii="Courier New" w:cs="Courier New" w:eastAsia="Courier New" w:hAnsi="Courier New"/>
                <w:sz w:val="18"/>
                <w:szCs w:val="18"/>
                <w:color w:val="auto"/>
              </w:rPr>
              <w:t>VOTES CAST</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rPr>
              <w:t>VOTES CAST</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VOTES</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16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FOR</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AGAINST</w:t>
            </w:r>
          </w:p>
        </w:tc>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ABSTAINED</w:t>
            </w:r>
          </w:p>
        </w:tc>
        <w:tc>
          <w:tcPr>
            <w:tcW w:w="0" w:type="dxa"/>
            <w:vAlign w:val="bottom"/>
          </w:tcPr>
          <w:p>
            <w:pPr>
              <w:spacing w:after="0"/>
              <w:rPr>
                <w:sz w:val="1"/>
                <w:szCs w:val="1"/>
                <w:color w:val="auto"/>
              </w:rPr>
            </w:pPr>
          </w:p>
        </w:tc>
      </w:tr>
      <w:tr>
        <w:trPr>
          <w:trHeight w:val="203"/>
        </w:trPr>
        <w:tc>
          <w:tcPr>
            <w:tcW w:w="2520" w:type="dxa"/>
            <w:vAlign w:val="bottom"/>
            <w:vMerge w:val="restart"/>
          </w:tcPr>
          <w:p>
            <w:pPr>
              <w:spacing w:after="0"/>
              <w:rPr>
                <w:sz w:val="20"/>
                <w:szCs w:val="20"/>
                <w:color w:val="auto"/>
              </w:rPr>
            </w:pPr>
            <w:r>
              <w:rPr>
                <w:rFonts w:ascii="Courier New" w:cs="Courier New" w:eastAsia="Courier New" w:hAnsi="Courier New"/>
                <w:sz w:val="18"/>
                <w:szCs w:val="18"/>
                <w:color w:val="auto"/>
              </w:rPr>
              <w:t>John K. Hanson</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2520" w:type="dxa"/>
            <w:vAlign w:val="bottom"/>
            <w:vMerge w:val="continue"/>
          </w:tcPr>
          <w:p>
            <w:pPr>
              <w:spacing w:after="0"/>
              <w:rPr>
                <w:sz w:val="17"/>
                <w:szCs w:val="17"/>
                <w:color w:val="auto"/>
              </w:rPr>
            </w:pP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20,027,780</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244,223</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98,876</w:t>
            </w:r>
          </w:p>
        </w:tc>
        <w:tc>
          <w:tcPr>
            <w:tcW w:w="0" w:type="dxa"/>
            <w:vAlign w:val="bottom"/>
          </w:tcPr>
          <w:p>
            <w:pPr>
              <w:spacing w:after="0"/>
              <w:rPr>
                <w:sz w:val="1"/>
                <w:szCs w:val="1"/>
                <w:color w:val="auto"/>
              </w:rPr>
            </w:pP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E. Boman</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20,035,327</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236,676</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98,876</w:t>
            </w:r>
          </w:p>
        </w:tc>
        <w:tc>
          <w:tcPr>
            <w:tcW w:w="0" w:type="dxa"/>
            <w:vAlign w:val="bottom"/>
          </w:tcPr>
          <w:p>
            <w:pPr>
              <w:spacing w:after="0"/>
              <w:rPr>
                <w:sz w:val="1"/>
                <w:szCs w:val="1"/>
                <w:color w:val="auto"/>
              </w:rPr>
            </w:pP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G. Croonquist</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20,253,432</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18,571</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98,876</w:t>
            </w:r>
          </w:p>
        </w:tc>
        <w:tc>
          <w:tcPr>
            <w:tcW w:w="0" w:type="dxa"/>
            <w:vAlign w:val="bottom"/>
          </w:tcPr>
          <w:p>
            <w:pPr>
              <w:spacing w:after="0"/>
              <w:rPr>
                <w:sz w:val="1"/>
                <w:szCs w:val="1"/>
                <w:color w:val="auto"/>
              </w:rPr>
            </w:pP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Fred G. Dohrmann</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20,038,036</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233,967</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98,876</w:t>
            </w:r>
          </w:p>
        </w:tc>
        <w:tc>
          <w:tcPr>
            <w:tcW w:w="0" w:type="dxa"/>
            <w:vAlign w:val="bottom"/>
          </w:tcPr>
          <w:p>
            <w:pPr>
              <w:spacing w:after="0"/>
              <w:rPr>
                <w:sz w:val="1"/>
                <w:szCs w:val="1"/>
                <w:color w:val="auto"/>
              </w:rPr>
            </w:pP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Keith D. Elwick</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20,253,052</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18,951</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98,876</w:t>
            </w:r>
          </w:p>
        </w:tc>
        <w:tc>
          <w:tcPr>
            <w:tcW w:w="0" w:type="dxa"/>
            <w:vAlign w:val="bottom"/>
          </w:tcPr>
          <w:p>
            <w:pPr>
              <w:spacing w:after="0"/>
              <w:rPr>
                <w:sz w:val="1"/>
                <w:szCs w:val="1"/>
                <w:color w:val="auto"/>
              </w:rPr>
            </w:pP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W. Olson</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20,240,812</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31,191</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98,876</w:t>
            </w:r>
          </w:p>
        </w:tc>
        <w:tc>
          <w:tcPr>
            <w:tcW w:w="0" w:type="dxa"/>
            <w:vAlign w:val="bottom"/>
          </w:tcPr>
          <w:p>
            <w:pPr>
              <w:spacing w:after="0"/>
              <w:rPr>
                <w:sz w:val="1"/>
                <w:szCs w:val="1"/>
                <w:color w:val="auto"/>
              </w:rPr>
            </w:pP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M. Shuster</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20,269,203</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2,800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98,876</w:t>
            </w:r>
          </w:p>
        </w:tc>
        <w:tc>
          <w:tcPr>
            <w:tcW w:w="0" w:type="dxa"/>
            <w:vAlign w:val="bottom"/>
          </w:tcPr>
          <w:p>
            <w:pPr>
              <w:spacing w:after="0"/>
              <w:rPr>
                <w:sz w:val="1"/>
                <w:szCs w:val="1"/>
                <w:color w:val="auto"/>
              </w:rPr>
            </w:pP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Frederick M. Zimmerman</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20,265,469</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6,534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98,876</w:t>
            </w:r>
          </w:p>
        </w:tc>
        <w:tc>
          <w:tcPr>
            <w:tcW w:w="0" w:type="dxa"/>
            <w:vAlign w:val="bottom"/>
          </w:tcPr>
          <w:p>
            <w:pPr>
              <w:spacing w:after="0"/>
              <w:rPr>
                <w:sz w:val="1"/>
                <w:szCs w:val="1"/>
                <w:color w:val="auto"/>
              </w:rPr>
            </w:pPr>
          </w:p>
        </w:tc>
      </w:tr>
      <w:tr>
        <w:trPr>
          <w:trHeight w:val="296"/>
        </w:trPr>
        <w:tc>
          <w:tcPr>
            <w:tcW w:w="2520" w:type="dxa"/>
            <w:vAlign w:val="bottom"/>
          </w:tcPr>
          <w:p>
            <w:pPr>
              <w:spacing w:after="0"/>
              <w:rPr>
                <w:sz w:val="20"/>
                <w:szCs w:val="20"/>
                <w:color w:val="auto"/>
              </w:rPr>
            </w:pPr>
            <w:r>
              <w:rPr>
                <w:rFonts w:ascii="Courier New" w:cs="Courier New" w:eastAsia="Courier New" w:hAnsi="Courier New"/>
                <w:sz w:val="18"/>
                <w:szCs w:val="18"/>
                <w:color w:val="auto"/>
              </w:rPr>
              <w:t>Francis L. Zrostlik</w:t>
            </w: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8"/>
              </w:rPr>
              <w:t>20,262,987</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9,016</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98,876</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5899" w:firstLine="851"/>
        <w:spacing w:after="0" w:line="536" w:lineRule="auto"/>
        <w:tabs>
          <w:tab w:leader="none" w:pos="1053"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were no broker non-votes. Item 6 Exhibits and Reports on Form 8-K</w:t>
      </w: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 See Exhibit Index on page 12.</w:t>
      </w:r>
    </w:p>
    <w:p>
      <w:pPr>
        <w:spacing w:after="0" w:line="201" w:lineRule="exact"/>
        <w:rPr>
          <w:rFonts w:ascii="Courier New" w:cs="Courier New" w:eastAsia="Courier New" w:hAnsi="Courier New"/>
          <w:sz w:val="18"/>
          <w:szCs w:val="18"/>
          <w:color w:val="auto"/>
        </w:rPr>
      </w:pPr>
    </w:p>
    <w:p>
      <w:pPr>
        <w:ind w:left="860" w:right="2419" w:hanging="431"/>
        <w:spacing w:after="0" w:line="34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did not file any reports on Form 8-K during the period covered by this report.</w:t>
      </w:r>
    </w:p>
    <w:p>
      <w:pPr>
        <w:spacing w:after="0" w:line="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4"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WINNEBAGO INDUSTRIES, INC.</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10" w:right="1440" w:bottom="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10, 1996</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/s/Fred G. Dohrmann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Fred G. Dohrmann</w:t>
      </w: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192" w:lineRule="exact"/>
        <w:rPr>
          <w:sz w:val="20"/>
          <w:szCs w:val="20"/>
          <w:color w:val="auto"/>
        </w:rPr>
      </w:pPr>
    </w:p>
    <w:p>
      <w:pPr>
        <w:sectPr>
          <w:pgSz w:w="11900" w:h="16838" w:orient="portrait"/>
          <w:cols w:equalWidth="0" w:num="3">
            <w:col w:w="420" w:space="320"/>
            <w:col w:w="2560" w:space="720"/>
            <w:col w:w="6199"/>
          </w:cols>
          <w:pgMar w:left="240" w:top="11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April 10, 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/s/Ed F. Barker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 F. Barker</w:t>
      </w:r>
    </w:p>
    <w:p>
      <w:pPr>
        <w:spacing w:after="0"/>
        <w:rPr>
          <w:sz w:val="20"/>
          <w:szCs w:val="20"/>
          <w:color w:val="auto"/>
        </w:rPr>
      </w:pPr>
      <w:r>
        <w:rPr>
          <w:rFonts w:ascii="Courier New" w:cs="Courier New" w:eastAsia="Courier New" w:hAnsi="Courier New"/>
          <w:sz w:val="16"/>
          <w:szCs w:val="16"/>
          <w:color w:val="auto"/>
        </w:rPr>
        <w:t>Vice President, Controller and Chief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ectPr>
          <w:pgSz w:w="11900" w:h="16838" w:orient="portrait"/>
          <w:cols w:equalWidth="0" w:num="3">
            <w:col w:w="420" w:space="320"/>
            <w:col w:w="2560" w:space="720"/>
            <w:col w:w="6199"/>
          </w:cols>
          <w:pgMar w:left="240" w:top="110" w:right="1440" w:bottom="0" w:gutter="0" w:footer="0" w:header="0"/>
          <w:type w:val="continuous"/>
        </w:sectPr>
      </w:pPr>
    </w:p>
    <w:p>
      <w:pPr>
        <w:spacing w:after="0" w:line="37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540" w:right="1879" w:hanging="539"/>
        <w:spacing w:after="0" w:line="292" w:lineRule="auto"/>
        <w:tabs>
          <w:tab w:leader="none" w:pos="520" w:val="left"/>
        </w:tabs>
        <w:rPr>
          <w:sz w:val="20"/>
          <w:szCs w:val="20"/>
          <w:color w:val="auto"/>
        </w:rPr>
      </w:pPr>
      <w:r>
        <w:rPr>
          <w:rFonts w:ascii="Courier New" w:cs="Courier New" w:eastAsia="Courier New" w:hAnsi="Courier New"/>
          <w:sz w:val="18"/>
          <w:szCs w:val="18"/>
          <w:color w:val="auto"/>
        </w:rPr>
        <w:t>4c.</w:t>
        <w:tab/>
        <w:t>Amendment dated February 1, 1996 to Line of Credit Agreement and Term Loan Agreement among Winnebago Industries, Inc., Cycle-Sat, and Firstar Bank Cedar Rapids.</w:t>
      </w:r>
    </w:p>
    <w:p>
      <w:pPr>
        <w:spacing w:after="0" w:line="267" w:lineRule="exact"/>
        <w:rPr>
          <w:sz w:val="20"/>
          <w:szCs w:val="20"/>
          <w:color w:val="auto"/>
        </w:rPr>
      </w:pPr>
    </w:p>
    <w:tbl>
      <w:tblPr>
        <w:tblLayout w:type="fixed"/>
        <w:tblInd w:w="2440" w:type="dxa"/>
        <w:tblCellMar>
          <w:top w:w="0" w:type="dxa"/>
          <w:left w:w="0" w:type="dxa"/>
          <w:bottom w:w="0" w:type="dxa"/>
          <w:right w:w="0" w:type="dxa"/>
        </w:tblCellMar>
      </w:tblPr>
      <w:tr>
        <w:trPr>
          <w:trHeight w:val="204"/>
        </w:trPr>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FOURTH</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AMENDMENT</w:t>
            </w:r>
          </w:p>
        </w:tc>
        <w:tc>
          <w:tcPr>
            <w:tcW w:w="0" w:type="dxa"/>
            <w:vAlign w:val="bottom"/>
          </w:tcPr>
          <w:p>
            <w:pPr>
              <w:spacing w:after="0"/>
              <w:rPr>
                <w:sz w:val="1"/>
                <w:szCs w:val="1"/>
                <w:color w:val="auto"/>
              </w:rPr>
            </w:pPr>
          </w:p>
        </w:tc>
      </w:tr>
      <w:tr>
        <w:trPr>
          <w:trHeight w:val="203"/>
        </w:trPr>
        <w:tc>
          <w:tcPr>
            <w:tcW w:w="1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CREDIT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0" w:type="dxa"/>
            <w:vAlign w:val="bottom"/>
          </w:tcPr>
          <w:p>
            <w:pPr>
              <w:spacing w:after="0"/>
              <w:rPr>
                <w:sz w:val="1"/>
                <w:szCs w:val="1"/>
                <w:color w:val="auto"/>
              </w:rPr>
            </w:pPr>
          </w:p>
        </w:tc>
      </w:tr>
      <w:tr>
        <w:trPr>
          <w:trHeight w:val="203"/>
        </w:trPr>
        <w:tc>
          <w:tcPr>
            <w:tcW w:w="1620" w:type="dxa"/>
            <w:vAlign w:val="bottom"/>
            <w:vMerge w:val="continue"/>
          </w:tcPr>
          <w:p>
            <w:pPr>
              <w:spacing w:after="0"/>
              <w:rPr>
                <w:sz w:val="17"/>
                <w:szCs w:val="17"/>
                <w:color w:val="auto"/>
              </w:rPr>
            </w:pP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AGREEMENT</w:t>
            </w:r>
          </w:p>
        </w:tc>
        <w:tc>
          <w:tcPr>
            <w:tcW w:w="0" w:type="dxa"/>
            <w:vAlign w:val="bottom"/>
          </w:tcPr>
          <w:p>
            <w:pPr>
              <w:spacing w:after="0"/>
              <w:rPr>
                <w:sz w:val="1"/>
                <w:szCs w:val="1"/>
                <w:color w:val="auto"/>
              </w:rPr>
            </w:pPr>
          </w:p>
        </w:tc>
      </w:tr>
      <w:tr>
        <w:trPr>
          <w:trHeight w:val="296"/>
        </w:trPr>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w w:val="96"/>
              </w:rPr>
              <w:t>(REVOLVING LINE</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w w:val="96"/>
              </w:rPr>
              <w:t>OF CREDIT FACILITY)</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This Fourth Amendment to Credit Agreement ("Fourth Amendment") is dated as of February 1, 1996 and is by and between Cycle-Sat, Inc., a corporation duly organized and validly existing under the laws of the State of Iowa, (the "Borrower"), Winnebago Industries, Inc., (the "Guarantor") and Firstar Bank Iowa, N.A. f/k/a Firstar Bank Cedar Rapids, N.A (the "Bank");</w:t>
      </w:r>
    </w:p>
    <w:p>
      <w:pPr>
        <w:sectPr>
          <w:pgSz w:w="11900" w:h="16838" w:orient="portrait"/>
          <w:cols w:equalWidth="0" w:num="1">
            <w:col w:w="10219"/>
          </w:cols>
          <w:pgMar w:left="240" w:top="110" w:right="1440" w:bottom="0" w:gutter="0" w:footer="0" w:header="0"/>
          <w:type w:val="continuous"/>
        </w:sectPr>
      </w:pPr>
    </w:p>
    <w:bookmarkStart w:id="8" w:name="page9"/>
    <w:bookmarkEnd w:id="8"/>
    <w:p>
      <w:pPr>
        <w:ind w:right="2619"/>
        <w:spacing w:after="0" w:line="347" w:lineRule="auto"/>
        <w:rPr>
          <w:sz w:val="20"/>
          <w:szCs w:val="20"/>
          <w:color w:val="auto"/>
        </w:rPr>
      </w:pPr>
      <w:r>
        <w:rPr>
          <w:rFonts w:ascii="Courier New" w:cs="Courier New" w:eastAsia="Courier New" w:hAnsi="Courier New"/>
          <w:sz w:val="18"/>
          <w:szCs w:val="18"/>
          <w:color w:val="auto"/>
        </w:rPr>
        <w:t>WHEREAS, the Borrower and the Bank have previously entered into a Credit Agreement (the "Agreement") dated as of February 24, 1994;</w:t>
      </w:r>
    </w:p>
    <w:p>
      <w:pPr>
        <w:spacing w:after="0" w:line="18"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WHEREAS, the Agreement has been previously amended by First Amendment to Credit Agreement dated as of January 31, 1995 (the "First Amendment") and by Second Amendment to Credit Agreement dated as of November 2, 1995 (the "Second Amendment") and by Third Amendment to Credit Agreement dated as of January 2, 1996 (the "Third Amendment", and together with the First Amendment, the Second Amendment and the Credit Agreement, the "Agreement").</w:t>
      </w:r>
    </w:p>
    <w:p>
      <w:pPr>
        <w:spacing w:after="0" w:line="93"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WHEREAS, the Borrower and Bank have agreed to certain further changes to the Agreement;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 do the parties agree to amend the Agreement as follows:</w:t>
      </w:r>
    </w:p>
    <w:p>
      <w:pPr>
        <w:spacing w:after="0" w:line="201" w:lineRule="exact"/>
        <w:rPr>
          <w:sz w:val="20"/>
          <w:szCs w:val="20"/>
          <w:color w:val="auto"/>
        </w:rPr>
      </w:pPr>
    </w:p>
    <w:p>
      <w:pPr>
        <w:ind w:left="1060" w:right="1879" w:hanging="525"/>
        <w:spacing w:after="0" w:line="347"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NEGATIVE COVENANTS. The following shall be added as Section 8 and all subsequent sections shall be relettered accordingly:</w:t>
      </w:r>
    </w:p>
    <w:p>
      <w:pPr>
        <w:spacing w:after="0" w:line="18" w:lineRule="exact"/>
        <w:rPr>
          <w:rFonts w:ascii="Courier New" w:cs="Courier New" w:eastAsia="Courier New" w:hAnsi="Courier New"/>
          <w:sz w:val="18"/>
          <w:szCs w:val="18"/>
          <w:color w:val="auto"/>
        </w:rPr>
      </w:pPr>
    </w:p>
    <w:p>
      <w:pPr>
        <w:ind w:left="1580" w:right="1999" w:hanging="527"/>
        <w:spacing w:after="0" w:line="29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 NEGATIVE COVENANTS. The Borrower agrees that during the term of this Agreement and so long thereafter as any obligations remain outstanding, it will not, without the prior written consent of the Bank, make any change, for any reason whatsoever, in the majority ownership or control of the Borrower. Such change will constitute a default under the terms of this Agreement."</w:t>
      </w:r>
    </w:p>
    <w:p>
      <w:pPr>
        <w:spacing w:after="0" w:line="67" w:lineRule="exact"/>
        <w:rPr>
          <w:rFonts w:ascii="Courier New" w:cs="Courier New" w:eastAsia="Courier New" w:hAnsi="Courier New"/>
          <w:sz w:val="18"/>
          <w:szCs w:val="18"/>
          <w:color w:val="auto"/>
        </w:rPr>
      </w:pPr>
    </w:p>
    <w:p>
      <w:pPr>
        <w:ind w:left="1580" w:right="2419" w:hanging="519"/>
        <w:spacing w:after="0" w:line="292"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 The following shall be added as Section 10.a. and all subsequent sections shall be relettered accordingly:</w:t>
      </w:r>
    </w:p>
    <w:p>
      <w:pPr>
        <w:spacing w:after="0" w:line="66" w:lineRule="exact"/>
        <w:rPr>
          <w:rFonts w:ascii="Courier New" w:cs="Courier New" w:eastAsia="Courier New" w:hAnsi="Courier New"/>
          <w:sz w:val="18"/>
          <w:szCs w:val="18"/>
          <w:color w:val="auto"/>
        </w:rPr>
      </w:pPr>
    </w:p>
    <w:p>
      <w:pPr>
        <w:ind w:left="2120" w:right="1779" w:hanging="527"/>
        <w:spacing w:after="0" w:line="2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CROSS COLLATERALIZATION AND CROSS DEFAULT. The Borrower agrees that all of the Bank's security shall serve as security for all of the Borrower's obligations, that the Bank may make recourse to such security in any order or grouping it desires, and that all of the Bank's security shall remain in full force and effect, unless specifically released in writing by the Bank, so long as any of the Borrower's obligations remain unsatisfied or outstanding. Nothing in the Agreement or this Fourth Amendment shall operate in any way to reduce, abridge or limit the Bank's rights under the various security instruments, including the right to proceed directly against the Borrower without recourse to any of the Bank's security.</w:t>
      </w:r>
    </w:p>
    <w:p>
      <w:pPr>
        <w:spacing w:after="0" w:line="108" w:lineRule="exact"/>
        <w:rPr>
          <w:sz w:val="20"/>
          <w:szCs w:val="20"/>
          <w:color w:val="auto"/>
        </w:rPr>
      </w:pPr>
    </w:p>
    <w:p>
      <w:pPr>
        <w:ind w:left="2120" w:right="1779"/>
        <w:spacing w:after="0" w:line="274" w:lineRule="auto"/>
        <w:rPr>
          <w:sz w:val="20"/>
          <w:szCs w:val="20"/>
          <w:color w:val="auto"/>
        </w:rPr>
      </w:pPr>
      <w:r>
        <w:rPr>
          <w:rFonts w:ascii="Courier New" w:cs="Courier New" w:eastAsia="Courier New" w:hAnsi="Courier New"/>
          <w:sz w:val="18"/>
          <w:szCs w:val="18"/>
          <w:color w:val="auto"/>
        </w:rPr>
        <w:t>The Borrower agrees that in the event of a default under the terms of any of the Borrower's obligations, that such a default shall be deemed a default under all of the Borrower's obligations, at the option of the Bank."</w:t>
      </w:r>
    </w:p>
    <w:p>
      <w:pPr>
        <w:spacing w:after="0" w:line="82" w:lineRule="exact"/>
        <w:rPr>
          <w:sz w:val="20"/>
          <w:szCs w:val="20"/>
          <w:color w:val="auto"/>
        </w:rPr>
      </w:pPr>
    </w:p>
    <w:p>
      <w:pPr>
        <w:ind w:left="540" w:right="1879" w:hanging="532"/>
        <w:spacing w:after="0" w:line="292"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GUARANTY AFFIRMATION. Winnebago Industries, Inc. acknowledges that the agreement represented by this Fourth Amendment does not discharge, affect, or impair liability under the guaranty dated January 31, 1995.</w:t>
      </w:r>
    </w:p>
    <w:p>
      <w:pPr>
        <w:spacing w:after="0" w:line="66" w:lineRule="exact"/>
        <w:rPr>
          <w:rFonts w:ascii="Courier New" w:cs="Courier New" w:eastAsia="Courier New" w:hAnsi="Courier New"/>
          <w:sz w:val="18"/>
          <w:szCs w:val="18"/>
          <w:color w:val="auto"/>
        </w:rPr>
      </w:pPr>
    </w:p>
    <w:p>
      <w:pPr>
        <w:ind w:left="540" w:right="1879" w:hanging="532"/>
        <w:spacing w:after="0" w:line="34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ACKNOWLEDGMENT OF RECEIPT. By their execution of the Fourth Amendment, the parties acknowledge receipt of a copy of this document.</w:t>
      </w:r>
    </w:p>
    <w:p>
      <w:pPr>
        <w:spacing w:after="0" w:line="18" w:lineRule="exact"/>
        <w:rPr>
          <w:rFonts w:ascii="Courier New" w:cs="Courier New" w:eastAsia="Courier New" w:hAnsi="Courier New"/>
          <w:sz w:val="18"/>
          <w:szCs w:val="18"/>
          <w:color w:val="auto"/>
        </w:rPr>
      </w:pPr>
    </w:p>
    <w:p>
      <w:pPr>
        <w:ind w:left="540" w:right="1879" w:hanging="532"/>
        <w:spacing w:after="0" w:line="292"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SAVINGS. All other terms and conditions of the Credit Agreement, not specifically modified by this Fourth Amendment, shall remain in full force and effect.</w:t>
      </w:r>
    </w:p>
    <w:p>
      <w:pPr>
        <w:spacing w:after="0" w:line="66"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IMPORTANT: READ BEFORE SIGNING. THE TERMS OF THIS AMENDMENT SHOULD BE READ CAREFULLY BECAUSE ONLY THOSE TERMS IN WRITING ARE ENFORCEABLE. NO OTHER TERMS OR ORAL PROMISES NOT CONTAINED IN THIS WRITTEN DOCUMENT (EXCEPT THE AGREEMENT AS PREVIOUSLY AMENDED) MAY BE LEGALLY ENFORCED. YOU MAY CHANGE THE TERMS OF THIS AGREEMENT ONLY BY ANOTHER WRITTEN AGREEMENT.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Cycle-Sat, Inc.</w:t>
            </w:r>
          </w:p>
        </w:tc>
        <w:tc>
          <w:tcPr>
            <w:tcW w:w="5000" w:type="dxa"/>
            <w:vAlign w:val="bottom"/>
          </w:tcPr>
          <w:p>
            <w:pPr>
              <w:ind w:left="1740"/>
              <w:spacing w:after="0"/>
              <w:rPr>
                <w:sz w:val="20"/>
                <w:szCs w:val="20"/>
                <w:color w:val="auto"/>
              </w:rPr>
            </w:pPr>
            <w:r>
              <w:rPr>
                <w:rFonts w:ascii="Courier New" w:cs="Courier New" w:eastAsia="Courier New" w:hAnsi="Courier New"/>
                <w:sz w:val="18"/>
                <w:szCs w:val="18"/>
                <w:color w:val="auto"/>
              </w:rPr>
              <w:t>Firstar Bank Iowa, N.A.</w:t>
            </w:r>
          </w:p>
        </w:tc>
        <w:tc>
          <w:tcPr>
            <w:tcW w:w="0" w:type="dxa"/>
            <w:vAlign w:val="bottom"/>
          </w:tcPr>
          <w:p>
            <w:pPr>
              <w:spacing w:after="0"/>
              <w:rPr>
                <w:sz w:val="1"/>
                <w:szCs w:val="1"/>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By: /s/</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Loren A. Swenson</w:t>
            </w:r>
          </w:p>
        </w:tc>
        <w:tc>
          <w:tcPr>
            <w:tcW w:w="500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By: /s/ Dirk A. Thierer</w:t>
            </w:r>
          </w:p>
        </w:tc>
        <w:tc>
          <w:tcPr>
            <w:tcW w:w="0" w:type="dxa"/>
            <w:vAlign w:val="bottom"/>
          </w:tcPr>
          <w:p>
            <w:pPr>
              <w:spacing w:after="0"/>
              <w:rPr>
                <w:sz w:val="1"/>
                <w:szCs w:val="1"/>
                <w:color w:val="auto"/>
              </w:rPr>
            </w:pPr>
          </w:p>
        </w:tc>
      </w:tr>
      <w:tr>
        <w:trPr>
          <w:trHeight w:val="296"/>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w w:val="98"/>
              </w:rPr>
              <w:t>Loren A. Swenson, President</w:t>
            </w:r>
          </w:p>
        </w:tc>
        <w:tc>
          <w:tcPr>
            <w:tcW w:w="5000" w:type="dxa"/>
            <w:vAlign w:val="bottom"/>
          </w:tcPr>
          <w:p>
            <w:pPr>
              <w:ind w:left="1740"/>
              <w:spacing w:after="0"/>
              <w:rPr>
                <w:sz w:val="20"/>
                <w:szCs w:val="20"/>
                <w:color w:val="auto"/>
              </w:rPr>
            </w:pPr>
            <w:r>
              <w:rPr>
                <w:rFonts w:ascii="Courier New" w:cs="Courier New" w:eastAsia="Courier New" w:hAnsi="Courier New"/>
                <w:sz w:val="18"/>
                <w:szCs w:val="18"/>
                <w:color w:val="auto"/>
                <w:w w:val="96"/>
              </w:rPr>
              <w:t>Dirk A. Thierer, Vice President</w:t>
            </w:r>
          </w:p>
        </w:tc>
        <w:tc>
          <w:tcPr>
            <w:tcW w:w="0" w:type="dxa"/>
            <w:vAlign w:val="bottom"/>
          </w:tcPr>
          <w:p>
            <w:pPr>
              <w:spacing w:after="0"/>
              <w:rPr>
                <w:sz w:val="1"/>
                <w:szCs w:val="1"/>
                <w:color w:val="auto"/>
              </w:rPr>
            </w:pPr>
          </w:p>
        </w:tc>
      </w:tr>
      <w:tr>
        <w:trPr>
          <w:trHeight w:val="405"/>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w w:val="98"/>
              </w:rPr>
              <w:t>Winnebago Industries, Inc.,</w:t>
            </w:r>
          </w:p>
        </w:tc>
        <w:tc>
          <w:tcPr>
            <w:tcW w:w="5000" w:type="dxa"/>
            <w:vAlign w:val="bottom"/>
          </w:tcPr>
          <w:p>
            <w:pPr>
              <w:ind w:left="60"/>
              <w:spacing w:after="0"/>
              <w:rPr>
                <w:sz w:val="20"/>
                <w:szCs w:val="20"/>
                <w:color w:val="auto"/>
              </w:rPr>
            </w:pPr>
            <w:r>
              <w:rPr>
                <w:rFonts w:ascii="Courier New" w:cs="Courier New" w:eastAsia="Courier New" w:hAnsi="Courier New"/>
                <w:sz w:val="18"/>
                <w:szCs w:val="18"/>
                <w:color w:val="auto"/>
              </w:rPr>
              <w:t>guarantor</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By: /s/</w:t>
            </w:r>
          </w:p>
        </w:tc>
        <w:tc>
          <w:tcPr>
            <w:tcW w:w="2100" w:type="dxa"/>
            <w:vAlign w:val="bottom"/>
          </w:tcPr>
          <w:p>
            <w:pPr>
              <w:ind w:left="60"/>
              <w:spacing w:after="0"/>
              <w:rPr>
                <w:sz w:val="20"/>
                <w:szCs w:val="20"/>
                <w:color w:val="auto"/>
              </w:rPr>
            </w:pPr>
            <w:r>
              <w:rPr>
                <w:rFonts w:ascii="Courier New" w:cs="Courier New" w:eastAsia="Courier New" w:hAnsi="Courier New"/>
                <w:sz w:val="18"/>
                <w:szCs w:val="18"/>
                <w:color w:val="auto"/>
              </w:rPr>
              <w:t>Fred G. Dohrmann</w:t>
            </w:r>
          </w:p>
        </w:tc>
        <w:tc>
          <w:tcPr>
            <w:tcW w:w="50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&amp; CEO</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Fred G.</w:t>
            </w:r>
          </w:p>
        </w:tc>
        <w:tc>
          <w:tcPr>
            <w:tcW w:w="2100" w:type="dxa"/>
            <w:vAlign w:val="bottom"/>
          </w:tcPr>
          <w:p>
            <w:pPr>
              <w:ind w:left="60"/>
              <w:spacing w:after="0"/>
              <w:rPr>
                <w:sz w:val="20"/>
                <w:szCs w:val="20"/>
                <w:color w:val="auto"/>
              </w:rPr>
            </w:pPr>
            <w:r>
              <w:rPr>
                <w:rFonts w:ascii="Courier New" w:cs="Courier New" w:eastAsia="Courier New" w:hAnsi="Courier New"/>
                <w:sz w:val="18"/>
                <w:szCs w:val="18"/>
                <w:color w:val="auto"/>
                <w:w w:val="98"/>
              </w:rPr>
              <w:t>Dohrmann, President</w:t>
            </w:r>
          </w:p>
        </w:tc>
        <w:tc>
          <w:tcPr>
            <w:tcW w:w="5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FIRSTAR BANK IOWA, 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Firstar Bank Iowa, N.A.</w:t>
      </w:r>
    </w:p>
    <w:p>
      <w:pPr>
        <w:sectPr>
          <w:pgSz w:w="11900" w:h="16838" w:orient="portrait"/>
          <w:cols w:equalWidth="0" w:num="1">
            <w:col w:w="10219"/>
          </w:cols>
          <w:pgMar w:left="240" w:top="312"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222 Second Avenue, S.E.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Cedar Rapids, IA 52401</w:t>
      </w:r>
    </w:p>
    <w:p>
      <w:pPr>
        <w:spacing w:after="0" w:line="37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Account Name: Cycle-Sat, Inc.</w:t>
      </w:r>
    </w:p>
    <w:p>
      <w:pPr>
        <w:spacing w:after="0" w:line="29" w:lineRule="exact"/>
        <w:rPr>
          <w:sz w:val="20"/>
          <w:szCs w:val="20"/>
          <w:color w:val="auto"/>
        </w:rPr>
      </w:pPr>
    </w:p>
    <w:p>
      <w:pPr>
        <w:ind w:left="860"/>
        <w:spacing w:after="0"/>
        <w:tabs>
          <w:tab w:leader="none" w:pos="2300" w:val="left"/>
        </w:tabs>
        <w:rPr>
          <w:sz w:val="20"/>
          <w:szCs w:val="20"/>
          <w:color w:val="auto"/>
        </w:rPr>
      </w:pPr>
      <w:r>
        <w:rPr>
          <w:rFonts w:ascii="Courier New" w:cs="Courier New" w:eastAsia="Courier New" w:hAnsi="Courier New"/>
          <w:sz w:val="18"/>
          <w:szCs w:val="18"/>
          <w:color w:val="auto"/>
        </w:rPr>
        <w:t>Loan Dated:</w:t>
      </w:r>
      <w:r>
        <w:rPr>
          <w:sz w:val="20"/>
          <w:szCs w:val="20"/>
          <w:color w:val="auto"/>
        </w:rPr>
        <w:tab/>
      </w:r>
      <w:r>
        <w:rPr>
          <w:rFonts w:ascii="Courier New" w:cs="Courier New" w:eastAsia="Courier New" w:hAnsi="Courier New"/>
          <w:sz w:val="16"/>
          <w:szCs w:val="16"/>
          <w:color w:val="auto"/>
        </w:rPr>
        <w:t>FEBRUARY 1, 1996</w:t>
      </w:r>
    </w:p>
    <w:p>
      <w:pPr>
        <w:ind w:left="860"/>
        <w:spacing w:after="0"/>
        <w:tabs>
          <w:tab w:leader="none" w:pos="2300" w:val="left"/>
        </w:tabs>
        <w:rPr>
          <w:sz w:val="20"/>
          <w:szCs w:val="20"/>
          <w:color w:val="auto"/>
        </w:rPr>
      </w:pPr>
      <w:r>
        <w:rPr>
          <w:rFonts w:ascii="Courier New" w:cs="Courier New" w:eastAsia="Courier New" w:hAnsi="Courier New"/>
          <w:sz w:val="18"/>
          <w:szCs w:val="18"/>
          <w:color w:val="auto"/>
        </w:rPr>
        <w:t>Loan Number:</w:t>
      </w:r>
      <w:r>
        <w:rPr>
          <w:sz w:val="20"/>
          <w:szCs w:val="20"/>
          <w:color w:val="auto"/>
        </w:rPr>
        <w:tab/>
      </w:r>
      <w:r>
        <w:rPr>
          <w:rFonts w:ascii="Courier New" w:cs="Courier New" w:eastAsia="Courier New" w:hAnsi="Courier New"/>
          <w:sz w:val="16"/>
          <w:szCs w:val="16"/>
          <w:color w:val="auto"/>
        </w:rPr>
        <w:t>1247441--9001</w:t>
      </w:r>
    </w:p>
    <w:p>
      <w:pPr>
        <w:ind w:left="860"/>
        <w:spacing w:after="0"/>
        <w:tabs>
          <w:tab w:leader="none" w:pos="3040" w:val="left"/>
        </w:tabs>
        <w:rPr>
          <w:sz w:val="20"/>
          <w:szCs w:val="20"/>
          <w:color w:val="auto"/>
        </w:rPr>
      </w:pPr>
      <w:r>
        <w:rPr>
          <w:rFonts w:ascii="Courier New" w:cs="Courier New" w:eastAsia="Courier New" w:hAnsi="Courier New"/>
          <w:sz w:val="18"/>
          <w:szCs w:val="18"/>
          <w:color w:val="auto"/>
        </w:rPr>
        <w:t>Principal Amount:</w:t>
      </w:r>
      <w:r>
        <w:rPr>
          <w:sz w:val="20"/>
          <w:szCs w:val="20"/>
          <w:color w:val="auto"/>
        </w:rPr>
        <w:tab/>
      </w:r>
      <w:r>
        <w:rPr>
          <w:rFonts w:ascii="Courier New" w:cs="Courier New" w:eastAsia="Courier New" w:hAnsi="Courier New"/>
          <w:sz w:val="16"/>
          <w:szCs w:val="16"/>
          <w:color w:val="auto"/>
        </w:rPr>
        <w:t>$4,500,000.00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Whom It May Concern:</w:t>
      </w:r>
    </w:p>
    <w:p>
      <w:pPr>
        <w:spacing w:after="0" w:line="201" w:lineRule="exact"/>
        <w:rPr>
          <w:sz w:val="20"/>
          <w:szCs w:val="20"/>
          <w:color w:val="auto"/>
        </w:rPr>
      </w:pPr>
    </w:p>
    <w:p>
      <w:pPr>
        <w:ind w:right="1879"/>
        <w:spacing w:after="0" w:line="402" w:lineRule="auto"/>
        <w:rPr>
          <w:sz w:val="20"/>
          <w:szCs w:val="20"/>
          <w:color w:val="auto"/>
        </w:rPr>
      </w:pPr>
      <w:r>
        <w:rPr>
          <w:rFonts w:ascii="Courier New" w:cs="Courier New" w:eastAsia="Courier New" w:hAnsi="Courier New"/>
          <w:sz w:val="16"/>
          <w:szCs w:val="16"/>
          <w:color w:val="auto"/>
        </w:rPr>
        <w:t>The following named individuals are authorized to make oral or written requests for advances under the above-referenced note, and all future renewals:</w:t>
      </w:r>
    </w:p>
    <w:p>
      <w:pPr>
        <w:sectPr>
          <w:pgSz w:w="11900" w:h="16838" w:orient="portrait"/>
          <w:cols w:equalWidth="0" w:num="1">
            <w:col w:w="10219"/>
          </w:cols>
          <w:pgMar w:left="240" w:top="110" w:right="1440" w:bottom="1440" w:gutter="0" w:footer="0" w:header="0"/>
        </w:sectPr>
      </w:pP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Name</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6"/>
          <w:szCs w:val="16"/>
          <w:color w:val="auto"/>
        </w:rPr>
        <w:t>Loren A. Swenson</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Maryln Shores</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8"/>
          <w:szCs w:val="18"/>
          <w:color w:val="auto"/>
        </w:rPr>
        <w:t>Title</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6"/>
          <w:szCs w:val="16"/>
          <w:color w:val="auto"/>
        </w:rPr>
        <w:t>Mgr. Accounting and Control</w:t>
      </w:r>
    </w:p>
    <w:p>
      <w:pPr>
        <w:spacing w:after="0" w:line="191" w:lineRule="exact"/>
        <w:rPr>
          <w:sz w:val="20"/>
          <w:szCs w:val="20"/>
          <w:color w:val="auto"/>
        </w:rPr>
      </w:pPr>
    </w:p>
    <w:p>
      <w:pPr>
        <w:sectPr>
          <w:pgSz w:w="11900" w:h="16838" w:orient="portrait"/>
          <w:cols w:equalWidth="0" w:num="2">
            <w:col w:w="3920" w:space="720"/>
            <w:col w:w="5579"/>
          </w:cols>
          <w:pgMar w:left="240" w:top="110" w:right="1440" w:bottom="1440" w:gutter="0" w:footer="0" w:header="0"/>
          <w:type w:val="continuous"/>
        </w:sectPr>
      </w:pPr>
    </w:p>
    <w:p>
      <w:pPr>
        <w:jc w:val="both"/>
        <w:ind w:right="2099"/>
        <w:spacing w:after="0" w:line="292" w:lineRule="auto"/>
        <w:rPr>
          <w:sz w:val="20"/>
          <w:szCs w:val="20"/>
          <w:color w:val="auto"/>
        </w:rPr>
      </w:pPr>
      <w:r>
        <w:rPr>
          <w:rFonts w:ascii="Courier New" w:cs="Courier New" w:eastAsia="Courier New" w:hAnsi="Courier New"/>
          <w:sz w:val="18"/>
          <w:szCs w:val="18"/>
          <w:color w:val="auto"/>
        </w:rPr>
        <w:t>Firstar Bank Iowa, N.A. is entitled to rely upon the oral or written requests for advances of any one of the named individuals until the authority granted herein is revoked in writing.</w:t>
      </w:r>
    </w:p>
    <w:p>
      <w:pPr>
        <w:spacing w:after="0" w:line="66" w:lineRule="exact"/>
        <w:rPr>
          <w:sz w:val="20"/>
          <w:szCs w:val="20"/>
          <w:color w:val="auto"/>
        </w:rPr>
      </w:pPr>
    </w:p>
    <w:p>
      <w:pPr>
        <w:ind w:right="2319"/>
        <w:spacing w:after="0" w:line="292" w:lineRule="auto"/>
        <w:rPr>
          <w:sz w:val="20"/>
          <w:szCs w:val="20"/>
          <w:color w:val="auto"/>
        </w:rPr>
      </w:pPr>
      <w:r>
        <w:rPr>
          <w:rFonts w:ascii="Courier New" w:cs="Courier New" w:eastAsia="Courier New" w:hAnsi="Courier New"/>
          <w:sz w:val="18"/>
          <w:szCs w:val="18"/>
          <w:color w:val="auto"/>
        </w:rPr>
        <w:t>Each of the undersigned acknowledges that a request made by any one of the above-named individuals shall be binding upon and consented to by remaining signators.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Each of the undersigned acknowledge receipt of a copy of this document.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 1996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37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Cycle-Sat, Inc.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Loren A. Swenson</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Loren A. Swenson, President</w:t>
      </w:r>
    </w:p>
    <w:p>
      <w:pPr>
        <w:spacing w:after="0" w:line="169"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LATE PAYMENT ADDENDUM</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This Addendum is made part of the promissory note (the "Note") by the undersigned borrower (the "Borrower") in favor of Firstar Bank Iowa, N.A. (the "Bank") as of the date identified below.</w:t>
      </w:r>
    </w:p>
    <w:p>
      <w:pPr>
        <w:spacing w:after="0" w:line="66" w:lineRule="exact"/>
        <w:rPr>
          <w:sz w:val="20"/>
          <w:szCs w:val="20"/>
          <w:color w:val="auto"/>
        </w:rPr>
      </w:pPr>
    </w:p>
    <w:p>
      <w:pPr>
        <w:ind w:right="2099"/>
        <w:spacing w:after="0" w:line="402" w:lineRule="auto"/>
        <w:rPr>
          <w:sz w:val="20"/>
          <w:szCs w:val="20"/>
          <w:color w:val="auto"/>
        </w:rPr>
      </w:pPr>
      <w:r>
        <w:rPr>
          <w:rFonts w:ascii="Courier New" w:cs="Courier New" w:eastAsia="Courier New" w:hAnsi="Courier New"/>
          <w:sz w:val="16"/>
          <w:szCs w:val="16"/>
          <w:color w:val="auto"/>
        </w:rPr>
        <w:t>"If any payment is not made on or before 15 days after its due date, the Bank may collect a delinquency charge of 5% of the amount of the late payment."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640" w:type="dxa"/>
            <w:vAlign w:val="bottom"/>
          </w:tcPr>
          <w:p>
            <w:pPr>
              <w:spacing w:after="0"/>
              <w:rPr>
                <w:sz w:val="20"/>
                <w:szCs w:val="20"/>
                <w:color w:val="auto"/>
              </w:rPr>
            </w:pPr>
            <w:r>
              <w:rPr>
                <w:rFonts w:ascii="Courier New" w:cs="Courier New" w:eastAsia="Courier New" w:hAnsi="Courier New"/>
                <w:sz w:val="18"/>
                <w:szCs w:val="18"/>
                <w:color w:val="auto"/>
              </w:rPr>
              <w:t>Dated as of: February 1, 1996</w:t>
            </w:r>
          </w:p>
        </w:tc>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40" w:type="dxa"/>
            <w:vAlign w:val="bottom"/>
          </w:tcPr>
          <w:p>
            <w:pPr>
              <w:spacing w:after="0"/>
              <w:rPr>
                <w:sz w:val="20"/>
                <w:szCs w:val="20"/>
                <w:color w:val="auto"/>
              </w:rPr>
            </w:pPr>
            <w:r>
              <w:rPr>
                <w:rFonts w:ascii="Courier New" w:cs="Courier New" w:eastAsia="Courier New" w:hAnsi="Courier New"/>
                <w:sz w:val="18"/>
                <w:szCs w:val="18"/>
                <w:color w:val="auto"/>
              </w:rPr>
              <w:t>(Individual Borrower)</w:t>
            </w:r>
          </w:p>
        </w:tc>
        <w:tc>
          <w:tcPr>
            <w:tcW w:w="47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Cycle-Sat, Inc.</w:t>
            </w:r>
          </w:p>
        </w:tc>
        <w:tc>
          <w:tcPr>
            <w:tcW w:w="0" w:type="dxa"/>
            <w:vAlign w:val="bottom"/>
          </w:tcPr>
          <w:p>
            <w:pPr>
              <w:spacing w:after="0"/>
              <w:rPr>
                <w:sz w:val="1"/>
                <w:szCs w:val="1"/>
                <w:color w:val="auto"/>
              </w:rPr>
            </w:pPr>
          </w:p>
        </w:tc>
      </w:tr>
      <w:tr>
        <w:trPr>
          <w:trHeight w:val="296"/>
        </w:trPr>
        <w:tc>
          <w:tcPr>
            <w:tcW w:w="364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8"/>
                <w:szCs w:val="18"/>
                <w:color w:val="auto"/>
              </w:rPr>
              <w:t>Borrower</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Name (Organization)</w:t>
            </w:r>
          </w:p>
        </w:tc>
        <w:tc>
          <w:tcPr>
            <w:tcW w:w="0" w:type="dxa"/>
            <w:vAlign w:val="bottom"/>
          </w:tcPr>
          <w:p>
            <w:pPr>
              <w:spacing w:after="0"/>
              <w:rPr>
                <w:sz w:val="1"/>
                <w:szCs w:val="1"/>
                <w:color w:val="auto"/>
              </w:rPr>
            </w:pPr>
          </w:p>
        </w:tc>
      </w:tr>
      <w:tr>
        <w:trPr>
          <w:trHeight w:val="311"/>
        </w:trPr>
        <w:tc>
          <w:tcPr>
            <w:tcW w:w="3640" w:type="dxa"/>
            <w:vAlign w:val="bottom"/>
          </w:tcPr>
          <w:p>
            <w:pPr>
              <w:spacing w:after="0"/>
              <w:rPr>
                <w:sz w:val="20"/>
                <w:szCs w:val="20"/>
                <w:color w:val="auto"/>
              </w:rPr>
            </w:pPr>
            <w:r>
              <w:rPr>
                <w:rFonts w:ascii="Courier New" w:cs="Courier New" w:eastAsia="Courier New" w:hAnsi="Courier New"/>
                <w:sz w:val="18"/>
                <w:szCs w:val="18"/>
                <w:color w:val="auto"/>
              </w:rPr>
              <w:t>__________________________(SEAL)</w:t>
            </w:r>
          </w:p>
        </w:tc>
        <w:tc>
          <w:tcPr>
            <w:tcW w:w="47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 Iowa Corporation</w:t>
            </w:r>
          </w:p>
        </w:tc>
        <w:tc>
          <w:tcPr>
            <w:tcW w:w="0" w:type="dxa"/>
            <w:vAlign w:val="bottom"/>
          </w:tcPr>
          <w:p>
            <w:pPr>
              <w:spacing w:after="0"/>
              <w:rPr>
                <w:sz w:val="1"/>
                <w:szCs w:val="1"/>
                <w:color w:val="auto"/>
              </w:rPr>
            </w:pPr>
          </w:p>
        </w:tc>
      </w:tr>
      <w:tr>
        <w:trPr>
          <w:trHeight w:val="203"/>
        </w:trPr>
        <w:tc>
          <w:tcPr>
            <w:tcW w:w="3640" w:type="dxa"/>
            <w:vAlign w:val="bottom"/>
            <w:vMerge w:val="restart"/>
          </w:tcPr>
          <w:p>
            <w:pPr>
              <w:spacing w:after="0"/>
              <w:rPr>
                <w:sz w:val="20"/>
                <w:szCs w:val="20"/>
                <w:color w:val="auto"/>
              </w:rPr>
            </w:pPr>
            <w:r>
              <w:rPr>
                <w:rFonts w:ascii="Courier New" w:cs="Courier New" w:eastAsia="Courier New" w:hAnsi="Courier New"/>
                <w:sz w:val="18"/>
                <w:szCs w:val="18"/>
                <w:color w:val="auto"/>
              </w:rPr>
              <w:t>Borrower Name___________________</w:t>
            </w:r>
          </w:p>
        </w:tc>
        <w:tc>
          <w:tcPr>
            <w:tcW w:w="4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By: /s/ Loren A. Swenson</w:t>
            </w:r>
          </w:p>
        </w:tc>
        <w:tc>
          <w:tcPr>
            <w:tcW w:w="0" w:type="dxa"/>
            <w:vAlign w:val="bottom"/>
          </w:tcPr>
          <w:p>
            <w:pPr>
              <w:spacing w:after="0"/>
              <w:rPr>
                <w:sz w:val="1"/>
                <w:szCs w:val="1"/>
                <w:color w:val="auto"/>
              </w:rPr>
            </w:pPr>
          </w:p>
        </w:tc>
      </w:tr>
      <w:tr>
        <w:trPr>
          <w:trHeight w:val="296"/>
        </w:trPr>
        <w:tc>
          <w:tcPr>
            <w:tcW w:w="3640" w:type="dxa"/>
            <w:vAlign w:val="bottom"/>
            <w:vMerge w:val="continue"/>
          </w:tcPr>
          <w:p>
            <w:pPr>
              <w:spacing w:after="0"/>
              <w:rPr>
                <w:sz w:val="24"/>
                <w:szCs w:val="2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8"/>
                <w:szCs w:val="18"/>
                <w:color w:val="auto"/>
              </w:rPr>
              <w:t>Name and</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w w:val="97"/>
              </w:rPr>
              <w:t>Title Loren A. Swenson, President</w:t>
            </w:r>
          </w:p>
        </w:tc>
        <w:tc>
          <w:tcPr>
            <w:tcW w:w="0" w:type="dxa"/>
            <w:vAlign w:val="bottom"/>
          </w:tcPr>
          <w:p>
            <w:pPr>
              <w:spacing w:after="0"/>
              <w:rPr>
                <w:sz w:val="1"/>
                <w:szCs w:val="1"/>
                <w:color w:val="auto"/>
              </w:rPr>
            </w:pP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__________________________(SEAL)</w:t>
            </w:r>
          </w:p>
        </w:tc>
        <w:tc>
          <w:tcPr>
            <w:tcW w:w="47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By_________________________________</w:t>
            </w:r>
          </w:p>
        </w:tc>
        <w:tc>
          <w:tcPr>
            <w:tcW w:w="0" w:type="dxa"/>
            <w:vAlign w:val="bottom"/>
          </w:tcPr>
          <w:p>
            <w:pPr>
              <w:spacing w:after="0"/>
              <w:rPr>
                <w:sz w:val="1"/>
                <w:szCs w:val="1"/>
                <w:color w:val="auto"/>
              </w:rPr>
            </w:pP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Borrower Name___________________</w:t>
            </w:r>
          </w:p>
        </w:tc>
        <w:tc>
          <w:tcPr>
            <w:tcW w:w="1160" w:type="dxa"/>
            <w:vAlign w:val="bottom"/>
          </w:tcPr>
          <w:p>
            <w:pPr>
              <w:ind w:left="260"/>
              <w:spacing w:after="0"/>
              <w:rPr>
                <w:sz w:val="20"/>
                <w:szCs w:val="20"/>
                <w:color w:val="auto"/>
              </w:rPr>
            </w:pPr>
            <w:r>
              <w:rPr>
                <w:rFonts w:ascii="Courier New" w:cs="Courier New" w:eastAsia="Courier New" w:hAnsi="Courier New"/>
                <w:sz w:val="18"/>
                <w:szCs w:val="18"/>
                <w:color w:val="auto"/>
              </w:rPr>
              <w:t>Name and</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Title _______________________</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6-MOS</w:t>
      </w:r>
    </w:p>
    <w:p>
      <w:pPr>
        <w:spacing w:after="0" w:line="29"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AUG-31-1996</w:t>
      </w:r>
    </w:p>
    <w:p>
      <w:pPr>
        <w:ind w:left="3160"/>
        <w:spacing w:after="0" w:line="238" w:lineRule="auto"/>
        <w:rPr>
          <w:sz w:val="20"/>
          <w:szCs w:val="20"/>
          <w:color w:val="auto"/>
        </w:rPr>
      </w:pPr>
      <w:r>
        <w:rPr>
          <w:rFonts w:ascii="Courier New" w:cs="Courier New" w:eastAsia="Courier New" w:hAnsi="Courier New"/>
          <w:sz w:val="18"/>
          <w:szCs w:val="18"/>
          <w:color w:val="auto"/>
        </w:rPr>
        <w:t>MAR-02-1996</w:t>
      </w:r>
    </w:p>
    <w:p>
      <w:pPr>
        <w:ind w:left="4320"/>
        <w:spacing w:after="0"/>
        <w:rPr>
          <w:sz w:val="20"/>
          <w:szCs w:val="20"/>
          <w:color w:val="auto"/>
        </w:rPr>
      </w:pPr>
      <w:r>
        <w:rPr>
          <w:rFonts w:ascii="Courier New" w:cs="Courier New" w:eastAsia="Courier New" w:hAnsi="Courier New"/>
          <w:sz w:val="18"/>
          <w:szCs w:val="18"/>
          <w:color w:val="auto"/>
        </w:rPr>
        <w:t>14,541</w:t>
      </w:r>
    </w:p>
    <w:p>
      <w:pPr>
        <w:ind w:left="3780"/>
        <w:spacing w:after="0" w:line="238" w:lineRule="auto"/>
        <w:rPr>
          <w:sz w:val="20"/>
          <w:szCs w:val="20"/>
          <w:color w:val="auto"/>
        </w:rPr>
      </w:pPr>
      <w:r>
        <w:rPr>
          <w:rFonts w:ascii="Courier New" w:cs="Courier New" w:eastAsia="Courier New" w:hAnsi="Courier New"/>
          <w:sz w:val="18"/>
          <w:szCs w:val="18"/>
          <w:color w:val="auto"/>
        </w:rPr>
        <w:t>3,713</w:t>
      </w:r>
    </w:p>
    <w:p>
      <w:pPr>
        <w:ind w:left="3580"/>
        <w:spacing w:after="0"/>
        <w:rPr>
          <w:sz w:val="20"/>
          <w:szCs w:val="20"/>
          <w:color w:val="auto"/>
        </w:rPr>
      </w:pPr>
      <w:r>
        <w:rPr>
          <w:rFonts w:ascii="Courier New" w:cs="Courier New" w:eastAsia="Courier New" w:hAnsi="Courier New"/>
          <w:sz w:val="18"/>
          <w:szCs w:val="18"/>
          <w:color w:val="auto"/>
        </w:rPr>
        <w:t>47,318</w:t>
      </w:r>
    </w:p>
    <w:p>
      <w:pPr>
        <w:ind w:left="3780"/>
        <w:spacing w:after="0" w:line="238" w:lineRule="auto"/>
        <w:rPr>
          <w:sz w:val="20"/>
          <w:szCs w:val="20"/>
          <w:color w:val="auto"/>
        </w:rPr>
      </w:pPr>
      <w:r>
        <w:rPr>
          <w:rFonts w:ascii="Courier New" w:cs="Courier New" w:eastAsia="Courier New" w:hAnsi="Courier New"/>
          <w:sz w:val="18"/>
          <w:szCs w:val="18"/>
          <w:color w:val="auto"/>
        </w:rPr>
        <w:t>1,106</w:t>
      </w:r>
    </w:p>
    <w:p>
      <w:pPr>
        <w:ind w:left="3780"/>
        <w:spacing w:after="0"/>
        <w:rPr>
          <w:sz w:val="20"/>
          <w:szCs w:val="20"/>
          <w:color w:val="auto"/>
        </w:rPr>
      </w:pPr>
      <w:r>
        <w:rPr>
          <w:rFonts w:ascii="Courier New" w:cs="Courier New" w:eastAsia="Courier New" w:hAnsi="Courier New"/>
          <w:sz w:val="18"/>
          <w:szCs w:val="18"/>
          <w:color w:val="auto"/>
        </w:rPr>
        <w:t>57,968</w:t>
      </w:r>
    </w:p>
    <w:p>
      <w:pPr>
        <w:ind w:left="3160"/>
        <w:spacing w:after="0" w:line="238" w:lineRule="auto"/>
        <w:rPr>
          <w:sz w:val="20"/>
          <w:szCs w:val="20"/>
          <w:color w:val="auto"/>
        </w:rPr>
      </w:pPr>
      <w:r>
        <w:rPr>
          <w:rFonts w:ascii="Courier New" w:cs="Courier New" w:eastAsia="Courier New" w:hAnsi="Courier New"/>
          <w:sz w:val="18"/>
          <w:szCs w:val="18"/>
          <w:color w:val="auto"/>
        </w:rPr>
        <w:t>132,842</w:t>
      </w:r>
    </w:p>
    <w:p>
      <w:pPr>
        <w:ind w:left="4200"/>
        <w:spacing w:after="0"/>
        <w:rPr>
          <w:sz w:val="20"/>
          <w:szCs w:val="20"/>
          <w:color w:val="auto"/>
        </w:rPr>
      </w:pPr>
      <w:r>
        <w:rPr>
          <w:rFonts w:ascii="Courier New" w:cs="Courier New" w:eastAsia="Courier New" w:hAnsi="Courier New"/>
          <w:sz w:val="18"/>
          <w:szCs w:val="18"/>
          <w:color w:val="auto"/>
        </w:rPr>
        <w:t>132,027</w:t>
      </w:r>
    </w:p>
    <w:p>
      <w:pPr>
        <w:ind w:left="3460"/>
        <w:spacing w:after="0" w:line="238" w:lineRule="auto"/>
        <w:rPr>
          <w:sz w:val="20"/>
          <w:szCs w:val="20"/>
          <w:color w:val="auto"/>
        </w:rPr>
      </w:pPr>
      <w:r>
        <w:rPr>
          <w:rFonts w:ascii="Courier New" w:cs="Courier New" w:eastAsia="Courier New" w:hAnsi="Courier New"/>
          <w:sz w:val="18"/>
          <w:szCs w:val="18"/>
          <w:color w:val="auto"/>
        </w:rPr>
        <w:t>88,372</w:t>
      </w:r>
    </w:p>
    <w:p>
      <w:pPr>
        <w:ind w:left="3360"/>
        <w:spacing w:after="0"/>
        <w:rPr>
          <w:sz w:val="20"/>
          <w:szCs w:val="20"/>
          <w:color w:val="auto"/>
        </w:rPr>
      </w:pPr>
      <w:r>
        <w:rPr>
          <w:rFonts w:ascii="Courier New" w:cs="Courier New" w:eastAsia="Courier New" w:hAnsi="Courier New"/>
          <w:sz w:val="18"/>
          <w:szCs w:val="18"/>
          <w:color w:val="auto"/>
        </w:rPr>
        <w:t>224,664</w:t>
      </w:r>
    </w:p>
    <w:p>
      <w:pPr>
        <w:ind w:left="2740"/>
        <w:spacing w:after="0" w:line="238" w:lineRule="auto"/>
        <w:rPr>
          <w:sz w:val="20"/>
          <w:szCs w:val="20"/>
          <w:color w:val="auto"/>
        </w:rPr>
      </w:pPr>
      <w:r>
        <w:rPr>
          <w:rFonts w:ascii="Courier New" w:cs="Courier New" w:eastAsia="Courier New" w:hAnsi="Courier New"/>
          <w:sz w:val="18"/>
          <w:szCs w:val="18"/>
          <w:color w:val="auto"/>
        </w:rPr>
        <w:t>60,189</w:t>
      </w:r>
    </w:p>
    <w:p>
      <w:pPr>
        <w:jc w:val="center"/>
        <w:ind w:right="539"/>
        <w:spacing w:after="0"/>
        <w:rPr>
          <w:sz w:val="20"/>
          <w:szCs w:val="20"/>
          <w:color w:val="auto"/>
        </w:rPr>
      </w:pPr>
      <w:r>
        <w:rPr>
          <w:rFonts w:ascii="Courier New" w:cs="Courier New" w:eastAsia="Courier New" w:hAnsi="Courier New"/>
          <w:sz w:val="18"/>
          <w:szCs w:val="18"/>
          <w:color w:val="auto"/>
        </w:rPr>
        <w:t>0</w:t>
      </w:r>
    </w:p>
    <w:p>
      <w:pPr>
        <w:ind w:left="3260"/>
        <w:spacing w:after="0" w:line="238"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100"/>
        <w:spacing w:after="0" w:line="238" w:lineRule="auto"/>
        <w:rPr>
          <w:sz w:val="20"/>
          <w:szCs w:val="20"/>
          <w:color w:val="auto"/>
        </w:rPr>
      </w:pPr>
      <w:r>
        <w:rPr>
          <w:rFonts w:ascii="Courier New" w:cs="Courier New" w:eastAsia="Courier New" w:hAnsi="Courier New"/>
          <w:sz w:val="18"/>
          <w:szCs w:val="18"/>
          <w:color w:val="auto"/>
        </w:rPr>
        <w:t>12,920</w:t>
      </w:r>
    </w:p>
    <w:p>
      <w:pPr>
        <w:ind w:left="3900"/>
        <w:spacing w:after="0"/>
        <w:rPr>
          <w:sz w:val="20"/>
          <w:szCs w:val="20"/>
          <w:color w:val="auto"/>
        </w:rPr>
      </w:pPr>
      <w:r>
        <w:rPr>
          <w:rFonts w:ascii="Courier New" w:cs="Courier New" w:eastAsia="Courier New" w:hAnsi="Courier New"/>
          <w:sz w:val="18"/>
          <w:szCs w:val="18"/>
          <w:color w:val="auto"/>
        </w:rPr>
        <w:t>90,298</w:t>
      </w:r>
    </w:p>
    <w:p>
      <w:pPr>
        <w:ind w:left="1880"/>
        <w:spacing w:after="0" w:line="238" w:lineRule="auto"/>
        <w:rPr>
          <w:sz w:val="20"/>
          <w:szCs w:val="20"/>
          <w:color w:val="auto"/>
        </w:rPr>
      </w:pPr>
      <w:r>
        <w:rPr>
          <w:rFonts w:ascii="Courier New" w:cs="Courier New" w:eastAsia="Courier New" w:hAnsi="Courier New"/>
          <w:sz w:val="18"/>
          <w:szCs w:val="18"/>
          <w:color w:val="auto"/>
        </w:rPr>
        <w:t>224,664</w:t>
      </w:r>
    </w:p>
    <w:p>
      <w:pPr>
        <w:ind w:left="4100"/>
        <w:spacing w:after="0"/>
        <w:rPr>
          <w:sz w:val="20"/>
          <w:szCs w:val="20"/>
          <w:color w:val="auto"/>
        </w:rPr>
      </w:pPr>
      <w:r>
        <w:rPr>
          <w:rFonts w:ascii="Courier New" w:cs="Courier New" w:eastAsia="Courier New" w:hAnsi="Courier New"/>
          <w:sz w:val="18"/>
          <w:szCs w:val="18"/>
          <w:color w:val="auto"/>
        </w:rPr>
        <w:t>113,602</w:t>
      </w:r>
    </w:p>
    <w:p>
      <w:pPr>
        <w:ind w:left="3160"/>
        <w:spacing w:after="0" w:line="238" w:lineRule="auto"/>
        <w:rPr>
          <w:sz w:val="20"/>
          <w:szCs w:val="20"/>
          <w:color w:val="auto"/>
        </w:rPr>
      </w:pPr>
      <w:r>
        <w:rPr>
          <w:rFonts w:ascii="Courier New" w:cs="Courier New" w:eastAsia="Courier New" w:hAnsi="Courier New"/>
          <w:sz w:val="18"/>
          <w:szCs w:val="18"/>
          <w:color w:val="auto"/>
        </w:rPr>
        <w:t>113,602</w:t>
      </w:r>
    </w:p>
    <w:p>
      <w:pPr>
        <w:jc w:val="right"/>
        <w:ind w:right="5059"/>
        <w:spacing w:after="0"/>
        <w:rPr>
          <w:sz w:val="20"/>
          <w:szCs w:val="20"/>
          <w:color w:val="auto"/>
        </w:rPr>
      </w:pPr>
      <w:r>
        <w:rPr>
          <w:rFonts w:ascii="Courier New" w:cs="Courier New" w:eastAsia="Courier New" w:hAnsi="Courier New"/>
          <w:sz w:val="18"/>
          <w:szCs w:val="18"/>
          <w:color w:val="auto"/>
        </w:rPr>
        <w:t>97,255</w:t>
      </w:r>
    </w:p>
    <w:p>
      <w:pPr>
        <w:ind w:left="3580"/>
        <w:spacing w:after="0" w:line="238" w:lineRule="auto"/>
        <w:rPr>
          <w:sz w:val="20"/>
          <w:szCs w:val="20"/>
          <w:color w:val="auto"/>
        </w:rPr>
      </w:pPr>
      <w:r>
        <w:rPr>
          <w:rFonts w:ascii="Courier New" w:cs="Courier New" w:eastAsia="Courier New" w:hAnsi="Courier New"/>
          <w:sz w:val="18"/>
          <w:szCs w:val="18"/>
          <w:color w:val="auto"/>
        </w:rPr>
        <w:t>97,255</w:t>
      </w:r>
    </w:p>
    <w:p>
      <w:pPr>
        <w:ind w:left="3260"/>
        <w:spacing w:after="0"/>
        <w:rPr>
          <w:sz w:val="20"/>
          <w:szCs w:val="20"/>
          <w:color w:val="auto"/>
        </w:rPr>
      </w:pPr>
      <w:r>
        <w:rPr>
          <w:rFonts w:ascii="Courier New" w:cs="Courier New" w:eastAsia="Courier New" w:hAnsi="Courier New"/>
          <w:sz w:val="18"/>
          <w:szCs w:val="18"/>
          <w:color w:val="auto"/>
        </w:rPr>
        <w:t>13,100</w:t>
      </w:r>
    </w:p>
    <w:p>
      <w:pPr>
        <w:ind w:left="3780"/>
        <w:spacing w:after="0" w:line="238"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(67)</w:t>
      </w:r>
    </w:p>
    <w:p>
      <w:pPr>
        <w:ind w:left="3460"/>
        <w:spacing w:after="0" w:line="238" w:lineRule="auto"/>
        <w:rPr>
          <w:sz w:val="20"/>
          <w:szCs w:val="20"/>
          <w:color w:val="auto"/>
        </w:rPr>
      </w:pPr>
      <w:r>
        <w:rPr>
          <w:rFonts w:ascii="Courier New" w:cs="Courier New" w:eastAsia="Courier New" w:hAnsi="Courier New"/>
          <w:sz w:val="18"/>
          <w:szCs w:val="18"/>
          <w:color w:val="auto"/>
        </w:rPr>
        <w:t>3,314</w:t>
      </w:r>
    </w:p>
    <w:p>
      <w:pPr>
        <w:ind w:left="3780"/>
        <w:spacing w:after="0"/>
        <w:rPr>
          <w:sz w:val="20"/>
          <w:szCs w:val="20"/>
          <w:color w:val="auto"/>
        </w:rPr>
      </w:pPr>
      <w:r>
        <w:rPr>
          <w:rFonts w:ascii="Courier New" w:cs="Courier New" w:eastAsia="Courier New" w:hAnsi="Courier New"/>
          <w:sz w:val="18"/>
          <w:szCs w:val="18"/>
          <w:color w:val="auto"/>
        </w:rPr>
        <w:t>1,076</w:t>
      </w:r>
    </w:p>
    <w:p>
      <w:pPr>
        <w:ind w:left="3040"/>
        <w:spacing w:after="0" w:line="238" w:lineRule="auto"/>
        <w:rPr>
          <w:sz w:val="20"/>
          <w:szCs w:val="20"/>
          <w:color w:val="auto"/>
        </w:rPr>
      </w:pPr>
      <w:r>
        <w:rPr>
          <w:rFonts w:ascii="Courier New" w:cs="Courier New" w:eastAsia="Courier New" w:hAnsi="Courier New"/>
          <w:sz w:val="18"/>
          <w:szCs w:val="18"/>
          <w:color w:val="auto"/>
        </w:rPr>
        <w:t>2,238</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8"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jc w:val="center"/>
        <w:ind w:right="2019"/>
        <w:spacing w:after="0" w:line="238" w:lineRule="auto"/>
        <w:rPr>
          <w:sz w:val="20"/>
          <w:szCs w:val="20"/>
          <w:color w:val="auto"/>
        </w:rPr>
      </w:pPr>
      <w:r>
        <w:rPr>
          <w:rFonts w:ascii="Courier New" w:cs="Courier New" w:eastAsia="Courier New" w:hAnsi="Courier New"/>
          <w:sz w:val="18"/>
          <w:szCs w:val="18"/>
          <w:color w:val="auto"/>
        </w:rPr>
        <w:t>2,238</w:t>
      </w:r>
    </w:p>
    <w:p>
      <w:pPr>
        <w:jc w:val="center"/>
        <w:ind w:right="2019"/>
        <w:spacing w:after="0"/>
        <w:rPr>
          <w:sz w:val="20"/>
          <w:szCs w:val="20"/>
          <w:color w:val="auto"/>
        </w:rPr>
      </w:pPr>
      <w:r>
        <w:rPr>
          <w:rFonts w:ascii="Courier New" w:cs="Courier New" w:eastAsia="Courier New" w:hAnsi="Courier New"/>
          <w:sz w:val="18"/>
          <w:szCs w:val="18"/>
          <w:color w:val="auto"/>
        </w:rPr>
        <w:t>.09</w:t>
      </w:r>
    </w:p>
    <w:p>
      <w:pPr>
        <w:jc w:val="center"/>
        <w:ind w:right="1799"/>
        <w:spacing w:after="0"/>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099"/>
      </w:cols>
      <w:pgMar w:left="360" w:top="1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4"/>
    </w:lvl>
  </w:abstractNum>
  <w:abstractNum w:abstractNumId="3">
    <w:nsid w:val="507ED7AB"/>
    <w:multiLevelType w:val="hybridMultilevel"/>
    <w:lvl w:ilvl="0">
      <w:lvlJc w:val="left"/>
      <w:lvlText w:val="%1."/>
      <w:numFmt w:val="decimal"/>
      <w:start w:val="7"/>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lvl>
    <w:lvl w:ilvl="1">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decimal"/>
      <w:start w:val="2"/>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2019-12-13T08:30:45Z</dcterms:created>
  <dcterms:modified xsi:type="dcterms:W3CDTF">2019-12-13T08:30:45Z</dcterms:modified>
</cp:coreProperties>
</file>