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8-K</w:t>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9" w:lineRule="exact"/>
        <w:rPr>
          <w:sz w:val="24"/>
          <w:szCs w:val="24"/>
          <w:color w:val="auto"/>
        </w:rPr>
      </w:pPr>
    </w:p>
    <w:p>
      <w:pPr>
        <w:ind w:left="2680"/>
        <w:spacing w:after="0"/>
        <w:tabs>
          <w:tab w:leader="none" w:pos="68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16,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3816985</wp:posOffset>
            </wp:positionH>
            <wp:positionV relativeFrom="paragraph">
              <wp:posOffset>-13970</wp:posOffset>
            </wp:positionV>
            <wp:extent cx="1737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2484755</wp:posOffset>
            </wp:positionH>
            <wp:positionV relativeFrom="paragraph">
              <wp:posOffset>-13970</wp:posOffset>
            </wp:positionV>
            <wp:extent cx="2287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79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1660" w:type="dxa"/>
        <w:tblCellMar>
          <w:top w:w="0" w:type="dxa"/>
          <w:left w:w="0" w:type="dxa"/>
          <w:bottom w:w="0" w:type="dxa"/>
          <w:right w:w="0" w:type="dxa"/>
        </w:tblCellMar>
      </w:tblPr>
      <w:tr>
        <w:trPr>
          <w:trHeight w:val="222"/>
        </w:trPr>
        <w:tc>
          <w:tcPr>
            <w:tcW w:w="3140" w:type="dxa"/>
            <w:vAlign w:val="bottom"/>
            <w:gridSpan w:val="3"/>
          </w:tcPr>
          <w:p>
            <w:pPr>
              <w:jc w:val="center"/>
              <w:ind w:right="380"/>
              <w:spacing w:after="0"/>
              <w:rPr>
                <w:sz w:val="20"/>
                <w:szCs w:val="20"/>
                <w:color w:val="auto"/>
              </w:rPr>
            </w:pPr>
            <w:r>
              <w:rPr>
                <w:rFonts w:ascii="Arial" w:cs="Arial" w:eastAsia="Arial" w:hAnsi="Arial"/>
                <w:sz w:val="18"/>
                <w:szCs w:val="18"/>
                <w:color w:val="auto"/>
                <w:w w:val="94"/>
              </w:rPr>
              <w:t>Iowa</w:t>
            </w:r>
          </w:p>
        </w:tc>
        <w:tc>
          <w:tcPr>
            <w:tcW w:w="2100" w:type="dxa"/>
            <w:vAlign w:val="bottom"/>
            <w:gridSpan w:val="4"/>
          </w:tcPr>
          <w:p>
            <w:pPr>
              <w:jc w:val="right"/>
              <w:ind w:right="680"/>
              <w:spacing w:after="0"/>
              <w:rPr>
                <w:sz w:val="20"/>
                <w:szCs w:val="20"/>
                <w:color w:val="auto"/>
              </w:rPr>
            </w:pPr>
            <w:r>
              <w:rPr>
                <w:rFonts w:ascii="Arial" w:cs="Arial" w:eastAsia="Arial" w:hAnsi="Arial"/>
                <w:sz w:val="18"/>
                <w:szCs w:val="18"/>
                <w:color w:val="auto"/>
              </w:rPr>
              <w:t>001-06403</w:t>
            </w:r>
          </w:p>
        </w:tc>
        <w:tc>
          <w:tcPr>
            <w:tcW w:w="1980" w:type="dxa"/>
            <w:vAlign w:val="bottom"/>
            <w:gridSpan w:val="3"/>
          </w:tcPr>
          <w:p>
            <w:pPr>
              <w:jc w:val="center"/>
              <w:ind w:left="992"/>
              <w:spacing w:after="0"/>
              <w:rPr>
                <w:sz w:val="20"/>
                <w:szCs w:val="20"/>
                <w:color w:val="auto"/>
              </w:rPr>
            </w:pPr>
            <w:r>
              <w:rPr>
                <w:rFonts w:ascii="Arial" w:cs="Arial" w:eastAsia="Arial" w:hAnsi="Arial"/>
                <w:sz w:val="18"/>
                <w:szCs w:val="18"/>
                <w:color w:val="auto"/>
                <w:w w:val="89"/>
              </w:rPr>
              <w:t>42-0802678</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10"/>
        </w:trPr>
        <w:tc>
          <w:tcPr>
            <w:tcW w:w="2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43"/>
        </w:trPr>
        <w:tc>
          <w:tcPr>
            <w:tcW w:w="314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(State or other jurisdiction</w:t>
            </w:r>
          </w:p>
        </w:tc>
        <w:tc>
          <w:tcPr>
            <w:tcW w:w="2100" w:type="dxa"/>
            <w:vAlign w:val="bottom"/>
            <w:gridSpan w:val="4"/>
          </w:tcPr>
          <w:p>
            <w:pPr>
              <w:jc w:val="center"/>
              <w:ind w:right="40"/>
              <w:spacing w:after="0"/>
              <w:rPr>
                <w:sz w:val="20"/>
                <w:szCs w:val="20"/>
                <w:color w:val="auto"/>
              </w:rPr>
            </w:pPr>
            <w:r>
              <w:rPr>
                <w:rFonts w:ascii="Arial" w:cs="Arial" w:eastAsia="Arial" w:hAnsi="Arial"/>
                <w:sz w:val="18"/>
                <w:szCs w:val="18"/>
                <w:color w:val="auto"/>
                <w:w w:val="90"/>
              </w:rPr>
              <w:t>(Commission File Number)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(IRS Employer</w:t>
            </w:r>
          </w:p>
        </w:tc>
        <w:tc>
          <w:tcPr>
            <w:tcW w:w="80" w:type="dxa"/>
            <w:vAlign w:val="bottom"/>
          </w:tcPr>
          <w:p>
            <w:pPr>
              <w:spacing w:after="0"/>
              <w:rPr>
                <w:sz w:val="24"/>
                <w:szCs w:val="24"/>
                <w:color w:val="auto"/>
              </w:rPr>
            </w:pPr>
          </w:p>
        </w:tc>
      </w:tr>
      <w:tr>
        <w:trPr>
          <w:trHeight w:val="243"/>
        </w:trPr>
        <w:tc>
          <w:tcPr>
            <w:tcW w:w="314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of incorporation)</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Identification No.)</w:t>
            </w:r>
          </w:p>
        </w:tc>
        <w:tc>
          <w:tcPr>
            <w:tcW w:w="80" w:type="dxa"/>
            <w:vAlign w:val="bottom"/>
          </w:tcPr>
          <w:p>
            <w:pPr>
              <w:spacing w:after="0"/>
              <w:rPr>
                <w:sz w:val="21"/>
                <w:szCs w:val="21"/>
                <w:color w:val="auto"/>
              </w:rPr>
            </w:pPr>
          </w:p>
        </w:tc>
      </w:tr>
      <w:tr>
        <w:trPr>
          <w:trHeight w:val="459"/>
        </w:trPr>
        <w:tc>
          <w:tcPr>
            <w:tcW w:w="31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P.O. Box 152, Forest City, Iowa</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gridSpan w:val="3"/>
          </w:tcPr>
          <w:p>
            <w:pPr>
              <w:jc w:val="right"/>
              <w:ind w:right="832"/>
              <w:spacing w:after="0"/>
              <w:rPr>
                <w:sz w:val="20"/>
                <w:szCs w:val="20"/>
                <w:color w:val="auto"/>
              </w:rPr>
            </w:pPr>
            <w:r>
              <w:rPr>
                <w:rFonts w:ascii="Arial" w:cs="Arial" w:eastAsia="Arial" w:hAnsi="Arial"/>
                <w:sz w:val="18"/>
                <w:szCs w:val="18"/>
                <w:color w:val="auto"/>
              </w:rPr>
              <w:t>50436</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3900" w:type="dxa"/>
            <w:vAlign w:val="bottom"/>
            <w:tcBorders>
              <w:bottom w:val="single" w:sz="8" w:color="auto"/>
            </w:tcBorders>
            <w:gridSpan w:val="4"/>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5240" w:type="dxa"/>
            <w:vAlign w:val="bottom"/>
            <w:gridSpan w:val="7"/>
          </w:tcPr>
          <w:p>
            <w:pPr>
              <w:jc w:val="center"/>
              <w:ind w:right="1340"/>
              <w:spacing w:after="0"/>
              <w:rPr>
                <w:sz w:val="20"/>
                <w:szCs w:val="20"/>
                <w:color w:val="auto"/>
              </w:rPr>
            </w:pPr>
            <w:r>
              <w:rPr>
                <w:rFonts w:ascii="Arial" w:cs="Arial" w:eastAsia="Arial" w:hAnsi="Arial"/>
                <w:sz w:val="18"/>
                <w:szCs w:val="18"/>
                <w:color w:val="auto"/>
                <w:w w:val="90"/>
              </w:rPr>
              <w:t>(Address of principal executive offices)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2"/>
          </w:tcPr>
          <w:p>
            <w:pPr>
              <w:jc w:val="center"/>
              <w:ind w:right="1400"/>
              <w:spacing w:after="0"/>
              <w:rPr>
                <w:sz w:val="20"/>
                <w:szCs w:val="20"/>
                <w:color w:val="auto"/>
              </w:rPr>
            </w:pPr>
            <w:r>
              <w:rPr>
                <w:rFonts w:ascii="Arial" w:cs="Arial" w:eastAsia="Arial" w:hAnsi="Arial"/>
                <w:sz w:val="18"/>
                <w:szCs w:val="18"/>
                <w:color w:val="auto"/>
                <w:w w:val="89"/>
              </w:rPr>
              <w:t>(Zip Code)</w:t>
            </w:r>
          </w:p>
        </w:tc>
        <w:tc>
          <w:tcPr>
            <w:tcW w:w="80" w:type="dxa"/>
            <w:vAlign w:val="bottom"/>
          </w:tcPr>
          <w:p>
            <w:pPr>
              <w:spacing w:after="0"/>
              <w:rPr>
                <w:sz w:val="24"/>
                <w:szCs w:val="24"/>
                <w:color w:val="auto"/>
              </w:rPr>
            </w:pPr>
          </w:p>
        </w:tc>
      </w:tr>
      <w:tr>
        <w:trPr>
          <w:trHeight w:val="394"/>
        </w:trPr>
        <w:tc>
          <w:tcPr>
            <w:tcW w:w="4520" w:type="dxa"/>
            <w:vAlign w:val="bottom"/>
            <w:gridSpan w:val="6"/>
          </w:tcPr>
          <w:p>
            <w:pPr>
              <w:ind w:left="880"/>
              <w:spacing w:after="0"/>
              <w:rPr>
                <w:sz w:val="20"/>
                <w:szCs w:val="20"/>
                <w:color w:val="auto"/>
              </w:rPr>
            </w:pPr>
            <w:r>
              <w:rPr>
                <w:rFonts w:ascii="Arial" w:cs="Arial" w:eastAsia="Arial" w:hAnsi="Arial"/>
                <w:sz w:val="18"/>
                <w:szCs w:val="18"/>
                <w:color w:val="auto"/>
                <w:w w:val="88"/>
              </w:rPr>
              <w:t>Registrant's telephone number, including area code</w:t>
            </w:r>
          </w:p>
        </w:tc>
        <w:tc>
          <w:tcPr>
            <w:tcW w:w="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8"/>
                <w:szCs w:val="18"/>
                <w:color w:val="auto"/>
                <w:w w:val="96"/>
              </w:rPr>
              <w:t>641-585-3535</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8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13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312"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Winnebago Industries, Inc. is filing herewith a press release issued on June 16, 2005, as Exhibit 99.1 which is included herein. The press release was issued to report earnings for the third quarter of fiscal 2005 ended May 28, 2005.</w:t>
      </w:r>
    </w:p>
    <w:p>
      <w:pPr>
        <w:spacing w:after="0" w:line="248"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312" w:lineRule="exact"/>
        <w:rPr>
          <w:sz w:val="24"/>
          <w:szCs w:val="24"/>
          <w:color w:val="auto"/>
        </w:rPr>
      </w:pPr>
    </w:p>
    <w:p>
      <w:pPr>
        <w:ind w:left="640" w:hanging="36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4"/>
          <w:szCs w:val="24"/>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16, 2005.</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331"/>
        </w:trPr>
        <w:tc>
          <w:tcPr>
            <w:tcW w:w="3780" w:type="dxa"/>
            <w:vAlign w:val="bottom"/>
          </w:tcPr>
          <w:p>
            <w:pPr>
              <w:spacing w:after="0"/>
              <w:rPr>
                <w:sz w:val="20"/>
                <w:szCs w:val="20"/>
                <w:color w:val="auto"/>
              </w:rPr>
            </w:pPr>
            <w:r>
              <w:rPr>
                <w:rFonts w:ascii="Arial" w:cs="Arial" w:eastAsia="Arial" w:hAnsi="Arial"/>
                <w:sz w:val="18"/>
                <w:szCs w:val="18"/>
                <w:color w:val="auto"/>
              </w:rPr>
              <w:t>Dated: June 16, 2005</w:t>
            </w:r>
          </w:p>
        </w:tc>
        <w:tc>
          <w:tcPr>
            <w:tcW w:w="7140" w:type="dxa"/>
            <w:vAlign w:val="bottom"/>
            <w:gridSpan w:val="3"/>
          </w:tcPr>
          <w:p>
            <w:pPr>
              <w:ind w:left="230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780" w:type="dxa"/>
            <w:vAlign w:val="bottom"/>
          </w:tcPr>
          <w:p>
            <w:pPr>
              <w:spacing w:after="0"/>
              <w:rPr>
                <w:sz w:val="24"/>
                <w:szCs w:val="24"/>
                <w:color w:val="auto"/>
              </w:rPr>
            </w:pPr>
          </w:p>
        </w:tc>
        <w:tc>
          <w:tcPr>
            <w:tcW w:w="2820" w:type="dxa"/>
            <w:vAlign w:val="bottom"/>
          </w:tcPr>
          <w:p>
            <w:pPr>
              <w:ind w:left="230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3780" w:type="dxa"/>
            <w:vAlign w:val="bottom"/>
          </w:tcPr>
          <w:p>
            <w:pPr>
              <w:spacing w:after="0"/>
              <w:rPr>
                <w:sz w:val="22"/>
                <w:szCs w:val="22"/>
                <w:color w:val="auto"/>
              </w:rPr>
            </w:pPr>
          </w:p>
        </w:tc>
        <w:tc>
          <w:tcPr>
            <w:tcW w:w="2820" w:type="dxa"/>
            <w:vAlign w:val="bottom"/>
          </w:tcPr>
          <w:p>
            <w:pPr>
              <w:ind w:left="230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3780" w:type="dxa"/>
            <w:vAlign w:val="bottom"/>
          </w:tcPr>
          <w:p>
            <w:pPr>
              <w:spacing w:after="0"/>
              <w:rPr>
                <w:sz w:val="21"/>
                <w:szCs w:val="21"/>
                <w:color w:val="auto"/>
              </w:rPr>
            </w:pPr>
          </w:p>
        </w:tc>
        <w:tc>
          <w:tcPr>
            <w:tcW w:w="2820" w:type="dxa"/>
            <w:vAlign w:val="bottom"/>
          </w:tcPr>
          <w:p>
            <w:pPr>
              <w:ind w:left="230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4"/>
          <w:szCs w:val="24"/>
          <w:color w:val="auto"/>
        </w:rPr>
      </w:pPr>
    </w:p>
    <w:p>
      <w:pPr>
        <w:sectPr>
          <w:pgSz w:w="11900" w:h="16838" w:orient="portrait"/>
          <w:cols w:equalWidth="0" w:num="1">
            <w:col w:w="11340"/>
          </w:cols>
          <w:pgMar w:left="240" w:top="233" w:right="319" w:bottom="0" w:gutter="0" w:footer="0" w:header="0"/>
        </w:sectPr>
      </w:pPr>
    </w:p>
    <w:p>
      <w:pPr>
        <w:spacing w:after="0" w:line="200" w:lineRule="exact"/>
        <w:rPr>
          <w:sz w:val="24"/>
          <w:szCs w:val="24"/>
          <w:color w:val="auto"/>
        </w:rPr>
      </w:pP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XHIBIT</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NDEX</w:t>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16,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695325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2" w:name="page3"/>
    <w:bookmarkEnd w:id="2"/>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Sheila Davis, PR/IR Manager, 641-585-6803, </w:t>
      </w:r>
      <w:r>
        <w:rPr>
          <w:rFonts w:ascii="Arial" w:cs="Arial" w:eastAsia="Arial" w:hAnsi="Arial"/>
          <w:sz w:val="18"/>
          <w:szCs w:val="18"/>
          <w:u w:val="single" w:color="auto"/>
          <w:color w:val="auto"/>
        </w:rPr>
        <w:t>sdavis@winnebagoind.com</w:t>
      </w: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WINNEBAGO INDUSTRIES REPORTS THIRD QUARTER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AND NINE MONTHS RESULTS</w:t>
      </w:r>
    </w:p>
    <w:p>
      <w:pPr>
        <w:jc w:val="center"/>
        <w:spacing w:after="0"/>
        <w:rPr>
          <w:sz w:val="20"/>
          <w:szCs w:val="20"/>
          <w:color w:val="auto"/>
        </w:rPr>
      </w:pPr>
      <w:r>
        <w:rPr>
          <w:rFonts w:ascii="Arial" w:cs="Arial" w:eastAsia="Arial" w:hAnsi="Arial"/>
          <w:sz w:val="22"/>
          <w:szCs w:val="22"/>
          <w:b w:val="1"/>
          <w:bCs w:val="1"/>
          <w:color w:val="auto"/>
        </w:rPr>
        <w:t>– $30 Million Stock Repurchase Program Announced and Dividend Declared –</w:t>
      </w:r>
    </w:p>
    <w:p>
      <w:pPr>
        <w:spacing w:after="0" w:line="282"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FOREST CITY, IOWA, June 16, 2005 – Winnebago Industries, Inc. (NYSE: WGO), the nation’s leading motor home manufacturer, today reported net income for the third quarter of fiscal 2005 of $17.6 million, compared to net income of $17.7 million for the third quarter of fiscal 2004. On a diluted per share basis, the Company earned 52 cents for the third quarter of fiscal 2005, compared to 51 cents for the third quarter last year. Net income in the third quarter of fiscal 2004 included a charge for a legal settlement, net of income tax effect, of $4.6 million, or 13 cents per diluted share.</w:t>
      </w:r>
    </w:p>
    <w:p>
      <w:pPr>
        <w:spacing w:after="0" w:line="16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Revenues for the third quarter ended May 28, 2005 were $255.0 million, a decrease of 17.8 percent compared to revenues of $310.2 million for the third quarter of fiscal 2004.</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Net income for the first nine months of fiscal 2005 was $49.7 million, compared to $51.7 million for the first nine months of fiscal 2004. On a diluted per share basis, the Company earned $1.46 for the first nine months of fiscal 2005, compared to $1.48 for the first nine months of fiscal 2004.</w:t>
      </w:r>
    </w:p>
    <w:p>
      <w:pPr>
        <w:spacing w:after="0" w:line="13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Revenues for the first nine months of fiscal 2005 were $760.5 million, a decrease of 8.5 percent compared to $831.2 million for the first nine months of fiscal 2004.</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“Third quarter results were negatively impacted by lower motor home deliveries, as well as lower production efficiencies caused by reduced factory production,” said Winnebago Industries’ Chairman and CEO Bruce Hertzke. “Motor home deliveries for the quarter were lower due to lower retail demand and an industry-wide oversupply of motor homes. As a result, we reduced our production level during the third quarter to better correspond to demand. Additionally, a higher level of discounts was needed to move 2005 motor homes into the distribution channel prior to the new model year.”</w:t>
      </w:r>
    </w:p>
    <w:p>
      <w:pPr>
        <w:spacing w:after="0" w:line="16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Company’s sales order backlog was 1,523 units at May 28, 2005 compared to the backlog of 2,444 units at the third quarter of fiscal 2004. “As a result of a weaker backlog and industry-wide softness in the motor home market, we will continue to adjust our factory schedule as necessary to correspond to the demand for our products,” said Hertzke.</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“Winnebago Industries began production of the unique new Winnebago View and Itasca Navion Class C motor homes in March and began shipping them to dealers during the Company’s third quarter,” said Winnebago Industries’ President and CFO Ed Barker. “The View and Navion are the only motor homes in the industry to be built on the Dodge Sprinter 10,200-pound cutaway chassis with a Mercedes diesel engine. We continue to increase the production rate of these new motor homes and are beginning to fill the dealer channel. Initial response from our dealers on the new View and Navion has been very positive and they have been retailing very quickly after reaching the dealers’ lots.”</w:t>
      </w:r>
    </w:p>
    <w:p>
      <w:pPr>
        <w:spacing w:after="0" w:line="19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Winnebago Industries is the top-selling motor home manufacturer in the United States. According to Statistical Surveys, Inc., an independent retail reporting service, Winnebago Industries leads the industry with 17.8 percent of the combined Class 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 retail market for the first four months of calendar 2005 compared to 18.4 percent for the same period last year.</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During the third quarter ended May 28, 2005, Winnebago Industries completed the Company’s ninth stock repurchase program with the repurchase of 807,721 shares for an aggregate price of approximately $25 million. On a fiscal year to date basis, Winnebago Industries has repurchased 860,321 shares for an aggregate price of approximately $27 million.</w:t>
      </w:r>
    </w:p>
    <w:p>
      <w:pPr>
        <w:spacing w:after="0" w:line="194"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At a meeting held yesterday, Winnebago Industries’ Board of Directors authorized a tenth stock repurchase program, authorizing the purchase of outstanding shares of Winnebago Industries’ common stock for an aggregate price of up to $30 million.</w:t>
      </w:r>
    </w:p>
    <w:p>
      <w:pPr>
        <w:spacing w:after="0" w:line="186"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Winnebago Industries today also announced that the Board of Directors increased its quarterly cash dividend by 29 percent. In the meeting held yesterday, the Board declared a quarterly cash dividend of nine cents a share, payable on October 3, 2005 to shareholders of record as of September 2, 2005, an increase of 29 percent from the previous dividend of seven cents a share.</w:t>
      </w:r>
    </w:p>
    <w:p>
      <w:pPr>
        <w:spacing w:after="0" w:line="194"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10 a.m. ET today, Thursday, June 16, 2005.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www.winnebagoind.com</w:t>
      </w:r>
      <w:r>
        <w:rPr>
          <w:rFonts w:ascii="Arial" w:cs="Arial" w:eastAsia="Arial" w:hAnsi="Arial"/>
          <w:sz w:val="16"/>
          <w:szCs w:val="16"/>
          <w:color w:val="auto"/>
        </w:rPr>
        <w:t xml:space="preserve"> or at </w:t>
      </w:r>
      <w:r>
        <w:rPr>
          <w:rFonts w:ascii="Arial" w:cs="Arial" w:eastAsia="Arial" w:hAnsi="Arial"/>
          <w:sz w:val="16"/>
          <w:szCs w:val="16"/>
          <w:u w:val="single" w:color="auto"/>
          <w:color w:val="auto"/>
        </w:rPr>
        <w:t>www.shareholder.com/winnebago/medialist.cfm</w:t>
      </w:r>
      <w:r>
        <w:rPr>
          <w:rFonts w:ascii="Arial" w:cs="Arial" w:eastAsia="Arial" w:hAnsi="Arial"/>
          <w:sz w:val="16"/>
          <w:szCs w:val="16"/>
          <w:color w:val="auto"/>
        </w:rPr>
        <w:t>. The event will be archived and available for replay for the next 90 days.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31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ectPr>
          <w:pgSz w:w="11900" w:h="16945" w:orient="portrait"/>
          <w:cols w:equalWidth="0" w:num="1">
            <w:col w:w="11420"/>
          </w:cols>
          <w:pgMar w:left="240" w:top="827" w:right="239" w:bottom="0" w:gutter="0" w:footer="0" w:header="0"/>
        </w:sectPr>
      </w:pPr>
    </w:p>
    <w:bookmarkStart w:id="3" w:name="page4"/>
    <w:bookmarkEnd w:id="3"/>
    <w:p>
      <w:pPr>
        <w:ind w:firstLine="348"/>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a decline in consumer confidence, the availability and price of fuel, a significant increase in interest rates, a slowdown in the economy, availability of chassis and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17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(In thousands, except per share amounts)</w:t>
      </w:r>
    </w:p>
    <w:p>
      <w:pPr>
        <w:spacing w:after="0" w:line="20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5/28/2005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w w:val="86"/>
              </w:rPr>
              <w:t>5/29/2004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5/28/2005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w w:val="86"/>
              </w:rPr>
              <w:t>5/29/2004</w:t>
            </w: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36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255,022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310,186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760,514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831,152</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219,828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264,167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655,995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710,639</w:t>
            </w:r>
          </w:p>
        </w:tc>
        <w:tc>
          <w:tcPr>
            <w:tcW w:w="0" w:type="dxa"/>
            <w:vAlign w:val="bottom"/>
          </w:tcPr>
          <w:p>
            <w:pPr>
              <w:spacing w:after="0"/>
              <w:rPr>
                <w:sz w:val="1"/>
                <w:szCs w:val="1"/>
                <w:color w:val="auto"/>
              </w:rPr>
            </w:pPr>
          </w:p>
        </w:tc>
      </w:tr>
      <w:tr>
        <w:trPr>
          <w:trHeight w:val="110"/>
        </w:trPr>
        <w:tc>
          <w:tcPr>
            <w:tcW w:w="3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6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35,194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46,019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104,519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120,513</w:t>
            </w:r>
          </w:p>
        </w:tc>
        <w:tc>
          <w:tcPr>
            <w:tcW w:w="0" w:type="dxa"/>
            <w:vAlign w:val="bottom"/>
          </w:tcPr>
          <w:p>
            <w:pPr>
              <w:spacing w:after="0"/>
              <w:rPr>
                <w:sz w:val="1"/>
                <w:szCs w:val="1"/>
                <w:color w:val="auto"/>
              </w:rPr>
            </w:pPr>
          </w:p>
        </w:tc>
      </w:tr>
      <w:tr>
        <w:trPr>
          <w:trHeight w:val="110"/>
        </w:trPr>
        <w:tc>
          <w:tcPr>
            <w:tcW w:w="33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4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13,420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13,778</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13,187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15,892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24,964</w:t>
            </w:r>
          </w:p>
        </w:tc>
        <w:tc>
          <w:tcPr>
            <w:tcW w:w="0" w:type="dxa"/>
            <w:vAlign w:val="bottom"/>
          </w:tcPr>
          <w:p>
            <w:pPr>
              <w:spacing w:after="0"/>
              <w:rPr>
                <w:sz w:val="1"/>
                <w:szCs w:val="1"/>
                <w:color w:val="auto"/>
              </w:rPr>
            </w:pPr>
          </w:p>
        </w:tc>
      </w:tr>
      <w:tr>
        <w:trPr>
          <w:trHeight w:val="110"/>
        </w:trPr>
        <w:tc>
          <w:tcPr>
            <w:tcW w:w="3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60" w:type="dxa"/>
            <w:vAlign w:val="bottom"/>
          </w:tcPr>
          <w:p>
            <w:pPr>
              <w:ind w:left="2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17,943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29,312</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38,742</w:t>
            </w:r>
          </w:p>
        </w:tc>
        <w:tc>
          <w:tcPr>
            <w:tcW w:w="0" w:type="dxa"/>
            <w:vAlign w:val="bottom"/>
          </w:tcPr>
          <w:p>
            <w:pPr>
              <w:spacing w:after="0"/>
              <w:rPr>
                <w:sz w:val="1"/>
                <w:szCs w:val="1"/>
                <w:color w:val="auto"/>
              </w:rPr>
            </w:pPr>
          </w:p>
        </w:tc>
      </w:tr>
      <w:tr>
        <w:trPr>
          <w:trHeight w:val="110"/>
        </w:trPr>
        <w:tc>
          <w:tcPr>
            <w:tcW w:w="3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3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26,355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28,076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75,207</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81,771</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110"/>
        </w:trPr>
        <w:tc>
          <w:tcPr>
            <w:tcW w:w="3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360" w:type="dxa"/>
            <w:vAlign w:val="bottom"/>
          </w:tcPr>
          <w:p>
            <w:pPr>
              <w:spacing w:after="0"/>
              <w:rPr>
                <w:sz w:val="20"/>
                <w:szCs w:val="20"/>
                <w:color w:val="auto"/>
              </w:rPr>
            </w:pPr>
            <w:r>
              <w:rPr>
                <w:rFonts w:ascii="Arial" w:cs="Arial" w:eastAsia="Arial" w:hAnsi="Arial"/>
                <w:sz w:val="18"/>
                <w:szCs w:val="18"/>
                <w:color w:val="auto"/>
              </w:rPr>
              <w:t>Pre-tax income</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27,116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28,442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77,101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82,723</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Provision for taxes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9,536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10,738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31,072</w:t>
            </w:r>
          </w:p>
        </w:tc>
        <w:tc>
          <w:tcPr>
            <w:tcW w:w="0" w:type="dxa"/>
            <w:vAlign w:val="bottom"/>
          </w:tcPr>
          <w:p>
            <w:pPr>
              <w:spacing w:after="0"/>
              <w:rPr>
                <w:sz w:val="1"/>
                <w:szCs w:val="1"/>
                <w:color w:val="auto"/>
              </w:rPr>
            </w:pPr>
          </w:p>
        </w:tc>
      </w:tr>
      <w:tr>
        <w:trPr>
          <w:trHeight w:val="110"/>
        </w:trPr>
        <w:tc>
          <w:tcPr>
            <w:tcW w:w="3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17,580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17,704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49,695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51,651</w:t>
            </w:r>
          </w:p>
        </w:tc>
        <w:tc>
          <w:tcPr>
            <w:tcW w:w="0" w:type="dxa"/>
            <w:vAlign w:val="bottom"/>
          </w:tcPr>
          <w:p>
            <w:pPr>
              <w:spacing w:after="0"/>
              <w:rPr>
                <w:sz w:val="1"/>
                <w:szCs w:val="1"/>
                <w:color w:val="auto"/>
              </w:rPr>
            </w:pPr>
          </w:p>
        </w:tc>
      </w:tr>
      <w:tr>
        <w:trPr>
          <w:trHeight w:val="120"/>
        </w:trPr>
        <w:tc>
          <w:tcPr>
            <w:tcW w:w="3360" w:type="dxa"/>
            <w:vAlign w:val="bottom"/>
            <w:vMerge w:val="restart"/>
          </w:tcPr>
          <w:p>
            <w:pPr>
              <w:spacing w:after="0"/>
              <w:rPr>
                <w:sz w:val="20"/>
                <w:szCs w:val="20"/>
                <w:color w:val="auto"/>
              </w:rPr>
            </w:pPr>
            <w:r>
              <w:rPr>
                <w:rFonts w:ascii="Arial" w:cs="Arial" w:eastAsia="Arial" w:hAnsi="Arial"/>
                <w:sz w:val="18"/>
                <w:szCs w:val="18"/>
                <w:color w:val="auto"/>
              </w:rPr>
              <w:t>Income per share*</w:t>
            </w: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20"/>
        </w:trPr>
        <w:tc>
          <w:tcPr>
            <w:tcW w:w="3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20"/>
        </w:trPr>
        <w:tc>
          <w:tcPr>
            <w:tcW w:w="3360" w:type="dxa"/>
            <w:vAlign w:val="bottom"/>
            <w:vMerge w:val="restart"/>
          </w:tcPr>
          <w:p>
            <w:pPr>
              <w:spacing w:after="0"/>
              <w:rPr>
                <w:sz w:val="20"/>
                <w:szCs w:val="20"/>
                <w:color w:val="auto"/>
              </w:rPr>
            </w:pPr>
            <w:r>
              <w:rPr>
                <w:rFonts w:ascii="Arial" w:cs="Arial" w:eastAsia="Arial" w:hAnsi="Arial"/>
                <w:sz w:val="18"/>
                <w:szCs w:val="18"/>
                <w:color w:val="auto"/>
              </w:rPr>
              <w:t>Number of shares used in</w:t>
            </w: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40"/>
              <w:spacing w:after="0"/>
              <w:rPr>
                <w:sz w:val="20"/>
                <w:szCs w:val="20"/>
                <w:color w:val="auto"/>
              </w:rPr>
            </w:pPr>
            <w:r>
              <w:rPr>
                <w:rFonts w:ascii="Arial" w:cs="Arial" w:eastAsia="Arial" w:hAnsi="Arial"/>
                <w:sz w:val="18"/>
                <w:szCs w:val="18"/>
                <w:color w:val="auto"/>
              </w:rPr>
              <w:t>per share calculations*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33,289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33,963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35,528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120"/>
        </w:trPr>
        <w:tc>
          <w:tcPr>
            <w:tcW w:w="3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33,747</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34,065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120"/>
        </w:trPr>
        <w:tc>
          <w:tcPr>
            <w:tcW w:w="3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-1591945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-1591945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-1591945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-1591945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-1591945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-1591945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-1591945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-1591945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-1163320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-1163320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-1163320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-1163320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-1163320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-1163320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-1163320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-1163320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-871855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-871855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-871855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-871855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-871855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-871855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-871855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-871855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-306070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-306070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-306070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-306070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-306070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-306070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-306070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-306070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information has been reclassified to conform to the current year presentation.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*Adjusted for 2-for-1 stock split on March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1908810</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4" w:name="page5"/>
    <w:bookmarkEnd w:id="4"/>
    <w:p>
      <w:pPr>
        <w:jc w:val="center"/>
        <w:ind w:right="-116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21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May 28, 2005</w:t>
            </w:r>
          </w:p>
        </w:tc>
        <w:tc>
          <w:tcPr>
            <w:tcW w:w="4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Aug. 28, 2004</w:t>
            </w:r>
          </w:p>
        </w:tc>
        <w:tc>
          <w:tcPr>
            <w:tcW w:w="0" w:type="dxa"/>
            <w:vAlign w:val="bottom"/>
          </w:tcPr>
          <w:p>
            <w:pPr>
              <w:spacing w:after="0"/>
              <w:rPr>
                <w:sz w:val="1"/>
                <w:szCs w:val="1"/>
                <w:color w:val="auto"/>
              </w:rPr>
            </w:pPr>
          </w:p>
        </w:tc>
      </w:tr>
      <w:tr>
        <w:trPr>
          <w:trHeight w:val="95"/>
        </w:trPr>
        <w:tc>
          <w:tcPr>
            <w:tcW w:w="56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10,302</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24,445</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104,027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51,100</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26,329</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46,112</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130,318</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130,733</w:t>
            </w:r>
          </w:p>
        </w:tc>
        <w:tc>
          <w:tcPr>
            <w:tcW w:w="0" w:type="dxa"/>
            <w:vAlign w:val="bottom"/>
          </w:tcPr>
          <w:p>
            <w:pPr>
              <w:spacing w:after="0"/>
              <w:rPr>
                <w:sz w:val="1"/>
                <w:szCs w:val="1"/>
                <w:color w:val="auto"/>
              </w:rPr>
            </w:pPr>
          </w:p>
        </w:tc>
      </w:tr>
      <w:tr>
        <w:trPr>
          <w:trHeight w:val="222"/>
        </w:trPr>
        <w:tc>
          <w:tcPr>
            <w:tcW w:w="566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16,985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110"/>
        </w:trPr>
        <w:tc>
          <w:tcPr>
            <w:tcW w:w="56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287,961</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270,069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63,066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63,995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25,060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Investment in life insurance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21,850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22,863</w:t>
            </w: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13,943</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12,463</w:t>
            </w:r>
          </w:p>
        </w:tc>
        <w:tc>
          <w:tcPr>
            <w:tcW w:w="0" w:type="dxa"/>
            <w:vAlign w:val="bottom"/>
          </w:tcPr>
          <w:p>
            <w:pPr>
              <w:spacing w:after="0"/>
              <w:rPr>
                <w:sz w:val="1"/>
                <w:szCs w:val="1"/>
                <w:color w:val="auto"/>
              </w:rPr>
            </w:pPr>
          </w:p>
        </w:tc>
      </w:tr>
      <w:tr>
        <w:trPr>
          <w:trHeight w:val="110"/>
        </w:trPr>
        <w:tc>
          <w:tcPr>
            <w:tcW w:w="56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411,880</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394,556</w:t>
            </w:r>
          </w:p>
        </w:tc>
        <w:tc>
          <w:tcPr>
            <w:tcW w:w="0" w:type="dxa"/>
            <w:vAlign w:val="bottom"/>
          </w:tcPr>
          <w:p>
            <w:pPr>
              <w:spacing w:after="0"/>
              <w:rPr>
                <w:sz w:val="1"/>
                <w:szCs w:val="1"/>
                <w:color w:val="auto"/>
              </w:rPr>
            </w:pPr>
          </w:p>
        </w:tc>
      </w:tr>
      <w:tr>
        <w:trPr>
          <w:trHeight w:val="120"/>
        </w:trPr>
        <w:tc>
          <w:tcPr>
            <w:tcW w:w="56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6"/>
        </w:trPr>
        <w:tc>
          <w:tcPr>
            <w:tcW w:w="5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37,287</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46,659</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5,733</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22"/>
        </w:trPr>
        <w:tc>
          <w:tcPr>
            <w:tcW w:w="566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59,621</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54,285</w:t>
            </w:r>
          </w:p>
        </w:tc>
        <w:tc>
          <w:tcPr>
            <w:tcW w:w="0" w:type="dxa"/>
            <w:vAlign w:val="bottom"/>
          </w:tcPr>
          <w:p>
            <w:pPr>
              <w:spacing w:after="0"/>
              <w:rPr>
                <w:sz w:val="1"/>
                <w:szCs w:val="1"/>
                <w:color w:val="auto"/>
              </w:rPr>
            </w:pPr>
          </w:p>
        </w:tc>
      </w:tr>
      <w:tr>
        <w:trPr>
          <w:trHeight w:val="110"/>
        </w:trPr>
        <w:tc>
          <w:tcPr>
            <w:tcW w:w="56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102,641</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105,278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Post retirement health care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Arial" w:cs="Arial" w:eastAsia="Arial" w:hAnsi="Arial"/>
                <w:sz w:val="18"/>
                <w:szCs w:val="18"/>
                <w:color w:val="auto"/>
              </w:rPr>
              <w:t>deferred compensation benefits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87,486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87,403</w:t>
            </w: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221,753</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201,875</w:t>
            </w:r>
          </w:p>
        </w:tc>
        <w:tc>
          <w:tcPr>
            <w:tcW w:w="0" w:type="dxa"/>
            <w:vAlign w:val="bottom"/>
          </w:tcPr>
          <w:p>
            <w:pPr>
              <w:spacing w:after="0"/>
              <w:rPr>
                <w:sz w:val="1"/>
                <w:szCs w:val="1"/>
                <w:color w:val="auto"/>
              </w:rPr>
            </w:pPr>
          </w:p>
        </w:tc>
      </w:tr>
      <w:tr>
        <w:trPr>
          <w:trHeight w:val="110"/>
        </w:trPr>
        <w:tc>
          <w:tcPr>
            <w:tcW w:w="56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6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411,880</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394,556</w:t>
            </w:r>
          </w:p>
        </w:tc>
        <w:tc>
          <w:tcPr>
            <w:tcW w:w="0" w:type="dxa"/>
            <w:vAlign w:val="bottom"/>
          </w:tcPr>
          <w:p>
            <w:pPr>
              <w:spacing w:after="0"/>
              <w:rPr>
                <w:sz w:val="1"/>
                <w:szCs w:val="1"/>
                <w:color w:val="auto"/>
              </w:rPr>
            </w:pPr>
          </w:p>
        </w:tc>
      </w:tr>
      <w:tr>
        <w:trPr>
          <w:trHeight w:val="120"/>
        </w:trPr>
        <w:tc>
          <w:tcPr>
            <w:tcW w:w="56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-1986915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-1986915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-1986915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-1986915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1912620</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Unaudited Condensed Consolidated Statement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16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5/28/2005</w:t>
            </w:r>
          </w:p>
        </w:tc>
        <w:tc>
          <w:tcPr>
            <w:tcW w:w="2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5/29/2004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49,695</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51,651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7,434</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Tax benefit of stock options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Other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Decrease in receivables and other assets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20,055</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Decrease (increase) in inventories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(12,991)</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Decrease (increase) in deferred income taxes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2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22"/>
        </w:trPr>
        <w:tc>
          <w:tcPr>
            <w:tcW w:w="5040" w:type="dxa"/>
            <w:vAlign w:val="bottom"/>
          </w:tcPr>
          <w:p>
            <w:pPr>
              <w:ind w:left="140"/>
              <w:spacing w:after="0"/>
              <w:rPr>
                <w:sz w:val="20"/>
                <w:szCs w:val="20"/>
                <w:color w:val="auto"/>
              </w:rPr>
            </w:pPr>
            <w:r>
              <w:rPr>
                <w:rFonts w:ascii="Arial" w:cs="Arial" w:eastAsia="Arial" w:hAnsi="Arial"/>
                <w:sz w:val="18"/>
                <w:szCs w:val="18"/>
                <w:color w:val="auto"/>
              </w:rPr>
              <w:t>(Decrease) increase in accounts payable/accrued expenses</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(4,036)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14,820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0" w:gutter="0" w:footer="0" w:header="0"/>
        </w:sectPr>
      </w:pPr>
    </w:p>
    <w:bookmarkStart w:id="5" w:name="page6"/>
    <w:bookmarkEnd w:id="5"/>
    <w:p>
      <w:pPr>
        <w:spacing w:after="0" w:line="57"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Increase in income taxes payable</w:t>
            </w:r>
          </w:p>
        </w:tc>
        <w:tc>
          <w:tcPr>
            <w:tcW w:w="820" w:type="dxa"/>
            <w:vAlign w:val="bottom"/>
          </w:tcPr>
          <w:p>
            <w:pPr>
              <w:jc w:val="right"/>
              <w:spacing w:after="0"/>
              <w:rPr>
                <w:sz w:val="20"/>
                <w:szCs w:val="20"/>
                <w:color w:val="auto"/>
              </w:rPr>
            </w:pPr>
            <w:r>
              <w:rPr>
                <w:rFonts w:ascii="Arial" w:cs="Arial" w:eastAsia="Arial" w:hAnsi="Arial"/>
                <w:sz w:val="18"/>
                <w:szCs w:val="18"/>
                <w:color w:val="auto"/>
              </w:rPr>
              <w:t>1,399</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140"/>
              <w:spacing w:after="0"/>
              <w:rPr>
                <w:sz w:val="20"/>
                <w:szCs w:val="20"/>
                <w:color w:val="auto"/>
              </w:rPr>
            </w:pPr>
            <w:r>
              <w:rPr>
                <w:rFonts w:ascii="Arial" w:cs="Arial" w:eastAsia="Arial" w:hAnsi="Arial"/>
                <w:sz w:val="18"/>
                <w:szCs w:val="18"/>
                <w:color w:val="auto"/>
              </w:rPr>
              <w:t>(Decrease) increase in postretirement benefits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(759)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Pr>
          <w:p>
            <w:pPr>
              <w:jc w:val="right"/>
              <w:spacing w:after="0"/>
              <w:rPr>
                <w:sz w:val="20"/>
                <w:szCs w:val="20"/>
                <w:color w:val="auto"/>
              </w:rPr>
            </w:pPr>
            <w:r>
              <w:rPr>
                <w:rFonts w:ascii="Arial" w:cs="Arial" w:eastAsia="Arial" w:hAnsi="Arial"/>
                <w:sz w:val="18"/>
                <w:szCs w:val="18"/>
                <w:color w:val="auto"/>
              </w:rPr>
              <w:t>76,357</w:t>
            </w:r>
          </w:p>
        </w:tc>
        <w:tc>
          <w:tcPr>
            <w:tcW w:w="2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78,894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color w:val="auto"/>
              </w:rPr>
              <w:t>Cash flows (used in) provided by investing activities:</w:t>
            </w: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5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(6,666)</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Purchases of short-term investments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(196,424)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(123,281)</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Proceeds from the sale of short-term investments</w:t>
            </w:r>
          </w:p>
        </w:tc>
        <w:tc>
          <w:tcPr>
            <w:tcW w:w="820" w:type="dxa"/>
            <w:vAlign w:val="bottom"/>
          </w:tcPr>
          <w:p>
            <w:pPr>
              <w:jc w:val="right"/>
              <w:spacing w:after="0"/>
              <w:rPr>
                <w:sz w:val="20"/>
                <w:szCs w:val="20"/>
                <w:color w:val="auto"/>
              </w:rPr>
            </w:pPr>
            <w:r>
              <w:rPr>
                <w:rFonts w:ascii="Arial" w:cs="Arial" w:eastAsia="Arial" w:hAnsi="Arial"/>
                <w:sz w:val="18"/>
                <w:szCs w:val="18"/>
                <w:color w:val="auto"/>
              </w:rPr>
              <w:t>143,497</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140"/>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(59,893)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color w:val="auto"/>
              </w:rPr>
              <w:t>Cash flows used in financing activities</w:t>
            </w: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5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and capital transactions: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Payments for purchase of common stock</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(26,796)</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(74,268)</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Payment of cash dividends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(7,054)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22"/>
        </w:trPr>
        <w:tc>
          <w:tcPr>
            <w:tcW w:w="5820" w:type="dxa"/>
            <w:vAlign w:val="bottom"/>
          </w:tcPr>
          <w:p>
            <w:pPr>
              <w:ind w:left="140"/>
              <w:spacing w:after="0"/>
              <w:rPr>
                <w:sz w:val="20"/>
                <w:szCs w:val="20"/>
                <w:color w:val="auto"/>
              </w:rPr>
            </w:pPr>
            <w:r>
              <w:rPr>
                <w:rFonts w:ascii="Arial" w:cs="Arial" w:eastAsia="Arial" w:hAnsi="Arial"/>
                <w:sz w:val="18"/>
                <w:szCs w:val="18"/>
                <w:color w:val="auto"/>
              </w:rPr>
              <w:t>Proceeds from issuance of common and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3,243</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color w:val="auto"/>
              </w:rPr>
              <w:t>Net cash used in financing activities and capital transactions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(30,607)</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(74,961)</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8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(14,143)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2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820" w:type="dxa"/>
            <w:vAlign w:val="bottom"/>
          </w:tcPr>
          <w:p>
            <w:pPr>
              <w:jc w:val="right"/>
              <w:spacing w:after="0"/>
              <w:rPr>
                <w:sz w:val="20"/>
                <w:szCs w:val="20"/>
                <w:color w:val="auto"/>
              </w:rPr>
            </w:pPr>
            <w:r>
              <w:rPr>
                <w:rFonts w:ascii="Arial" w:cs="Arial" w:eastAsia="Arial" w:hAnsi="Arial"/>
                <w:sz w:val="18"/>
                <w:szCs w:val="18"/>
                <w:color w:val="auto"/>
              </w:rPr>
              <w:t>24,445</w:t>
            </w:r>
          </w:p>
        </w:tc>
        <w:tc>
          <w:tcPr>
            <w:tcW w:w="2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820" w:type="dxa"/>
            <w:vAlign w:val="bottom"/>
          </w:tcPr>
          <w:p>
            <w:pPr>
              <w:spacing w:after="0"/>
              <w:rPr>
                <w:sz w:val="20"/>
                <w:szCs w:val="20"/>
                <w:color w:val="auto"/>
              </w:rPr>
            </w:pPr>
            <w:r>
              <w:rPr>
                <w:rFonts w:ascii="Arial" w:cs="Arial" w:eastAsia="Arial" w:hAnsi="Arial"/>
                <w:sz w:val="18"/>
                <w:szCs w:val="18"/>
                <w:color w:val="auto"/>
              </w:rPr>
              <w:t>Cash and cash equivalents-end of period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   10,302</w:t>
            </w:r>
          </w:p>
        </w:tc>
        <w:tc>
          <w:tcPr>
            <w:tcW w:w="2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14,147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Unaudited Motor Home Deliveries</w:t>
      </w:r>
    </w:p>
    <w:p>
      <w:pPr>
        <w:spacing w:after="0" w:line="20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Pr>
          <w:p>
            <w:pPr>
              <w:spacing w:after="0"/>
              <w:rPr>
                <w:sz w:val="14"/>
                <w:szCs w:val="14"/>
                <w:color w:val="auto"/>
              </w:rPr>
            </w:pPr>
          </w:p>
        </w:tc>
        <w:tc>
          <w:tcPr>
            <w:tcW w:w="1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4"/>
                <w:szCs w:val="14"/>
                <w:b w:val="1"/>
                <w:bCs w:val="1"/>
                <w:color w:val="auto"/>
                <w:w w:val="96"/>
              </w:rPr>
              <w:t>5/28/2005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5/29/2004</w:t>
            </w:r>
          </w:p>
        </w:tc>
        <w:tc>
          <w:tcPr>
            <w:tcW w:w="11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5/28/2005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5/29/2004</w:t>
            </w:r>
          </w:p>
        </w:tc>
        <w:tc>
          <w:tcPr>
            <w:tcW w:w="0" w:type="dxa"/>
            <w:vAlign w:val="bottom"/>
          </w:tcPr>
          <w:p>
            <w:pPr>
              <w:spacing w:after="0"/>
              <w:rPr>
                <w:sz w:val="1"/>
                <w:szCs w:val="1"/>
                <w:color w:val="auto"/>
              </w:rPr>
            </w:pPr>
          </w:p>
        </w:tc>
      </w:tr>
      <w:tr>
        <w:trPr>
          <w:trHeight w:val="95"/>
        </w:trPr>
        <w:tc>
          <w:tcPr>
            <w:tcW w:w="3820" w:type="dxa"/>
            <w:vAlign w:val="bottom"/>
            <w:vMerge w:val="restart"/>
          </w:tcPr>
          <w:p>
            <w:pPr>
              <w:spacing w:after="0"/>
              <w:rPr>
                <w:sz w:val="20"/>
                <w:szCs w:val="20"/>
                <w:color w:val="auto"/>
              </w:rPr>
            </w:pPr>
            <w:r>
              <w:rPr>
                <w:rFonts w:ascii="Arial" w:cs="Arial" w:eastAsia="Arial" w:hAnsi="Arial"/>
                <w:sz w:val="18"/>
                <w:szCs w:val="18"/>
                <w:color w:val="auto"/>
              </w:rPr>
              <w:t>Unit deliveries</w:t>
            </w: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8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Class A gas</w:t>
            </w:r>
          </w:p>
        </w:tc>
        <w:tc>
          <w:tcPr>
            <w:tcW w:w="720" w:type="dxa"/>
            <w:vAlign w:val="bottom"/>
          </w:tcPr>
          <w:p>
            <w:pPr>
              <w:jc w:val="right"/>
              <w:spacing w:after="0"/>
              <w:rPr>
                <w:sz w:val="20"/>
                <w:szCs w:val="20"/>
                <w:color w:val="auto"/>
              </w:rPr>
            </w:pPr>
            <w:r>
              <w:rPr>
                <w:rFonts w:ascii="Arial" w:cs="Arial" w:eastAsia="Arial" w:hAnsi="Arial"/>
                <w:sz w:val="18"/>
                <w:szCs w:val="18"/>
                <w:color w:val="auto"/>
              </w:rPr>
              <w:t>1,058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3,501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720" w:type="dxa"/>
            <w:vAlign w:val="bottom"/>
          </w:tcPr>
          <w:p>
            <w:pPr>
              <w:jc w:val="right"/>
              <w:spacing w:after="0"/>
              <w:rPr>
                <w:sz w:val="20"/>
                <w:szCs w:val="20"/>
                <w:color w:val="auto"/>
              </w:rPr>
            </w:pPr>
            <w:r>
              <w:rPr>
                <w:rFonts w:ascii="Arial" w:cs="Arial" w:eastAsia="Arial" w:hAnsi="Arial"/>
                <w:sz w:val="18"/>
                <w:szCs w:val="18"/>
                <w:color w:val="auto"/>
              </w:rPr>
              <w:t>561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1,707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22"/>
        </w:trPr>
        <w:tc>
          <w:tcPr>
            <w:tcW w:w="3820" w:type="dxa"/>
            <w:vAlign w:val="bottom"/>
          </w:tcPr>
          <w:p>
            <w:pPr>
              <w:ind w:left="100"/>
              <w:spacing w:after="0"/>
              <w:rPr>
                <w:sz w:val="20"/>
                <w:szCs w:val="20"/>
                <w:color w:val="auto"/>
              </w:rPr>
            </w:pPr>
            <w:r>
              <w:rPr>
                <w:rFonts w:ascii="Arial" w:cs="Arial" w:eastAsia="Arial" w:hAnsi="Arial"/>
                <w:sz w:val="18"/>
                <w:szCs w:val="18"/>
                <w:color w:val="auto"/>
              </w:rPr>
              <w:t>Class C</w:t>
            </w:r>
          </w:p>
        </w:tc>
        <w:tc>
          <w:tcPr>
            <w:tcW w:w="720" w:type="dxa"/>
            <w:vAlign w:val="bottom"/>
          </w:tcPr>
          <w:p>
            <w:pPr>
              <w:jc w:val="right"/>
              <w:spacing w:after="0"/>
              <w:rPr>
                <w:sz w:val="20"/>
                <w:szCs w:val="20"/>
                <w:color w:val="auto"/>
              </w:rPr>
            </w:pPr>
            <w:r>
              <w:rPr>
                <w:rFonts w:ascii="Arial" w:cs="Arial" w:eastAsia="Arial" w:hAnsi="Arial"/>
                <w:sz w:val="18"/>
                <w:szCs w:val="18"/>
                <w:color w:val="auto"/>
              </w:rPr>
              <w:t>1,088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2,878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110"/>
        </w:trPr>
        <w:tc>
          <w:tcPr>
            <w:tcW w:w="38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20" w:type="dxa"/>
            <w:vAlign w:val="bottom"/>
          </w:tcPr>
          <w:p>
            <w:pPr>
              <w:ind w:left="180"/>
              <w:spacing w:after="0"/>
              <w:rPr>
                <w:sz w:val="20"/>
                <w:szCs w:val="20"/>
                <w:color w:val="auto"/>
              </w:rPr>
            </w:pPr>
            <w:r>
              <w:rPr>
                <w:rFonts w:ascii="Arial" w:cs="Arial" w:eastAsia="Arial" w:hAnsi="Arial"/>
                <w:sz w:val="18"/>
                <w:szCs w:val="18"/>
                <w:color w:val="auto"/>
              </w:rPr>
              <w:t>Total deliveries</w:t>
            </w:r>
          </w:p>
        </w:tc>
        <w:tc>
          <w:tcPr>
            <w:tcW w:w="720" w:type="dxa"/>
            <w:vAlign w:val="bottom"/>
          </w:tcPr>
          <w:p>
            <w:pPr>
              <w:jc w:val="right"/>
              <w:spacing w:after="0"/>
              <w:rPr>
                <w:sz w:val="20"/>
                <w:szCs w:val="20"/>
                <w:color w:val="auto"/>
              </w:rPr>
            </w:pPr>
            <w:r>
              <w:rPr>
                <w:rFonts w:ascii="Arial" w:cs="Arial" w:eastAsia="Arial" w:hAnsi="Arial"/>
                <w:sz w:val="18"/>
                <w:szCs w:val="18"/>
                <w:color w:val="auto"/>
              </w:rPr>
              <w:t>2,707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8,086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Unaudited Backlog and Dealer Inventory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(Units)</w:t>
      </w:r>
    </w:p>
    <w:p>
      <w:pPr>
        <w:spacing w:after="0" w:line="20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4"/>
        </w:trPr>
        <w:tc>
          <w:tcPr>
            <w:tcW w:w="5740" w:type="dxa"/>
            <w:vAlign w:val="bottom"/>
          </w:tcPr>
          <w:p>
            <w:pPr>
              <w:spacing w:after="0"/>
              <w:rPr>
                <w:sz w:val="15"/>
                <w:szCs w:val="15"/>
                <w:color w:val="auto"/>
              </w:rPr>
            </w:pP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auto"/>
              </w:rPr>
              <w:t>5/28/2005</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5/29/2004</w:t>
            </w:r>
          </w:p>
        </w:tc>
        <w:tc>
          <w:tcPr>
            <w:tcW w:w="0" w:type="dxa"/>
            <w:vAlign w:val="bottom"/>
          </w:tcPr>
          <w:p>
            <w:pPr>
              <w:spacing w:after="0"/>
              <w:rPr>
                <w:sz w:val="1"/>
                <w:szCs w:val="1"/>
                <w:color w:val="auto"/>
              </w:rPr>
            </w:pPr>
          </w:p>
        </w:tc>
      </w:tr>
      <w:tr>
        <w:trPr>
          <w:trHeight w:val="95"/>
        </w:trPr>
        <w:tc>
          <w:tcPr>
            <w:tcW w:w="5740" w:type="dxa"/>
            <w:vAlign w:val="bottom"/>
            <w:vMerge w:val="restart"/>
          </w:tcPr>
          <w:p>
            <w:pPr>
              <w:spacing w:after="0"/>
              <w:rPr>
                <w:sz w:val="20"/>
                <w:szCs w:val="20"/>
                <w:color w:val="auto"/>
              </w:rPr>
            </w:pPr>
            <w:r>
              <w:rPr>
                <w:rFonts w:ascii="Arial" w:cs="Arial" w:eastAsia="Arial" w:hAnsi="Arial"/>
                <w:sz w:val="18"/>
                <w:szCs w:val="18"/>
                <w:color w:val="auto"/>
              </w:rPr>
              <w:t>Sales order backlog</w:t>
            </w: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Arial" w:cs="Arial" w:eastAsia="Arial" w:hAnsi="Arial"/>
                <w:sz w:val="18"/>
                <w:szCs w:val="18"/>
                <w:color w:val="auto"/>
              </w:rPr>
              <w:t>Class A gas</w:t>
            </w:r>
          </w:p>
        </w:tc>
        <w:tc>
          <w:tcPr>
            <w:tcW w:w="900" w:type="dxa"/>
            <w:vAlign w:val="bottom"/>
          </w:tcPr>
          <w:p>
            <w:pPr>
              <w:jc w:val="right"/>
              <w:spacing w:after="0"/>
              <w:rPr>
                <w:sz w:val="20"/>
                <w:szCs w:val="20"/>
                <w:color w:val="auto"/>
              </w:rPr>
            </w:pPr>
            <w:r>
              <w:rPr>
                <w:rFonts w:ascii="Arial" w:cs="Arial" w:eastAsia="Arial" w:hAnsi="Arial"/>
                <w:sz w:val="18"/>
                <w:szCs w:val="18"/>
                <w:color w:val="auto"/>
              </w:rPr>
              <w:t>566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2"/>
        </w:trPr>
        <w:tc>
          <w:tcPr>
            <w:tcW w:w="5740" w:type="dxa"/>
            <w:vAlign w:val="bottom"/>
          </w:tcPr>
          <w:p>
            <w:pPr>
              <w:ind w:left="100"/>
              <w:spacing w:after="0"/>
              <w:rPr>
                <w:sz w:val="20"/>
                <w:szCs w:val="20"/>
                <w:color w:val="auto"/>
              </w:rPr>
            </w:pPr>
            <w:r>
              <w:rPr>
                <w:rFonts w:ascii="Arial" w:cs="Arial" w:eastAsia="Arial" w:hAnsi="Arial"/>
                <w:sz w:val="18"/>
                <w:szCs w:val="18"/>
                <w:color w:val="auto"/>
              </w:rPr>
              <w:t>Class C</w:t>
            </w:r>
          </w:p>
        </w:tc>
        <w:tc>
          <w:tcPr>
            <w:tcW w:w="900" w:type="dxa"/>
            <w:vAlign w:val="bottom"/>
          </w:tcPr>
          <w:p>
            <w:pPr>
              <w:jc w:val="right"/>
              <w:spacing w:after="0"/>
              <w:rPr>
                <w:sz w:val="20"/>
                <w:szCs w:val="20"/>
                <w:color w:val="auto"/>
              </w:rPr>
            </w:pPr>
            <w:r>
              <w:rPr>
                <w:rFonts w:ascii="Arial" w:cs="Arial" w:eastAsia="Arial" w:hAnsi="Arial"/>
                <w:sz w:val="18"/>
                <w:szCs w:val="18"/>
                <w:color w:val="auto"/>
              </w:rPr>
              <w:t>834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110"/>
        </w:trPr>
        <w:tc>
          <w:tcPr>
            <w:tcW w:w="57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40" w:type="dxa"/>
            <w:vAlign w:val="bottom"/>
          </w:tcPr>
          <w:p>
            <w:pPr>
              <w:ind w:left="180"/>
              <w:spacing w:after="0"/>
              <w:rPr>
                <w:sz w:val="20"/>
                <w:szCs w:val="20"/>
                <w:color w:val="auto"/>
              </w:rPr>
            </w:pPr>
            <w:r>
              <w:rPr>
                <w:rFonts w:ascii="Arial" w:cs="Arial" w:eastAsia="Arial" w:hAnsi="Arial"/>
                <w:sz w:val="18"/>
                <w:szCs w:val="18"/>
                <w:color w:val="auto"/>
              </w:rPr>
              <w:t>Total backlog*</w:t>
            </w:r>
          </w:p>
        </w:tc>
        <w:tc>
          <w:tcPr>
            <w:tcW w:w="900" w:type="dxa"/>
            <w:vAlign w:val="bottom"/>
          </w:tcPr>
          <w:p>
            <w:pPr>
              <w:jc w:val="right"/>
              <w:spacing w:after="0"/>
              <w:rPr>
                <w:sz w:val="20"/>
                <w:szCs w:val="20"/>
                <w:color w:val="auto"/>
              </w:rPr>
            </w:pPr>
            <w:r>
              <w:rPr>
                <w:rFonts w:ascii="Arial" w:cs="Arial" w:eastAsia="Arial" w:hAnsi="Arial"/>
                <w:sz w:val="18"/>
                <w:szCs w:val="18"/>
                <w:color w:val="auto"/>
              </w:rPr>
              <w:t>1,523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approximate revenue dollars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(in thousands)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116,500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   214,400</w:t>
            </w: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Dealer inventory</w:t>
            </w:r>
          </w:p>
        </w:tc>
        <w:tc>
          <w:tcPr>
            <w:tcW w:w="900" w:type="dxa"/>
            <w:vAlign w:val="bottom"/>
          </w:tcPr>
          <w:p>
            <w:pPr>
              <w:jc w:val="right"/>
              <w:spacing w:after="0"/>
              <w:rPr>
                <w:sz w:val="20"/>
                <w:szCs w:val="20"/>
                <w:color w:val="auto"/>
              </w:rPr>
            </w:pPr>
            <w:r>
              <w:rPr>
                <w:rFonts w:ascii="Arial" w:cs="Arial" w:eastAsia="Arial" w:hAnsi="Arial"/>
                <w:sz w:val="18"/>
                <w:szCs w:val="18"/>
                <w:color w:val="auto"/>
              </w:rPr>
              <w:t>5,209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bl>
    <w:p>
      <w:pPr>
        <w:sectPr>
          <w:pgSz w:w="11900" w:h="16895" w:orient="portrait"/>
          <w:cols w:equalWidth="0" w:num="1">
            <w:col w:w="10219"/>
          </w:cols>
          <w:pgMar w:left="240" w:top="131" w:right="1440" w:bottom="0" w:gutter="0" w:footer="0" w:header="0"/>
        </w:sectPr>
      </w:pPr>
    </w:p>
    <w:bookmarkStart w:id="6" w:name="page7"/>
    <w:bookmarkEnd w:id="6"/>
    <w:p>
      <w:pPr>
        <w:ind w:left="-8" w:firstLine="8"/>
        <w:spacing w:after="0" w:line="332" w:lineRule="auto"/>
        <w:tabs>
          <w:tab w:leader="none" w:pos="1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includes in its backlog all accepted orders from dealers shippable within the next six months. Orders in backlog can be cancelled or postponed at the option of the purchaser at any time without penalty and, therefore, backlog may not necessarily be an accurate measure of future sales.</w:t>
      </w:r>
    </w:p>
    <w:p>
      <w:pPr>
        <w:spacing w:after="0" w:line="126"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1600200</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32"/>
      </w:cols>
      <w:pgMar w:left="248" w:top="59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2019-12-13T08:24:38Z</dcterms:created>
  <dcterms:modified xsi:type="dcterms:W3CDTF">2019-12-13T08:24:38Z</dcterms:modified>
</cp:coreProperties>
</file>