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June 24,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1040" w:type="dxa"/>
        <w:tblCellMar>
          <w:top w:w="0" w:type="dxa"/>
          <w:left w:w="0" w:type="dxa"/>
          <w:bottom w:w="0" w:type="dxa"/>
          <w:right w:w="0" w:type="dxa"/>
        </w:tblCellMar>
      </w:tblPr>
      <w:tr>
        <w:trPr>
          <w:trHeight w:val="256"/>
        </w:trPr>
        <w:tc>
          <w:tcPr>
            <w:tcW w:w="3280" w:type="dxa"/>
            <w:vAlign w:val="bottom"/>
          </w:tcPr>
          <w:p>
            <w:pPr>
              <w:jc w:val="center"/>
              <w:ind w:right="324"/>
              <w:spacing w:after="0"/>
              <w:rPr>
                <w:sz w:val="20"/>
                <w:szCs w:val="20"/>
                <w:color w:val="auto"/>
              </w:rPr>
            </w:pPr>
            <w:r>
              <w:rPr>
                <w:rFonts w:ascii="Arial" w:cs="Arial" w:eastAsia="Arial" w:hAnsi="Arial"/>
                <w:sz w:val="22"/>
                <w:szCs w:val="22"/>
                <w:color w:val="auto"/>
                <w:w w:val="90"/>
              </w:rPr>
              <w:t>Iowa</w:t>
            </w:r>
          </w:p>
        </w:tc>
        <w:tc>
          <w:tcPr>
            <w:tcW w:w="3180" w:type="dxa"/>
            <w:vAlign w:val="bottom"/>
          </w:tcPr>
          <w:p>
            <w:pPr>
              <w:jc w:val="right"/>
              <w:ind w:right="1222"/>
              <w:spacing w:after="0"/>
              <w:rPr>
                <w:sz w:val="20"/>
                <w:szCs w:val="20"/>
                <w:color w:val="auto"/>
              </w:rPr>
            </w:pPr>
            <w:r>
              <w:rPr>
                <w:rFonts w:ascii="Arial" w:cs="Arial" w:eastAsia="Arial" w:hAnsi="Arial"/>
                <w:sz w:val="22"/>
                <w:szCs w:val="22"/>
                <w:color w:val="auto"/>
              </w:rPr>
              <w:t>001-06403</w:t>
            </w:r>
          </w:p>
        </w:tc>
        <w:tc>
          <w:tcPr>
            <w:tcW w:w="2100" w:type="dxa"/>
            <w:vAlign w:val="bottom"/>
          </w:tcPr>
          <w:p>
            <w:pPr>
              <w:jc w:val="right"/>
              <w:ind w:right="24"/>
              <w:spacing w:after="0"/>
              <w:rPr>
                <w:sz w:val="20"/>
                <w:szCs w:val="20"/>
                <w:color w:val="auto"/>
              </w:rPr>
            </w:pPr>
            <w:r>
              <w:rPr>
                <w:rFonts w:ascii="Arial" w:cs="Arial" w:eastAsia="Arial" w:hAnsi="Arial"/>
                <w:sz w:val="22"/>
                <w:szCs w:val="22"/>
                <w:color w:val="auto"/>
              </w:rPr>
              <w:t>42-0802678</w:t>
            </w:r>
          </w:p>
        </w:tc>
      </w:tr>
      <w:tr>
        <w:trPr>
          <w:trHeight w:val="216"/>
        </w:trPr>
        <w:tc>
          <w:tcPr>
            <w:tcW w:w="3280" w:type="dxa"/>
            <w:vAlign w:val="bottom"/>
          </w:tcPr>
          <w:p>
            <w:pPr>
              <w:jc w:val="center"/>
              <w:ind w:right="324"/>
              <w:spacing w:after="0"/>
              <w:rPr>
                <w:sz w:val="20"/>
                <w:szCs w:val="20"/>
                <w:color w:val="auto"/>
              </w:rPr>
            </w:pPr>
            <w:r>
              <w:rPr>
                <w:rFonts w:ascii="Arial" w:cs="Arial" w:eastAsia="Arial" w:hAnsi="Arial"/>
                <w:sz w:val="18"/>
                <w:szCs w:val="18"/>
                <w:color w:val="auto"/>
                <w:w w:val="88"/>
              </w:rPr>
              <w:t>(State or Other Jurisdiction</w:t>
            </w:r>
          </w:p>
        </w:tc>
        <w:tc>
          <w:tcPr>
            <w:tcW w:w="3180" w:type="dxa"/>
            <w:vAlign w:val="bottom"/>
          </w:tcPr>
          <w:p>
            <w:pPr>
              <w:jc w:val="center"/>
              <w:ind w:right="302"/>
              <w:spacing w:after="0"/>
              <w:rPr>
                <w:sz w:val="20"/>
                <w:szCs w:val="20"/>
                <w:color w:val="auto"/>
              </w:rPr>
            </w:pPr>
            <w:r>
              <w:rPr>
                <w:rFonts w:ascii="Arial" w:cs="Arial" w:eastAsia="Arial" w:hAnsi="Arial"/>
                <w:sz w:val="18"/>
                <w:szCs w:val="18"/>
                <w:color w:val="auto"/>
                <w:w w:val="90"/>
              </w:rPr>
              <w:t>(Commission File Number)</w:t>
            </w: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304"/>
              <w:spacing w:after="0"/>
              <w:rPr>
                <w:sz w:val="20"/>
                <w:szCs w:val="20"/>
                <w:color w:val="auto"/>
              </w:rPr>
            </w:pPr>
            <w:r>
              <w:rPr>
                <w:rFonts w:ascii="Arial" w:cs="Arial" w:eastAsia="Arial" w:hAnsi="Arial"/>
                <w:sz w:val="18"/>
                <w:szCs w:val="18"/>
                <w:color w:val="auto"/>
                <w:w w:val="91"/>
              </w:rPr>
              <w:t>of Incorporation)</w:t>
            </w:r>
          </w:p>
        </w:tc>
        <w:tc>
          <w:tcPr>
            <w:tcW w:w="3180" w:type="dxa"/>
            <w:vAlign w:val="bottom"/>
          </w:tcPr>
          <w:p>
            <w:pPr>
              <w:spacing w:after="0"/>
              <w:rPr>
                <w:sz w:val="19"/>
                <w:szCs w:val="19"/>
                <w:color w:val="auto"/>
              </w:rPr>
            </w:pP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3280" w:type="dxa"/>
            <w:vAlign w:val="bottom"/>
          </w:tcPr>
          <w:p>
            <w:pPr>
              <w:jc w:val="center"/>
              <w:ind w:right="324"/>
              <w:spacing w:after="0"/>
              <w:rPr>
                <w:sz w:val="20"/>
                <w:szCs w:val="20"/>
                <w:color w:val="auto"/>
              </w:rPr>
            </w:pPr>
            <w:r>
              <w:rPr>
                <w:rFonts w:ascii="Arial" w:cs="Arial" w:eastAsia="Arial" w:hAnsi="Arial"/>
                <w:sz w:val="22"/>
                <w:szCs w:val="22"/>
                <w:color w:val="auto"/>
                <w:w w:val="88"/>
              </w:rPr>
              <w:t>P.O. Box 152, Forest City, Iowa</w:t>
            </w:r>
          </w:p>
        </w:tc>
        <w:tc>
          <w:tcPr>
            <w:tcW w:w="3180" w:type="dxa"/>
            <w:vAlign w:val="bottom"/>
          </w:tcPr>
          <w:p>
            <w:pPr>
              <w:spacing w:after="0"/>
              <w:rPr>
                <w:sz w:val="24"/>
                <w:szCs w:val="24"/>
                <w:color w:val="auto"/>
              </w:rPr>
            </w:pPr>
          </w:p>
        </w:tc>
        <w:tc>
          <w:tcPr>
            <w:tcW w:w="210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280" w:type="dxa"/>
            <w:vAlign w:val="bottom"/>
          </w:tcPr>
          <w:p>
            <w:pPr>
              <w:jc w:val="center"/>
              <w:ind w:right="324"/>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spacing w:after="0"/>
              <w:rPr>
                <w:sz w:val="19"/>
                <w:szCs w:val="19"/>
                <w:color w:val="auto"/>
              </w:rPr>
            </w:pP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19"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1300" w:right="940" w:hanging="1296"/>
        <w:spacing w:after="0" w:line="235" w:lineRule="auto"/>
        <w:tabs>
          <w:tab w:leader="none" w:pos="128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r>
        <w:rPr>
          <w:rFonts w:ascii="Arial" w:cs="Arial" w:eastAsia="Arial" w:hAnsi="Arial"/>
          <w:sz w:val="18"/>
          <w:szCs w:val="18"/>
          <w:b w:val="1"/>
          <w:bCs w:val="1"/>
          <w:color w:val="auto"/>
        </w:rPr>
        <w:t>.</w:t>
      </w:r>
    </w:p>
    <w:p>
      <w:pPr>
        <w:spacing w:after="0" w:line="199" w:lineRule="exact"/>
        <w:rPr>
          <w:sz w:val="24"/>
          <w:szCs w:val="24"/>
          <w:color w:val="auto"/>
        </w:rPr>
      </w:pPr>
    </w:p>
    <w:p>
      <w:pPr>
        <w:jc w:val="both"/>
        <w:ind w:firstLine="604"/>
        <w:spacing w:after="0" w:line="253" w:lineRule="auto"/>
        <w:tabs>
          <w:tab w:leader="none" w:pos="108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June 24, 2008,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upon the recommendation of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approved effective August 30, 2008, the beginning of the Company’s 2009 fiscal year, (i) the Officers Incentive Compensation Plan—Fiscal Period 2009 (the </w:t>
      </w:r>
      <w:r>
        <w:rPr>
          <w:rFonts w:ascii="Arial" w:cs="Arial" w:eastAsia="Arial" w:hAnsi="Arial"/>
          <w:sz w:val="18"/>
          <w:szCs w:val="18"/>
          <w:i w:val="1"/>
          <w:iCs w:val="1"/>
          <w:color w:val="auto"/>
        </w:rPr>
        <w:t>“2009 Incentive Compensation Plan”</w:t>
      </w:r>
      <w:r>
        <w:rPr>
          <w:rFonts w:ascii="Arial" w:cs="Arial" w:eastAsia="Arial" w:hAnsi="Arial"/>
          <w:sz w:val="18"/>
          <w:szCs w:val="18"/>
          <w:color w:val="auto"/>
        </w:rPr>
        <w:t xml:space="preserve">) and (ii) the Officers Long-Term Incentive Plan—Fiscal Three-Year Period 2009, 2010 and 2011 (the </w:t>
      </w:r>
      <w:r>
        <w:rPr>
          <w:rFonts w:ascii="Arial" w:cs="Arial" w:eastAsia="Arial" w:hAnsi="Arial"/>
          <w:sz w:val="18"/>
          <w:szCs w:val="18"/>
          <w:i w:val="1"/>
          <w:iCs w:val="1"/>
          <w:color w:val="auto"/>
        </w:rPr>
        <w:t>“LTIP 2009-2011”</w:t>
      </w:r>
      <w:r>
        <w:rPr>
          <w:rFonts w:ascii="Arial" w:cs="Arial" w:eastAsia="Arial" w:hAnsi="Arial"/>
          <w:sz w:val="18"/>
          <w:szCs w:val="18"/>
          <w:color w:val="auto"/>
        </w:rPr>
        <w:t xml:space="preserve">). Robert J. Olson (Chairman, Chief Executive Officer and President), Raymond M. Beebe (Vice President, General Counsel and Secretary), Sarah N. Nielsen (Vice President, Chief Financial Officer), William J. O’Leary (Vice President, Product Development) and Roger W. Martin (Vice President, Sales and Marketing) (collectively,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will participate in both the 2009 Incentive Compensation Plan and the LTIP 2009-2011.</w:t>
      </w:r>
    </w:p>
    <w:p>
      <w:pPr>
        <w:spacing w:after="0" w:line="201"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2009 Incentive Compensation Plan provides for quarterly incentive awards based upon financial performance of the Company. The purpose of the 2009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2009 Incentive Compensation Plan is an annual program that provides for quarterly cumulative measurements of financial performance and an opportunity for quarterly incentive payments based on financial results measured against predetermined financial performance targets established by the Board of Directors. The Board of Directors, upon recommendation of the Committee, established diluted earnings per share and return on invested capital as the key financial performance measurements under the 2009 Incentive Compensation Plan. Under the 2009 Incentive Compensation Plan, the amount of the Named Executive Officers’ incentive compensation for the quarter shall be in direct proportion to the Company’s financial performance expressed as a percentage (Financial Factor) against the base salary bonus (Target) for each participant. The Named Executive Officers must be employed by the Company at the end of the fiscal period for any quarterly incentive payment and as of the end of the fiscal year to be eligible for any Company holdback payment discussed below and for the restricted stock grant portion of incentive awards under the 2009 Incentive Compensation Plan discussed below, except as may be waived by the Committee for normal retirement and disability.</w:t>
      </w:r>
    </w:p>
    <w:p>
      <w:pPr>
        <w:sectPr>
          <w:pgSz w:w="11900" w:h="16838" w:orient="portrait"/>
          <w:cols w:equalWidth="0" w:num="1">
            <w:col w:w="11420"/>
          </w:cols>
          <w:pgMar w:left="240" w:top="786" w:right="239" w:bottom="0" w:gutter="0" w:footer="0" w:header="0"/>
        </w:sectPr>
      </w:pPr>
    </w:p>
    <w:bookmarkStart w:id="1" w:name="page2"/>
    <w:bookmarkEnd w:id="1"/>
    <w:p>
      <w:pPr>
        <w:jc w:val="both"/>
        <w:ind w:firstLine="648"/>
        <w:spacing w:after="0" w:line="290" w:lineRule="auto"/>
        <w:rPr>
          <w:sz w:val="20"/>
          <w:szCs w:val="20"/>
          <w:color w:val="auto"/>
        </w:rPr>
      </w:pPr>
      <w:r>
        <w:rPr>
          <w:rFonts w:ascii="Arial" w:cs="Arial" w:eastAsia="Arial" w:hAnsi="Arial"/>
          <w:sz w:val="16"/>
          <w:szCs w:val="16"/>
          <w:color w:val="auto"/>
        </w:rPr>
        <w:t>The 2009 Incentive Compensation Plan provides for a bonus (Target) of 90% (for the Chief Executive Officer and President) and 60% (in the case of the other Named Executive Officers) of base salary, respectively, comprised of 2/3 cash and 1/3 restricted stock, at 100% achievement of the financial objectives. Fifty percent (50%) of the quarterly calculated cash incentive is paid within 45 days after the close of each quarter. The remaining fifty percent (50%) of the quarterly calculated cash incentive is held back and carried forward into the next quarter on a cumulative basis. At the end of the fourth fiscal quarter (fiscal year end), a final year-end accounting is made prior to the payment of any remaining incentive holdback for the year.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Pursuant to the 2009 Incentive Compensation Plan, the Committee reserves the right to modify the Financial Factor used in determining the incentive compensation by plus or minus 20% based upon strategic organizational goals and priorities established by the Board of Directors. The Named Executive Officer must be employed at the end of the fiscal year to be eligible for the strategic modification. Strategic performance is evaluated annually by the Board of Directors. Strategic measurements may focus on one or more of the following strategic factors, but are not limited to those stated: revenue growth; market share; product quality; product introductions; customer satisfaction; inventory management; technical innovation; and ethical business practices.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threshold, target and maximum performance levels for which bonuses will be paid pursuant to the 2009 Incentive Compensation Plan and the strategic factors used in determining incentive awards thereunder have not yet been established by the Committee or the Board.</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the event of a “Change in Control” (as defined in the 2009 Incentive Compensation Plan) participants are entitled to receive full annual awards (including the annual supplementary cash match payment described above) within 15 days of the effective date of the Change of Control based on the Committee’s estimate of the Company’s financial performance through the end of the year in which such Change in Control occurs.</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Named Executive Officers are also eligible for incentive awards under the LTIP 2009-2011. The purpose of the LTIP 2009-2011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2009-2011 provides for incentive awards consisting of performance stock grants made in restricted shares of the Company’s Common Stock. The awards under the LTIP 2009-2011 are based upon the Company’s financial performance as measured against the Company’s financial results at the end of the three year fiscal period. The Named Executive Officers must be employed by the Company at the end of fiscal 2011 to be eligible for an incentive award under the LTIP 2009-2011, except upon a Change in Control, as described below, or as waived by the Committee for normal retirement and disability.</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LTIP 2009-2011, the amount of the participants’ long-term incentive award for the three-year fiscal period is in direct proportion to the Company’s financial performance expressed as a percentage (Financial Factor) against award targets for each participant determined prior to the commencement of the three-year fiscal period. The Company’s financial results for the three-year fiscal period are used in determining the Financial Factor to be used for that plan period when calculating the participants’ long-term incentive awards. Restricted stock earned under the 2009-2011 LTIP and approved by the Committee will be awarded as soon as practical after the Company’s year-end accounting following the 2011 fiscal year end. The price of any restricted stock award will be the closing market price of the Company’s Common Stock on the date in which the grant is approved by the Committee. The stock award restriction will be removed one year after the grant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long-term incentive for the Named Executive Officers provides for an opportunity of 25% of the annualized base salary (Target) to be awarded in restricted stock at 100% achievement of the financial long-term objectives. The annualized base salary figure used is the salary in place for each participant as of January 2009. The resultant incentive award (at 100% of the three-year fiscal management plan) will be adjusted up or down as determined by actual financial performance expressed as a percentage (Financial Factor) at the end of the three-year fiscal period.</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2009-2011 have not yet been established by the Committee or the Board.</w:t>
      </w:r>
    </w:p>
    <w:p>
      <w:pPr>
        <w:spacing w:after="0" w:line="18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In the event of a “Change in Control” (as defined in the LTIP 2009-2011) participants are entitled to receive a full three-year plan award within 15 days of the effective date based on the Committee’s estimate of the Company’s financial performance through the end of the LTIP 2009-2011 three-year fiscal period.</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Reference is made to each of the 2009 Incentive Compensation Plan and the LTIP 2009-2011 filed as Exhibits 99.1 and 99.2, respectively, to this Report and are incorporated herein by this reference.</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1600"/>
        <w:spacing w:after="0"/>
        <w:tabs>
          <w:tab w:leader="none" w:pos="2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51" w:lineRule="exact"/>
        <w:rPr>
          <w:sz w:val="20"/>
          <w:szCs w:val="20"/>
          <w:color w:val="auto"/>
        </w:rPr>
      </w:pPr>
    </w:p>
    <w:p>
      <w:pPr>
        <w:ind w:left="1760"/>
        <w:spacing w:after="0"/>
        <w:tabs>
          <w:tab w:leader="none" w:pos="2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Officers Incentive Compensation Plan—Fiscal Period 2009</w:t>
      </w:r>
    </w:p>
    <w:p>
      <w:pPr>
        <w:spacing w:after="0" w:line="158" w:lineRule="exact"/>
        <w:rPr>
          <w:sz w:val="20"/>
          <w:szCs w:val="20"/>
          <w:color w:val="auto"/>
        </w:rPr>
      </w:pPr>
    </w:p>
    <w:p>
      <w:pPr>
        <w:ind w:left="1760"/>
        <w:spacing w:after="0"/>
        <w:tabs>
          <w:tab w:leader="none" w:pos="25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Officers Long-Term Incentive Plan—Fiscal Three-Year Period 2009, 2010 and 2011</w:t>
      </w:r>
    </w:p>
    <w:p>
      <w:pPr>
        <w:sectPr>
          <w:pgSz w:w="11900" w:h="16838" w:orient="portrait"/>
          <w:cols w:equalWidth="0" w:num="1">
            <w:col w:w="11420"/>
          </w:cols>
          <w:pgMar w:left="240" w:top="347" w:right="239" w:bottom="971"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20" w:type="dxa"/>
            <w:vAlign w:val="bottom"/>
          </w:tcPr>
          <w:p>
            <w:pPr>
              <w:spacing w:after="0"/>
              <w:rPr>
                <w:sz w:val="20"/>
                <w:szCs w:val="20"/>
                <w:color w:val="auto"/>
              </w:rPr>
            </w:pPr>
            <w:r>
              <w:rPr>
                <w:rFonts w:ascii="Arial" w:cs="Arial" w:eastAsia="Arial" w:hAnsi="Arial"/>
                <w:sz w:val="18"/>
                <w:szCs w:val="18"/>
                <w:color w:val="auto"/>
              </w:rPr>
              <w:t>Date: August 14, 2008</w:t>
            </w:r>
          </w:p>
        </w:tc>
        <w:tc>
          <w:tcPr>
            <w:tcW w:w="6460" w:type="dxa"/>
            <w:vAlign w:val="bottom"/>
            <w:gridSpan w:val="3"/>
          </w:tcPr>
          <w:p>
            <w:pPr>
              <w:ind w:left="218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8"/>
        </w:trPr>
        <w:tc>
          <w:tcPr>
            <w:tcW w:w="3820" w:type="dxa"/>
            <w:vAlign w:val="bottom"/>
          </w:tcPr>
          <w:p>
            <w:pPr>
              <w:spacing w:after="0"/>
              <w:rPr>
                <w:sz w:val="24"/>
                <w:szCs w:val="24"/>
                <w:color w:val="auto"/>
              </w:rPr>
            </w:pPr>
          </w:p>
        </w:tc>
        <w:tc>
          <w:tcPr>
            <w:tcW w:w="6460" w:type="dxa"/>
            <w:vAlign w:val="bottom"/>
            <w:gridSpan w:val="3"/>
          </w:tcPr>
          <w:p>
            <w:pPr>
              <w:ind w:left="2180"/>
              <w:spacing w:after="0"/>
              <w:rPr>
                <w:sz w:val="20"/>
                <w:szCs w:val="20"/>
                <w:color w:val="auto"/>
              </w:rPr>
            </w:pPr>
            <w:r>
              <w:rPr>
                <w:rFonts w:ascii="Arial" w:cs="Arial" w:eastAsia="Arial" w:hAnsi="Arial"/>
                <w:sz w:val="18"/>
                <w:szCs w:val="18"/>
                <w:color w:val="auto"/>
              </w:rPr>
              <w:t>By:  /s/ Robert J. Olson</w:t>
            </w:r>
          </w:p>
        </w:tc>
      </w:tr>
      <w:tr>
        <w:trPr>
          <w:trHeight w:val="202"/>
        </w:trPr>
        <w:tc>
          <w:tcPr>
            <w:tcW w:w="38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w:t>
            </w:r>
          </w:p>
        </w:tc>
        <w:tc>
          <w:tcPr>
            <w:tcW w:w="328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Robert J. Olson</w:t>
            </w:r>
          </w:p>
        </w:tc>
      </w:tr>
      <w:tr>
        <w:trPr>
          <w:trHeight w:val="216"/>
        </w:trPr>
        <w:tc>
          <w:tcPr>
            <w:tcW w:w="3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140"/>
              <w:spacing w:after="0"/>
              <w:rPr>
                <w:sz w:val="20"/>
                <w:szCs w:val="20"/>
                <w:color w:val="auto"/>
              </w:rPr>
            </w:pPr>
            <w:r>
              <w:rPr>
                <w:rFonts w:ascii="Arial" w:cs="Arial" w:eastAsia="Arial" w:hAnsi="Arial"/>
                <w:sz w:val="18"/>
                <w:szCs w:val="18"/>
                <w:color w:val="auto"/>
                <w:w w:val="98"/>
              </w:rPr>
              <w:t>Chairman of the Board, Chief Executive</w:t>
            </w:r>
          </w:p>
        </w:tc>
      </w:tr>
      <w:tr>
        <w:trPr>
          <w:trHeight w:val="222"/>
        </w:trPr>
        <w:tc>
          <w:tcPr>
            <w:tcW w:w="38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2440"/>
        <w:spacing w:after="0"/>
        <w:tabs>
          <w:tab w:leader="none" w:pos="33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51" w:lineRule="exact"/>
        <w:rPr>
          <w:sz w:val="20"/>
          <w:szCs w:val="20"/>
          <w:color w:val="auto"/>
        </w:rPr>
      </w:pPr>
    </w:p>
    <w:p>
      <w:pPr>
        <w:ind w:left="2600"/>
        <w:spacing w:after="0"/>
        <w:tabs>
          <w:tab w:leader="none" w:pos="3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Officers Incentive Compensation Plan—Fiscal Period 2009</w:t>
      </w:r>
    </w:p>
    <w:p>
      <w:pPr>
        <w:spacing w:after="0" w:line="158" w:lineRule="exact"/>
        <w:rPr>
          <w:sz w:val="20"/>
          <w:szCs w:val="20"/>
          <w:color w:val="auto"/>
        </w:rPr>
      </w:pPr>
    </w:p>
    <w:p>
      <w:pPr>
        <w:ind w:left="2600"/>
        <w:spacing w:after="0"/>
        <w:tabs>
          <w:tab w:leader="none" w:pos="33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Officers Long-Term Incentive Plan—Fiscal Three-Year Period 2009, 2010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1775460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1074420</wp:posOffset>
            </wp:positionV>
            <wp:extent cx="2470150" cy="934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GROUP A – OFFICERS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PERIOD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1016635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Period 2009</w:t>
      </w:r>
    </w:p>
    <w:p>
      <w:pPr>
        <w:spacing w:after="0" w:line="200" w:lineRule="exact"/>
        <w:rPr>
          <w:sz w:val="20"/>
          <w:szCs w:val="20"/>
          <w:color w:val="auto"/>
        </w:rPr>
      </w:pPr>
    </w:p>
    <w:p>
      <w:pPr>
        <w:spacing w:after="0" w:line="229" w:lineRule="exact"/>
        <w:rPr>
          <w:sz w:val="20"/>
          <w:szCs w:val="20"/>
          <w:color w:val="auto"/>
        </w:rPr>
      </w:pPr>
    </w:p>
    <w:p>
      <w:pPr>
        <w:ind w:left="340" w:right="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Incentive Compensation Plan (the “Plan”) is to promote the growth and profitability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Winnebago Industries, Inc. (the “Company”) by providing its officers with an incentive to achieve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980" w:right="700" w:hanging="324"/>
        <w:spacing w:after="0" w:line="310"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year.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b w:val="1"/>
          <w:bCs w:val="1"/>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plan year.</w:t>
      </w:r>
    </w:p>
    <w:p>
      <w:pPr>
        <w:spacing w:after="0" w:line="225" w:lineRule="exact"/>
        <w:rPr>
          <w:rFonts w:ascii="Arial" w:cs="Arial" w:eastAsia="Arial" w:hAnsi="Arial"/>
          <w:sz w:val="18"/>
          <w:szCs w:val="18"/>
          <w:color w:val="auto"/>
        </w:rPr>
      </w:pPr>
    </w:p>
    <w:p>
      <w:pPr>
        <w:jc w:val="both"/>
        <w:ind w:left="980" w:right="40" w:hanging="324"/>
        <w:spacing w:after="0" w:line="259"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188" w:lineRule="exact"/>
        <w:rPr>
          <w:rFonts w:ascii="Arial" w:cs="Arial" w:eastAsia="Arial" w:hAnsi="Arial"/>
          <w:sz w:val="18"/>
          <w:szCs w:val="18"/>
          <w:color w:val="auto"/>
        </w:rPr>
      </w:pPr>
    </w:p>
    <w:p>
      <w:pPr>
        <w:ind w:left="340" w:right="140" w:hanging="332"/>
        <w:spacing w:after="0" w:line="339"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incentive award is based upon financial performance of the Corporation. The Plan is an annual program that provides for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cumulative measurements of financial performance and an opportunity for quarterly incentive payment based on performance results.</w:t>
      </w:r>
    </w:p>
    <w:p>
      <w:pPr>
        <w:sectPr>
          <w:pgSz w:w="11900" w:h="16838" w:orient="portrait"/>
          <w:cols w:equalWidth="0" w:num="1">
            <w:col w:w="11420"/>
          </w:cols>
          <w:pgMar w:left="240" w:top="355" w:right="239" w:bottom="0" w:gutter="0" w:footer="0" w:header="0"/>
        </w:sectPr>
      </w:pPr>
    </w:p>
    <w:bookmarkStart w:id="4" w:name="page5"/>
    <w:bookmarkEnd w:id="4"/>
    <w:p>
      <w:pPr>
        <w:ind w:left="332" w:right="400"/>
        <w:spacing w:after="0" w:line="306" w:lineRule="auto"/>
        <w:rPr>
          <w:sz w:val="20"/>
          <w:szCs w:val="20"/>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2" w:right="220" w:hanging="332"/>
        <w:spacing w:after="0" w:line="301"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amount of the participants’ incentive compensation for the quarter shall be in direct proportion to the financial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63" w:lineRule="exact"/>
        <w:rPr>
          <w:rFonts w:ascii="Arial" w:cs="Arial" w:eastAsia="Arial" w:hAnsi="Arial"/>
          <w:sz w:val="16"/>
          <w:szCs w:val="16"/>
          <w:color w:val="auto"/>
        </w:rPr>
      </w:pPr>
    </w:p>
    <w:p>
      <w:pPr>
        <w:jc w:val="both"/>
        <w:ind w:left="332" w:right="60"/>
        <w:spacing w:after="0" w:line="259" w:lineRule="auto"/>
        <w:rPr>
          <w:rFonts w:ascii="Arial" w:cs="Arial" w:eastAsia="Arial" w:hAnsi="Arial"/>
          <w:sz w:val="16"/>
          <w:szCs w:val="16"/>
          <w:color w:val="auto"/>
        </w:rPr>
      </w:pPr>
      <w:r>
        <w:rPr>
          <w:rFonts w:ascii="Arial" w:cs="Arial" w:eastAsia="Arial" w:hAnsi="Arial"/>
          <w:sz w:val="18"/>
          <w:szCs w:val="18"/>
          <w:color w:val="auto"/>
        </w:rPr>
        <w:t>50% of the quarterly calculated cash incentive will be paid within 45 days after the close of the fiscal quarter. The remaining 50% of the quarterly calculated cash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94" w:lineRule="exact"/>
        <w:rPr>
          <w:rFonts w:ascii="Arial" w:cs="Arial" w:eastAsia="Arial" w:hAnsi="Arial"/>
          <w:sz w:val="16"/>
          <w:szCs w:val="16"/>
          <w:color w:val="auto"/>
        </w:rPr>
      </w:pPr>
    </w:p>
    <w:p>
      <w:pPr>
        <w:ind w:left="332" w:right="300"/>
        <w:spacing w:after="0" w:line="284" w:lineRule="auto"/>
        <w:rPr>
          <w:rFonts w:ascii="Arial" w:cs="Arial" w:eastAsia="Arial" w:hAnsi="Arial"/>
          <w:sz w:val="16"/>
          <w:szCs w:val="16"/>
          <w:color w:val="auto"/>
        </w:rPr>
      </w:pPr>
      <w:r>
        <w:rPr>
          <w:rFonts w:ascii="Arial" w:cs="Arial" w:eastAsia="Arial" w:hAnsi="Arial"/>
          <w:sz w:val="16"/>
          <w:szCs w:val="16"/>
          <w:color w:val="auto"/>
        </w:rPr>
        <w:t>The incentive for the executive officers except for the President and the Chief Executive Officer, provides for a 60% incentive (Target) opportunity, comprised of a mix of (2/3) cash and (1/3) restricted stock at 100% achievement of the financial objectives. The incentive for the Chief Executive Officer provides for a 90% incentive (Target) opportunity expressed as a percentage of base salary comprised of a mix of (2/3) cash and (1/3) restricted stock at</w:t>
      </w:r>
    </w:p>
    <w:p>
      <w:pPr>
        <w:spacing w:after="0" w:line="1" w:lineRule="exact"/>
        <w:rPr>
          <w:rFonts w:ascii="Arial" w:cs="Arial" w:eastAsia="Arial" w:hAnsi="Arial"/>
          <w:sz w:val="16"/>
          <w:szCs w:val="16"/>
          <w:color w:val="auto"/>
        </w:rPr>
      </w:pPr>
    </w:p>
    <w:p>
      <w:pPr>
        <w:ind w:left="332" w:right="140"/>
        <w:spacing w:after="0" w:line="261" w:lineRule="auto"/>
        <w:rPr>
          <w:rFonts w:ascii="Arial" w:cs="Arial" w:eastAsia="Arial" w:hAnsi="Arial"/>
          <w:sz w:val="16"/>
          <w:szCs w:val="16"/>
          <w:color w:val="auto"/>
        </w:rPr>
      </w:pPr>
      <w:r>
        <w:rPr>
          <w:rFonts w:ascii="Arial" w:cs="Arial" w:eastAsia="Arial" w:hAnsi="Arial"/>
          <w:sz w:val="18"/>
          <w:szCs w:val="18"/>
          <w:color w:val="auto"/>
        </w:rPr>
        <w:t>100% achievement of the financial objectives respectively. The Committee delegates to the CEO the authority to establish the incentive (Target) for officers other than executive officers subject to the provisions set forth in this Plan.</w:t>
      </w:r>
    </w:p>
    <w:p>
      <w:pPr>
        <w:spacing w:after="0" w:line="191" w:lineRule="exact"/>
        <w:rPr>
          <w:rFonts w:ascii="Arial" w:cs="Arial" w:eastAsia="Arial" w:hAnsi="Arial"/>
          <w:sz w:val="16"/>
          <w:szCs w:val="16"/>
          <w:color w:val="auto"/>
        </w:rPr>
      </w:pPr>
    </w:p>
    <w:p>
      <w:pPr>
        <w:ind w:left="332" w:right="400"/>
        <w:spacing w:after="0" w:line="268" w:lineRule="auto"/>
        <w:rPr>
          <w:rFonts w:ascii="Arial" w:cs="Arial" w:eastAsia="Arial" w:hAnsi="Arial"/>
          <w:sz w:val="16"/>
          <w:szCs w:val="16"/>
          <w:color w:val="auto"/>
        </w:rPr>
      </w:pPr>
      <w:r>
        <w:rPr>
          <w:rFonts w:ascii="Arial" w:cs="Arial" w:eastAsia="Arial" w:hAnsi="Arial"/>
          <w:sz w:val="18"/>
          <w:szCs w:val="18"/>
          <w:color w:val="auto"/>
        </w:rPr>
        <w:t>A participant must be employed by Winnebago Industries, Inc. at the end of the fiscal year to be eligible for any previous quarterly holdback allocations except as waived by the Committee for normal retirement and disability.</w:t>
      </w:r>
    </w:p>
    <w:p>
      <w:pPr>
        <w:spacing w:after="0" w:line="179" w:lineRule="exact"/>
        <w:rPr>
          <w:rFonts w:ascii="Arial" w:cs="Arial" w:eastAsia="Arial" w:hAnsi="Arial"/>
          <w:sz w:val="16"/>
          <w:szCs w:val="16"/>
          <w:color w:val="auto"/>
        </w:rPr>
      </w:pPr>
    </w:p>
    <w:p>
      <w:pPr>
        <w:ind w:left="332" w:right="60" w:hanging="332"/>
        <w:spacing w:after="0" w:line="262"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Strategic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Human Resources Committee, on an annual basis, coordinates an evaluation of previously identified specific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organizational goals and priorities established by the Board of Directors. A formal written evaluation document is completed annually by the members of the Winnebago Industries Board of Directors and an overall measurement determined.</w:t>
      </w:r>
    </w:p>
    <w:p>
      <w:pPr>
        <w:spacing w:after="0" w:line="192" w:lineRule="exact"/>
        <w:rPr>
          <w:rFonts w:ascii="Arial" w:cs="Arial" w:eastAsia="Arial" w:hAnsi="Arial"/>
          <w:sz w:val="18"/>
          <w:szCs w:val="18"/>
          <w:color w:val="auto"/>
        </w:rPr>
      </w:pPr>
    </w:p>
    <w:p>
      <w:pPr>
        <w:ind w:left="332"/>
        <w:spacing w:after="0" w:line="259" w:lineRule="auto"/>
        <w:rPr>
          <w:rFonts w:ascii="Arial" w:cs="Arial" w:eastAsia="Arial" w:hAnsi="Arial"/>
          <w:sz w:val="18"/>
          <w:szCs w:val="18"/>
          <w:color w:val="auto"/>
        </w:rPr>
      </w:pPr>
      <w:r>
        <w:rPr>
          <w:rFonts w:ascii="Arial" w:cs="Arial" w:eastAsia="Arial" w:hAnsi="Arial"/>
          <w:sz w:val="18"/>
          <w:szCs w:val="18"/>
          <w:color w:val="auto"/>
        </w:rPr>
        <w:t>The Human Resources Committee may adjust the core incentive eligibility by plus or minus 20% as determined by the formal written evaluation results of those strategic organizational goals and priorities. A participant shall be eligible for the strategic modification only if such participant is actively employed by at the end of the fiscal year.</w:t>
      </w:r>
    </w:p>
    <w:p>
      <w:pPr>
        <w:spacing w:after="0" w:line="194" w:lineRule="exact"/>
        <w:rPr>
          <w:sz w:val="20"/>
          <w:szCs w:val="20"/>
          <w:color w:val="auto"/>
        </w:rPr>
      </w:pPr>
    </w:p>
    <w:p>
      <w:pPr>
        <w:ind w:left="332" w:right="480"/>
        <w:spacing w:after="0" w:line="268" w:lineRule="auto"/>
        <w:rPr>
          <w:sz w:val="20"/>
          <w:szCs w:val="20"/>
          <w:color w:val="auto"/>
        </w:rPr>
      </w:pPr>
      <w:r>
        <w:rPr>
          <w:rFonts w:ascii="Arial" w:cs="Arial" w:eastAsia="Arial" w:hAnsi="Arial"/>
          <w:sz w:val="18"/>
          <w:szCs w:val="18"/>
          <w:color w:val="auto"/>
        </w:rPr>
        <w:t>Strategic goals and priorities selected by the Board of Directors may focus on one or more of the following strategic factors but are not limited to those stated:</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552"/>
        <w:spacing w:after="0"/>
        <w:rPr>
          <w:sz w:val="20"/>
          <w:szCs w:val="20"/>
          <w:color w:val="auto"/>
        </w:rPr>
      </w:pPr>
      <w:r>
        <w:rPr>
          <w:rFonts w:ascii="Arial" w:cs="Arial" w:eastAsia="Arial" w:hAnsi="Arial"/>
          <w:sz w:val="18"/>
          <w:szCs w:val="18"/>
          <w:color w:val="auto"/>
        </w:rPr>
        <w:t>Revenue Growth</w:t>
      </w:r>
    </w:p>
    <w:p>
      <w:pPr>
        <w:spacing w:after="0" w:line="15" w:lineRule="exact"/>
        <w:rPr>
          <w:sz w:val="20"/>
          <w:szCs w:val="20"/>
          <w:color w:val="auto"/>
        </w:rPr>
      </w:pPr>
    </w:p>
    <w:p>
      <w:pPr>
        <w:ind w:left="1552"/>
        <w:spacing w:after="0"/>
        <w:rPr>
          <w:sz w:val="20"/>
          <w:szCs w:val="20"/>
          <w:color w:val="auto"/>
        </w:rPr>
      </w:pPr>
      <w:r>
        <w:rPr>
          <w:rFonts w:ascii="Arial" w:cs="Arial" w:eastAsia="Arial" w:hAnsi="Arial"/>
          <w:sz w:val="18"/>
          <w:szCs w:val="18"/>
          <w:color w:val="auto"/>
        </w:rPr>
        <w:t>Market Share</w:t>
      </w:r>
    </w:p>
    <w:p>
      <w:pPr>
        <w:spacing w:after="0" w:line="9" w:lineRule="exact"/>
        <w:rPr>
          <w:sz w:val="20"/>
          <w:szCs w:val="20"/>
          <w:color w:val="auto"/>
        </w:rPr>
      </w:pPr>
    </w:p>
    <w:p>
      <w:pPr>
        <w:ind w:left="1552"/>
        <w:spacing w:after="0"/>
        <w:rPr>
          <w:sz w:val="20"/>
          <w:szCs w:val="20"/>
          <w:color w:val="auto"/>
        </w:rPr>
      </w:pPr>
      <w:r>
        <w:rPr>
          <w:rFonts w:ascii="Arial" w:cs="Arial" w:eastAsia="Arial" w:hAnsi="Arial"/>
          <w:sz w:val="18"/>
          <w:szCs w:val="18"/>
          <w:color w:val="auto"/>
        </w:rPr>
        <w:t>Product Quality</w:t>
      </w:r>
    </w:p>
    <w:p>
      <w:pPr>
        <w:spacing w:after="0" w:line="9" w:lineRule="exact"/>
        <w:rPr>
          <w:sz w:val="20"/>
          <w:szCs w:val="20"/>
          <w:color w:val="auto"/>
        </w:rPr>
      </w:pPr>
    </w:p>
    <w:p>
      <w:pPr>
        <w:ind w:left="1552"/>
        <w:spacing w:after="0"/>
        <w:rPr>
          <w:sz w:val="20"/>
          <w:szCs w:val="20"/>
          <w:color w:val="auto"/>
        </w:rPr>
      </w:pPr>
      <w:r>
        <w:rPr>
          <w:rFonts w:ascii="Arial" w:cs="Arial" w:eastAsia="Arial" w:hAnsi="Arial"/>
          <w:sz w:val="16"/>
          <w:szCs w:val="16"/>
          <w:color w:val="auto"/>
        </w:rPr>
        <w:t>Product Introduction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Inventory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Ethical Business Practices</w:t>
      </w:r>
    </w:p>
    <w:p>
      <w:pPr>
        <w:spacing w:after="0" w:line="211" w:lineRule="exact"/>
        <w:rPr>
          <w:sz w:val="20"/>
          <w:szCs w:val="20"/>
          <w:color w:val="auto"/>
        </w:rPr>
      </w:pPr>
    </w:p>
    <w:p>
      <w:pPr>
        <w:sectPr>
          <w:pgSz w:w="11900" w:h="16838" w:orient="portrait"/>
          <w:cols w:equalWidth="0" w:num="2">
            <w:col w:w="5132" w:space="720"/>
            <w:col w:w="5560"/>
          </w:cols>
          <w:pgMar w:left="248" w:top="131" w:right="239" w:bottom="0" w:gutter="0" w:footer="0" w:header="0"/>
          <w:type w:val="continuous"/>
        </w:sectPr>
      </w:pPr>
    </w:p>
    <w:p>
      <w:pPr>
        <w:spacing w:after="0" w:line="36" w:lineRule="exact"/>
        <w:rPr>
          <w:sz w:val="20"/>
          <w:szCs w:val="20"/>
          <w:color w:val="auto"/>
        </w:rPr>
      </w:pPr>
    </w:p>
    <w:p>
      <w:pPr>
        <w:ind w:left="332" w:hanging="332"/>
        <w:spacing w:after="0" w:line="291"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One-third (1/3) of the officers’ earned incentive for the year, pursuant to Paragraph 5 of the Plan will be awarded in the form of a grant</w:t>
      </w:r>
      <w:r>
        <w:rPr>
          <w:rFonts w:ascii="Arial" w:cs="Arial" w:eastAsia="Arial" w:hAnsi="Arial"/>
          <w:sz w:val="16"/>
          <w:szCs w:val="16"/>
          <w:b w:val="1"/>
          <w:bCs w:val="1"/>
          <w:color w:val="auto"/>
        </w:rPr>
        <w:t xml:space="preserve"> </w:t>
      </w:r>
      <w:r>
        <w:rPr>
          <w:rFonts w:ascii="Arial" w:cs="Arial" w:eastAsia="Arial" w:hAnsi="Arial"/>
          <w:sz w:val="16"/>
          <w:szCs w:val="16"/>
          <w:color w:val="auto"/>
        </w:rPr>
        <w:t>made in restricted shares of common stock to encourage stock ownership and promote the long-term growth and profitability of Winnebago Industries, Inc. A participant shall be eligible for the stock award only if such participant is actively employed at the end of the fiscal year. The annual restricted stock grant shall be awarded as soon as practical after the final year-end compensation accounting and shall be approved by the Board of Directors Human Resource Committee in October following fiscal year end. The price of the stock shall be the closing market price of the Company’s common stock on the date in which the grant is approved by the Committee. The stock grant will be considered as taxable on the date of such grant. The stock award restriction shall be removed one year following date of grant.</w:t>
      </w:r>
    </w:p>
    <w:p>
      <w:pPr>
        <w:spacing w:after="0" w:line="167" w:lineRule="exact"/>
        <w:rPr>
          <w:rFonts w:ascii="Arial" w:cs="Arial" w:eastAsia="Arial" w:hAnsi="Arial"/>
          <w:sz w:val="16"/>
          <w:szCs w:val="16"/>
          <w:color w:val="auto"/>
        </w:rPr>
      </w:pPr>
    </w:p>
    <w:p>
      <w:pPr>
        <w:ind w:left="332" w:right="120" w:hanging="332"/>
        <w:spacing w:after="0" w:line="254"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Company undergoes a change in control during the Plan year including, without limitation, an acquisition or merger</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95" w:lineRule="exact"/>
        <w:rPr>
          <w:rFonts w:ascii="Arial" w:cs="Arial" w:eastAsia="Arial" w:hAnsi="Arial"/>
          <w:sz w:val="18"/>
          <w:szCs w:val="18"/>
          <w:color w:val="auto"/>
        </w:rPr>
      </w:pPr>
    </w:p>
    <w:p>
      <w:pPr>
        <w:ind w:left="332" w:right="40"/>
        <w:spacing w:after="0" w:line="290" w:lineRule="auto"/>
        <w:rPr>
          <w:rFonts w:ascii="Arial" w:cs="Arial" w:eastAsia="Arial" w:hAnsi="Arial"/>
          <w:sz w:val="18"/>
          <w:szCs w:val="18"/>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Incentive Compensation Plan shall mean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type w:val="continuous"/>
        </w:sectPr>
      </w:pPr>
    </w:p>
    <w:bookmarkStart w:id="5" w:name="page6"/>
    <w:bookmarkEnd w:id="5"/>
    <w:p>
      <w:pPr>
        <w:ind w:left="980" w:hanging="324"/>
        <w:spacing w:after="0" w:line="25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8" w:lineRule="exact"/>
        <w:rPr>
          <w:rFonts w:ascii="Arial" w:cs="Arial" w:eastAsia="Arial" w:hAnsi="Arial"/>
          <w:sz w:val="18"/>
          <w:szCs w:val="18"/>
          <w:color w:val="auto"/>
        </w:rPr>
      </w:pPr>
    </w:p>
    <w:p>
      <w:pPr>
        <w:ind w:left="980" w:right="360" w:hanging="324"/>
        <w:spacing w:after="0" w:line="33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39" w:lineRule="exact"/>
        <w:rPr>
          <w:rFonts w:ascii="Arial" w:cs="Arial" w:eastAsia="Arial" w:hAnsi="Arial"/>
          <w:sz w:val="16"/>
          <w:szCs w:val="16"/>
          <w:color w:val="auto"/>
        </w:rPr>
      </w:pPr>
    </w:p>
    <w:p>
      <w:pPr>
        <w:ind w:left="980" w:right="180" w:hanging="324"/>
        <w:spacing w:after="0" w:line="268"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ind w:left="980" w:right="80" w:hanging="324"/>
        <w:spacing w:after="0" w:line="294"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69" w:lineRule="exact"/>
        <w:rPr>
          <w:rFonts w:ascii="Arial" w:cs="Arial" w:eastAsia="Arial" w:hAnsi="Arial"/>
          <w:sz w:val="16"/>
          <w:szCs w:val="16"/>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25" w:lineRule="exact"/>
        <w:rPr>
          <w:rFonts w:ascii="Arial" w:cs="Arial" w:eastAsia="Arial" w:hAnsi="Arial"/>
          <w:sz w:val="18"/>
          <w:szCs w:val="18"/>
          <w:color w:val="auto"/>
        </w:rPr>
      </w:pPr>
    </w:p>
    <w:p>
      <w:pPr>
        <w:ind w:left="980" w:right="800" w:hanging="324"/>
        <w:spacing w:after="0" w:line="268"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340" w:right="340" w:hanging="332"/>
        <w:spacing w:after="0" w:line="27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right="420" w:hanging="332"/>
        <w:spacing w:after="0" w:line="27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01"/>
        </w:trPr>
        <w:tc>
          <w:tcPr>
            <w:tcW w:w="4280" w:type="dxa"/>
            <w:vAlign w:val="bottom"/>
            <w:gridSpan w:val="3"/>
          </w:tcPr>
          <w:p>
            <w:pPr>
              <w:spacing w:after="0" w:line="201" w:lineRule="exact"/>
              <w:rPr>
                <w:sz w:val="20"/>
                <w:szCs w:val="20"/>
                <w:color w:val="auto"/>
              </w:rPr>
            </w:pPr>
            <w:r>
              <w:rPr>
                <w:rFonts w:ascii="Arial" w:cs="Arial" w:eastAsia="Arial" w:hAnsi="Arial"/>
                <w:sz w:val="18"/>
                <w:szCs w:val="18"/>
                <w:color w:val="auto"/>
              </w:rPr>
              <w:t>Robert J. Olson</w:t>
            </w: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Dated</w:t>
            </w: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rPr>
              <w:t>Chairman of the Board, CEO and President</w:t>
            </w:r>
          </w:p>
        </w:tc>
        <w:tc>
          <w:tcPr>
            <w:tcW w:w="3740" w:type="dxa"/>
            <w:vAlign w:val="bottom"/>
          </w:tcPr>
          <w:p>
            <w:pPr>
              <w:spacing w:after="0"/>
              <w:rPr>
                <w:sz w:val="19"/>
                <w:szCs w:val="19"/>
                <w:color w:val="auto"/>
              </w:rPr>
            </w:pPr>
          </w:p>
        </w:tc>
      </w:tr>
      <w:tr>
        <w:trPr>
          <w:trHeight w:val="448"/>
        </w:trPr>
        <w:tc>
          <w:tcPr>
            <w:tcW w:w="4280" w:type="dxa"/>
            <w:vAlign w:val="bottom"/>
            <w:gridSpan w:val="3"/>
          </w:tcPr>
          <w:p>
            <w:pPr>
              <w:spacing w:after="0"/>
              <w:rPr>
                <w:sz w:val="24"/>
                <w:szCs w:val="24"/>
                <w:color w:val="auto"/>
              </w:rPr>
            </w:pPr>
          </w:p>
        </w:tc>
        <w:tc>
          <w:tcPr>
            <w:tcW w:w="374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Gerald C. Kitch</w:t>
            </w:r>
          </w:p>
        </w:tc>
        <w:tc>
          <w:tcPr>
            <w:tcW w:w="580" w:type="dxa"/>
            <w:vAlign w:val="bottom"/>
          </w:tcPr>
          <w:p>
            <w:pPr>
              <w:spacing w:after="0"/>
              <w:rPr>
                <w:sz w:val="17"/>
                <w:szCs w:val="17"/>
                <w:color w:val="auto"/>
              </w:rPr>
            </w:pPr>
          </w:p>
        </w:tc>
        <w:tc>
          <w:tcPr>
            <w:tcW w:w="3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Dated</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Chairman, Human Resources Committee</w:t>
            </w:r>
          </w:p>
        </w:tc>
        <w:tc>
          <w:tcPr>
            <w:tcW w:w="3740" w:type="dxa"/>
            <w:vAlign w:val="bottom"/>
          </w:tcPr>
          <w:p>
            <w:pPr>
              <w:spacing w:after="0"/>
              <w:rPr>
                <w:sz w:val="18"/>
                <w:szCs w:val="18"/>
                <w:color w:val="auto"/>
              </w:rPr>
            </w:pP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rPr>
              <w:t>of the Winnebago Industries Board of Directors</w:t>
            </w:r>
          </w:p>
        </w:tc>
        <w:tc>
          <w:tcPr>
            <w:tcW w:w="3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 w:name="page7"/>
    <w:bookmarkEnd w:id="6"/>
    <w:p>
      <w:pPr>
        <w:spacing w:after="0" w:line="15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1108710</wp:posOffset>
            </wp:positionV>
            <wp:extent cx="2470150" cy="934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01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LONG-TERM INCENTIVE PLAN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THREE-YEAR PERIOD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2009, 2010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1016635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LONG-TERM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Three-Year Period 2009, 2010 and 2011</w:t>
      </w:r>
    </w:p>
    <w:p>
      <w:pPr>
        <w:spacing w:after="0" w:line="200" w:lineRule="exact"/>
        <w:rPr>
          <w:sz w:val="20"/>
          <w:szCs w:val="20"/>
          <w:color w:val="auto"/>
        </w:rPr>
      </w:pPr>
    </w:p>
    <w:p>
      <w:pPr>
        <w:spacing w:after="0" w:line="229" w:lineRule="exact"/>
        <w:rPr>
          <w:sz w:val="20"/>
          <w:szCs w:val="20"/>
          <w:color w:val="auto"/>
        </w:rPr>
      </w:pPr>
    </w:p>
    <w:p>
      <w:pPr>
        <w:ind w:left="340" w:right="40" w:hanging="332"/>
        <w:spacing w:after="0" w:line="26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Winnebago Industries, Inc. Officers Long-Term Incentive Plan (the “Plan”) is to promote the long-term growth and profitability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2"/>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980" w:right="700" w:hanging="324"/>
        <w:spacing w:after="0" w:line="310" w:lineRule="auto"/>
        <w:tabs>
          <w:tab w:leader="none" w:pos="980" w:val="left"/>
        </w:tabs>
        <w:numPr>
          <w:ilvl w:val="2"/>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980" w:right="40" w:hanging="324"/>
        <w:spacing w:after="0" w:line="275" w:lineRule="auto"/>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three (3) year plan period. Each year a new plan</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established for a new three-year period.</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b w:val="1"/>
          <w:bCs w:val="1"/>
          <w:color w:val="auto"/>
        </w:rPr>
        <w: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980" w:hanging="324"/>
        <w:spacing w:after="0"/>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plan year.</w:t>
      </w:r>
    </w:p>
    <w:p>
      <w:pPr>
        <w:spacing w:after="0" w:line="225" w:lineRule="exact"/>
        <w:rPr>
          <w:rFonts w:ascii="Arial" w:cs="Arial" w:eastAsia="Arial" w:hAnsi="Arial"/>
          <w:sz w:val="18"/>
          <w:szCs w:val="18"/>
          <w:color w:val="auto"/>
        </w:rPr>
      </w:pPr>
    </w:p>
    <w:p>
      <w:pPr>
        <w:ind w:left="980" w:right="660" w:hanging="324"/>
        <w:spacing w:after="0" w:line="268" w:lineRule="auto"/>
        <w:tabs>
          <w:tab w:leader="none" w:pos="9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179" w:lineRule="exact"/>
        <w:rPr>
          <w:rFonts w:ascii="Arial" w:cs="Arial" w:eastAsia="Arial" w:hAnsi="Arial"/>
          <w:sz w:val="18"/>
          <w:szCs w:val="18"/>
          <w:color w:val="auto"/>
        </w:rPr>
      </w:pPr>
    </w:p>
    <w:p>
      <w:pPr>
        <w:ind w:left="340" w:right="40" w:hanging="332"/>
        <w:spacing w:after="0" w:line="309"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b w:val="1"/>
          <w:bCs w:val="1"/>
          <w:u w:val="single" w:color="auto"/>
          <w:color w:val="auto"/>
        </w:rPr>
        <w:t>Nature of the Plan</w:t>
      </w:r>
      <w:r>
        <w:rPr>
          <w:rFonts w:ascii="Arial" w:cs="Arial" w:eastAsia="Arial" w:hAnsi="Arial"/>
          <w:sz w:val="15"/>
          <w:szCs w:val="15"/>
          <w:color w:val="auto"/>
        </w:rPr>
        <w:t>. The long-term incentive award is based upon financial performance of the Corporation. The Plan is a three (3) year (fiscal) program that</w:t>
      </w:r>
      <w:r>
        <w:rPr>
          <w:rFonts w:ascii="Arial" w:cs="Arial" w:eastAsia="Arial" w:hAnsi="Arial"/>
          <w:sz w:val="15"/>
          <w:szCs w:val="15"/>
          <w:b w:val="1"/>
          <w:bCs w:val="1"/>
          <w:color w:val="auto"/>
        </w:rPr>
        <w:t xml:space="preserve"> </w:t>
      </w:r>
      <w:r>
        <w:rPr>
          <w:rFonts w:ascii="Arial" w:cs="Arial" w:eastAsia="Arial" w:hAnsi="Arial"/>
          <w:sz w:val="15"/>
          <w:szCs w:val="15"/>
          <w:color w:val="auto"/>
        </w:rPr>
        <w:t>provides for an opportunity for an incentive award based on the achievement of long-term financial performance results as measured at the end of the three</w:t>
      </w:r>
    </w:p>
    <w:p>
      <w:pPr>
        <w:ind w:left="580" w:hanging="248"/>
        <w:spacing w:after="0"/>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year fiscal period.</w:t>
      </w:r>
    </w:p>
    <w:p>
      <w:pPr>
        <w:spacing w:after="0" w:line="219" w:lineRule="exact"/>
        <w:rPr>
          <w:sz w:val="20"/>
          <w:szCs w:val="20"/>
          <w:color w:val="auto"/>
        </w:rPr>
      </w:pPr>
    </w:p>
    <w:p>
      <w:pPr>
        <w:ind w:left="340" w:right="220"/>
        <w:spacing w:after="0" w:line="370" w:lineRule="auto"/>
        <w:rPr>
          <w:sz w:val="20"/>
          <w:szCs w:val="20"/>
          <w:color w:val="auto"/>
        </w:rPr>
      </w:pPr>
      <w:r>
        <w:rPr>
          <w:rFonts w:ascii="Arial" w:cs="Arial" w:eastAsia="Arial" w:hAnsi="Arial"/>
          <w:sz w:val="15"/>
          <w:szCs w:val="15"/>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w:t>
      </w:r>
    </w:p>
    <w:p>
      <w:pPr>
        <w:sectPr>
          <w:pgSz w:w="11900" w:h="16989" w:orient="portrait"/>
          <w:cols w:equalWidth="0" w:num="1">
            <w:col w:w="11420"/>
          </w:cols>
          <w:pgMar w:left="240" w:top="355" w:right="239" w:bottom="0" w:gutter="0" w:footer="0" w:header="0"/>
        </w:sectPr>
      </w:pPr>
    </w:p>
    <w:bookmarkStart w:id="7" w:name="page8"/>
    <w:bookmarkEnd w:id="7"/>
    <w:p>
      <w:pPr>
        <w:spacing w:after="0" w:line="1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Target, a minimum threshold below which an incentive will not be paid and a maximum incentive level.</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2" w:right="260" w:hanging="332"/>
        <w:spacing w:after="0" w:line="301"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long-term incentive award will be a performance stock grant made in restricted shares of the common stock of Winnebago</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63" w:lineRule="exact"/>
        <w:rPr>
          <w:rFonts w:ascii="Arial" w:cs="Arial" w:eastAsia="Arial" w:hAnsi="Arial"/>
          <w:sz w:val="16"/>
          <w:szCs w:val="16"/>
          <w:color w:val="auto"/>
        </w:rPr>
      </w:pPr>
    </w:p>
    <w:p>
      <w:pPr>
        <w:ind w:left="332" w:right="60"/>
        <w:spacing w:after="0" w:line="294" w:lineRule="auto"/>
        <w:rPr>
          <w:rFonts w:ascii="Arial" w:cs="Arial" w:eastAsia="Arial" w:hAnsi="Arial"/>
          <w:sz w:val="16"/>
          <w:szCs w:val="16"/>
          <w:color w:val="auto"/>
        </w:rPr>
      </w:pPr>
      <w:r>
        <w:rPr>
          <w:rFonts w:ascii="Arial" w:cs="Arial" w:eastAsia="Arial" w:hAnsi="Arial"/>
          <w:sz w:val="16"/>
          <w:szCs w:val="16"/>
          <w:color w:val="auto"/>
        </w:rPr>
        <w:t>The long-term incentive for the executive officers provides for an opportunity of 25% of the annualized base salary (Target) to be awarded in restricted stock at 100% achievement of the financial long-term objectives. The Committee delegates to the CEO the authority to establish the incentive (Target) opportunity for officers other than executive officers subject to the limitations set forth in this Plan. The annualized base salary figure used shall be the salary in place for each participant as of January 2009. The resultant stock award opportunity (at 100% of Plan) will be adjusted up or down as determined by actual financial performance expressed as a percentage (Financial Factor) at the end of the three (3) year fiscal period.</w:t>
      </w:r>
    </w:p>
    <w:p>
      <w:pPr>
        <w:spacing w:after="0" w:line="169" w:lineRule="exact"/>
        <w:rPr>
          <w:rFonts w:ascii="Arial" w:cs="Arial" w:eastAsia="Arial" w:hAnsi="Arial"/>
          <w:sz w:val="16"/>
          <w:szCs w:val="16"/>
          <w:color w:val="auto"/>
        </w:rPr>
      </w:pPr>
    </w:p>
    <w:p>
      <w:pPr>
        <w:ind w:left="332" w:right="40"/>
        <w:spacing w:after="0" w:line="253" w:lineRule="auto"/>
        <w:rPr>
          <w:rFonts w:ascii="Arial" w:cs="Arial" w:eastAsia="Arial" w:hAnsi="Arial"/>
          <w:sz w:val="16"/>
          <w:szCs w:val="16"/>
          <w:color w:val="auto"/>
        </w:rPr>
      </w:pPr>
      <w:r>
        <w:rPr>
          <w:rFonts w:ascii="Arial" w:cs="Arial" w:eastAsia="Arial" w:hAnsi="Arial"/>
          <w:sz w:val="18"/>
          <w:szCs w:val="18"/>
          <w:color w:val="auto"/>
        </w:rPr>
        <w:t>The earned incentive for the three year 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 year-end accounting and shall be approved by the Board of Directors Human Resources Committee in October following fiscal year end. The price of the stock shall be the closing market price of the Company’s common stock on the date in which the grant is approved by the Committee. The stock grant will be considered as taxable on the date of such grant. The stock grant restriction shall be removed one year following date of grant.</w:t>
      </w:r>
    </w:p>
    <w:p>
      <w:pPr>
        <w:spacing w:after="0" w:line="195" w:lineRule="exact"/>
        <w:rPr>
          <w:rFonts w:ascii="Arial" w:cs="Arial" w:eastAsia="Arial" w:hAnsi="Arial"/>
          <w:sz w:val="16"/>
          <w:szCs w:val="16"/>
          <w:color w:val="auto"/>
        </w:rPr>
      </w:pPr>
    </w:p>
    <w:p>
      <w:pPr>
        <w:ind w:left="332" w:right="40" w:hanging="332"/>
        <w:spacing w:after="0" w:line="291"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undergoes a change in control during the fiscal three (3) year plan period including, without limitation, an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2"/>
        <w:spacing w:after="0"/>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Long-Term Incentive Plan shall mean the time when (i) any Person becomes an Acquiring Person, or</w:t>
      </w:r>
    </w:p>
    <w:p>
      <w:pPr>
        <w:spacing w:after="0" w:line="44" w:lineRule="exact"/>
        <w:rPr>
          <w:sz w:val="20"/>
          <w:szCs w:val="20"/>
          <w:color w:val="auto"/>
        </w:rPr>
      </w:pPr>
    </w:p>
    <w:p>
      <w:pPr>
        <w:ind w:left="332" w:right="40" w:hanging="8"/>
        <w:spacing w:after="0" w:line="288" w:lineRule="auto"/>
        <w:tabs>
          <w:tab w:leader="none" w:pos="5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972" w:hanging="324"/>
        <w:spacing w:after="0" w:line="254"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8" w:lineRule="exact"/>
        <w:rPr>
          <w:rFonts w:ascii="Arial" w:cs="Arial" w:eastAsia="Arial" w:hAnsi="Arial"/>
          <w:sz w:val="18"/>
          <w:szCs w:val="18"/>
          <w:color w:val="auto"/>
        </w:rPr>
      </w:pPr>
    </w:p>
    <w:p>
      <w:pPr>
        <w:ind w:left="972" w:right="360" w:hanging="324"/>
        <w:spacing w:after="0" w:line="332" w:lineRule="auto"/>
        <w:tabs>
          <w:tab w:leader="none" w:pos="9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39" w:lineRule="exact"/>
        <w:rPr>
          <w:rFonts w:ascii="Arial" w:cs="Arial" w:eastAsia="Arial" w:hAnsi="Arial"/>
          <w:sz w:val="16"/>
          <w:szCs w:val="16"/>
          <w:color w:val="auto"/>
        </w:rPr>
      </w:pPr>
    </w:p>
    <w:p>
      <w:pPr>
        <w:ind w:left="972" w:right="180" w:hanging="324"/>
        <w:spacing w:after="0" w:line="268"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ind w:left="972" w:right="80" w:hanging="324"/>
        <w:spacing w:after="0" w:line="294" w:lineRule="auto"/>
        <w:tabs>
          <w:tab w:leader="none" w:pos="9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69" w:lineRule="exact"/>
        <w:rPr>
          <w:rFonts w:ascii="Arial" w:cs="Arial" w:eastAsia="Arial" w:hAnsi="Arial"/>
          <w:sz w:val="16"/>
          <w:szCs w:val="16"/>
          <w:color w:val="auto"/>
        </w:rPr>
      </w:pPr>
    </w:p>
    <w:p>
      <w:pPr>
        <w:ind w:left="972" w:hanging="324"/>
        <w:spacing w:after="0"/>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72" w:right="800" w:hanging="324"/>
        <w:spacing w:after="0" w:line="268"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ectPr>
          <w:pgSz w:w="11900" w:h="16852" w:orient="portrait"/>
          <w:cols w:equalWidth="0" w:num="1">
            <w:col w:w="11412"/>
          </w:cols>
          <w:pgMar w:left="248" w:top="131" w:right="239" w:bottom="0" w:gutter="0" w:footer="0" w:header="0"/>
        </w:sectPr>
      </w:pPr>
    </w:p>
    <w:bookmarkStart w:id="8" w:name="page9"/>
    <w:bookmarkEnd w:id="8"/>
    <w:p>
      <w:pPr>
        <w:ind w:left="340" w:hanging="332"/>
        <w:spacing w:after="0" w:line="27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340" w:right="80" w:hanging="332"/>
        <w:spacing w:after="0" w:line="27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01"/>
        </w:trPr>
        <w:tc>
          <w:tcPr>
            <w:tcW w:w="4280" w:type="dxa"/>
            <w:vAlign w:val="bottom"/>
            <w:gridSpan w:val="3"/>
          </w:tcPr>
          <w:p>
            <w:pPr>
              <w:spacing w:after="0" w:line="201" w:lineRule="exact"/>
              <w:rPr>
                <w:sz w:val="20"/>
                <w:szCs w:val="20"/>
                <w:color w:val="auto"/>
              </w:rPr>
            </w:pPr>
            <w:r>
              <w:rPr>
                <w:rFonts w:ascii="Arial" w:cs="Arial" w:eastAsia="Arial" w:hAnsi="Arial"/>
                <w:sz w:val="18"/>
                <w:szCs w:val="18"/>
                <w:color w:val="auto"/>
              </w:rPr>
              <w:t>Robert J. Olson</w:t>
            </w: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Dated</w:t>
            </w: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rPr>
              <w:t>Chairman of the Board, CEO and President</w:t>
            </w:r>
          </w:p>
        </w:tc>
        <w:tc>
          <w:tcPr>
            <w:tcW w:w="3740" w:type="dxa"/>
            <w:vAlign w:val="bottom"/>
          </w:tcPr>
          <w:p>
            <w:pPr>
              <w:spacing w:after="0"/>
              <w:rPr>
                <w:sz w:val="19"/>
                <w:szCs w:val="19"/>
                <w:color w:val="auto"/>
              </w:rPr>
            </w:pPr>
          </w:p>
        </w:tc>
      </w:tr>
      <w:tr>
        <w:trPr>
          <w:trHeight w:val="448"/>
        </w:trPr>
        <w:tc>
          <w:tcPr>
            <w:tcW w:w="4280" w:type="dxa"/>
            <w:vAlign w:val="bottom"/>
            <w:gridSpan w:val="3"/>
          </w:tcPr>
          <w:p>
            <w:pPr>
              <w:spacing w:after="0"/>
              <w:rPr>
                <w:sz w:val="24"/>
                <w:szCs w:val="24"/>
                <w:color w:val="auto"/>
              </w:rPr>
            </w:pPr>
          </w:p>
        </w:tc>
        <w:tc>
          <w:tcPr>
            <w:tcW w:w="374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Gerald C. Kitch</w:t>
            </w:r>
          </w:p>
        </w:tc>
        <w:tc>
          <w:tcPr>
            <w:tcW w:w="580" w:type="dxa"/>
            <w:vAlign w:val="bottom"/>
          </w:tcPr>
          <w:p>
            <w:pPr>
              <w:spacing w:after="0"/>
              <w:rPr>
                <w:sz w:val="17"/>
                <w:szCs w:val="17"/>
                <w:color w:val="auto"/>
              </w:rPr>
            </w:pPr>
          </w:p>
        </w:tc>
        <w:tc>
          <w:tcPr>
            <w:tcW w:w="3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Dated</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Chairman, Human Resources Committee</w:t>
            </w:r>
          </w:p>
        </w:tc>
        <w:tc>
          <w:tcPr>
            <w:tcW w:w="3740" w:type="dxa"/>
            <w:vAlign w:val="bottom"/>
          </w:tcPr>
          <w:p>
            <w:pPr>
              <w:spacing w:after="0"/>
              <w:rPr>
                <w:sz w:val="18"/>
                <w:szCs w:val="18"/>
                <w:color w:val="auto"/>
              </w:rPr>
            </w:pP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rPr>
              <w:t>of the Winnebago Industries Board of Directors</w:t>
            </w:r>
          </w:p>
        </w:tc>
        <w:tc>
          <w:tcPr>
            <w:tcW w:w="374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080"/>
      </w:cols>
      <w:pgMar w:left="240" w:top="34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5"/>
    </w:lvl>
  </w:abstractNum>
  <w:abstractNum w:abstractNumId="2">
    <w:nsid w:val="5BD062C2"/>
    <w:multiLevelType w:val="hybridMultilevel"/>
    <w:lvl w:ilvl="0">
      <w:lvlJc w:val="left"/>
      <w:lvlText w:val="(%1)"/>
      <w:numFmt w:val="lowerLetter"/>
      <w:start w:val="3"/>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9"/>
    </w:lvl>
    <w:lvl w:ilvl="1">
      <w:lvlJc w:val="left"/>
      <w:lvlText w:val="%2"/>
      <w:numFmt w:val="lowerLetter"/>
      <w:start w:val="1"/>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6"/>
    </w:lvl>
  </w:abstractNum>
  <w:abstractNum w:abstractNumId="14">
    <w:nsid w:val="1BEFD79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2019-12-11T13:54:38Z</dcterms:created>
  <dcterms:modified xsi:type="dcterms:W3CDTF">2019-12-11T13:54:38Z</dcterms:modified>
</cp:coreProperties>
</file>