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1,669,035</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2,815,520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2,815,520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15.010%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2,815,520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2,815,520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15.010%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2,815,520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2,815,520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15.010%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2,815,520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15.010%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1,669,035</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2,815,520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interest of one person, Fidelity Management Trust Company, a bank as defined in Section 3(a)(6) of the securities Exchange Act of 1934, in the common stock of Winnebago Industries, Inc., amounted to 1,104,835 shares or 5.890% of the total outstanding Common Stock at December 31, 2002.</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the Common Stock of Winnebago Industries, Inc. at December 31, 2002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1,146,885 shares or 6.114% of the Common Stock</w:t>
      </w:r>
    </w:p>
    <w:p>
      <w:pPr>
        <w:spacing w:after="0"/>
        <w:tabs>
          <w:tab w:leader="none" w:pos="4520" w:val="left"/>
        </w:tabs>
        <w:rPr>
          <w:sz w:val="20"/>
          <w:szCs w:val="20"/>
          <w:color w:val="auto"/>
        </w:rPr>
      </w:pPr>
      <w:r>
        <w:rPr>
          <w:rFonts w:ascii="Courier New" w:cs="Courier New" w:eastAsia="Courier New" w:hAnsi="Courier New"/>
          <w:sz w:val="18"/>
          <w:szCs w:val="18"/>
          <w:color w:val="auto"/>
        </w:rPr>
        <w:t>outstanding of Winnebago Industries, Inc.</w:t>
      </w:r>
      <w:r>
        <w:rPr>
          <w:sz w:val="20"/>
          <w:szCs w:val="20"/>
          <w:color w:val="auto"/>
        </w:rPr>
        <w:tab/>
      </w:r>
      <w:r>
        <w:rPr>
          <w:rFonts w:ascii="Courier New" w:cs="Courier New" w:eastAsia="Courier New" w:hAnsi="Courier New"/>
          <w:sz w:val="16"/>
          <w:szCs w:val="16"/>
          <w:color w:val="auto"/>
        </w:rPr>
        <w:t>("the Company")</w:t>
      </w:r>
    </w:p>
    <w:p>
      <w:pPr>
        <w:spacing w:after="0" w:line="237" w:lineRule="auto"/>
        <w:rPr>
          <w:sz w:val="20"/>
          <w:szCs w:val="20"/>
          <w:color w:val="auto"/>
        </w:rPr>
      </w:pPr>
      <w:r>
        <w:rPr>
          <w:rFonts w:ascii="Courier New" w:cs="Courier New" w:eastAsia="Courier New" w:hAnsi="Courier New"/>
          <w:sz w:val="18"/>
          <w:szCs w:val="18"/>
          <w:color w:val="auto"/>
        </w:rPr>
        <w:t>as a result of acting as investment adviser to various</w:t>
      </w:r>
    </w:p>
    <w:p>
      <w:pPr>
        <w:spacing w:after="0"/>
        <w:rPr>
          <w:sz w:val="20"/>
          <w:szCs w:val="20"/>
          <w:color w:val="auto"/>
        </w:rPr>
      </w:pPr>
      <w:r>
        <w:rPr>
          <w:rFonts w:ascii="Courier New" w:cs="Courier New" w:eastAsia="Courier New" w:hAnsi="Courier New"/>
          <w:sz w:val="18"/>
          <w:szCs w:val="18"/>
          <w:color w:val="auto"/>
        </w:rPr>
        <w:t>investment companies registered under Section 8 of the</w:t>
      </w:r>
    </w:p>
    <w:p>
      <w:pPr>
        <w:spacing w:after="0" w:line="237" w:lineRule="auto"/>
        <w:rPr>
          <w:sz w:val="20"/>
          <w:szCs w:val="20"/>
          <w:color w:val="auto"/>
        </w:rPr>
      </w:pPr>
      <w:r>
        <w:rPr>
          <w:rFonts w:ascii="Courier New" w:cs="Courier New" w:eastAsia="Courier New" w:hAnsi="Courier New"/>
          <w:sz w:val="18"/>
          <w:szCs w:val="18"/>
          <w:color w:val="auto"/>
        </w:rPr>
        <w:t>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1,146,885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1,104,750 shares or 5.890%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1,104,750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1,104,750 shares of</w:t>
      </w:r>
    </w:p>
    <w:p>
      <w:pPr>
        <w:spacing w:after="0" w:line="238" w:lineRule="auto"/>
        <w:rPr>
          <w:sz w:val="20"/>
          <w:szCs w:val="20"/>
          <w:color w:val="auto"/>
        </w:rPr>
      </w:pPr>
      <w:r>
        <w:rPr>
          <w:rFonts w:ascii="Courier New" w:cs="Courier New" w:eastAsia="Courier New" w:hAnsi="Courier New"/>
          <w:sz w:val="18"/>
          <w:szCs w:val="18"/>
          <w:color w:val="auto"/>
        </w:rPr>
        <w:t>Common Stock owned by the institutional account(s) as</w:t>
      </w:r>
    </w:p>
    <w:p>
      <w:pPr>
        <w:spacing w:after="0"/>
        <w:rPr>
          <w:sz w:val="20"/>
          <w:szCs w:val="20"/>
          <w:color w:val="auto"/>
        </w:rPr>
      </w:pPr>
      <w:r>
        <w:rPr>
          <w:rFonts w:ascii="Courier New" w:cs="Courier New" w:eastAsia="Courier New" w:hAnsi="Courier New"/>
          <w:sz w:val="18"/>
          <w:szCs w:val="18"/>
          <w:color w:val="auto"/>
        </w:rPr>
        <w:t>reported above.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85</w:t>
      </w:r>
    </w:p>
    <w:p>
      <w:pPr>
        <w:spacing w:after="0" w:line="237" w:lineRule="auto"/>
        <w:rPr>
          <w:sz w:val="20"/>
          <w:szCs w:val="20"/>
          <w:color w:val="auto"/>
        </w:rPr>
      </w:pPr>
      <w:r>
        <w:rPr>
          <w:rFonts w:ascii="Courier New" w:cs="Courier New" w:eastAsia="Courier New" w:hAnsi="Courier New"/>
          <w:sz w:val="18"/>
          <w:szCs w:val="18"/>
          <w:color w:val="auto"/>
        </w:rPr>
        <w:t>shares or 0.000%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7"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7"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line="238" w:lineRule="auto"/>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rPr>
          <w:sz w:val="20"/>
          <w:szCs w:val="20"/>
          <w:color w:val="auto"/>
        </w:rPr>
      </w:pPr>
      <w:r>
        <w:rPr>
          <w:rFonts w:ascii="Courier New" w:cs="Courier New" w:eastAsia="Courier New" w:hAnsi="Courier New"/>
          <w:sz w:val="18"/>
          <w:szCs w:val="18"/>
          <w:color w:val="auto"/>
        </w:rPr>
        <w:t>Advisers Act of 1940. The managers of Geode LLC, the</w:t>
      </w:r>
    </w:p>
    <w:p>
      <w:pPr>
        <w:spacing w:after="0" w:line="237" w:lineRule="auto"/>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206"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7" w:lineRule="auto"/>
        <w:rPr>
          <w:sz w:val="20"/>
          <w:szCs w:val="20"/>
          <w:color w:val="auto"/>
        </w:rPr>
      </w:pPr>
      <w:r>
        <w:rPr>
          <w:rFonts w:ascii="Courier New" w:cs="Courier New" w:eastAsia="Courier New" w:hAnsi="Courier New"/>
          <w:sz w:val="18"/>
          <w:szCs w:val="18"/>
          <w:color w:val="auto"/>
        </w:rPr>
        <w:t>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1"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563,800 shares or 3.006%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563,800 shares or 3.006% of the Common Stock outstanding of Winnebago Industries, Inc..</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79"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w:t>
      </w:r>
    </w:p>
    <w:p>
      <w:pPr>
        <w:sectPr>
          <w:pgSz w:w="11900" w:h="16838" w:orient="portrait"/>
          <w:cols w:equalWidth="0" w:num="1">
            <w:col w:w="10219"/>
          </w:cols>
          <w:pgMar w:left="240" w:top="142"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1"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563,800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Winnebago Industries, Inc. at December 31, 2002.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Trust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/s/Nicholas E. Steck</w:t>
      </w:r>
    </w:p>
    <w:p>
      <w:pPr>
        <w:ind w:left="860"/>
        <w:spacing w:after="0" w:line="238" w:lineRule="auto"/>
        <w:rPr>
          <w:sz w:val="20"/>
          <w:szCs w:val="20"/>
          <w:color w:val="auto"/>
        </w:rPr>
      </w:pPr>
      <w:r>
        <w:rPr>
          <w:rFonts w:ascii="Courier New" w:cs="Courier New" w:eastAsia="Courier New" w:hAnsi="Courier New"/>
          <w:sz w:val="18"/>
          <w:szCs w:val="18"/>
          <w:color w:val="auto"/>
        </w:rPr>
        <w:t>Nicholas E. Steck</w:t>
      </w:r>
    </w:p>
    <w:p>
      <w:pPr>
        <w:ind w:left="860"/>
        <w:spacing w:after="0"/>
        <w:rPr>
          <w:sz w:val="20"/>
          <w:szCs w:val="20"/>
          <w:color w:val="auto"/>
        </w:rPr>
      </w:pPr>
      <w:r>
        <w:rPr>
          <w:rFonts w:ascii="Courier New" w:cs="Courier New" w:eastAsia="Courier New" w:hAnsi="Courier New"/>
          <w:sz w:val="18"/>
          <w:szCs w:val="18"/>
          <w:color w:val="auto"/>
        </w:rPr>
        <w:t>Vice President</w:t>
      </w:r>
    </w:p>
    <w:p>
      <w:pPr>
        <w:ind w:left="860"/>
        <w:spacing w:after="0" w:line="237" w:lineRule="auto"/>
        <w:rPr>
          <w:sz w:val="20"/>
          <w:szCs w:val="20"/>
          <w:color w:val="auto"/>
        </w:rPr>
      </w:pPr>
      <w:r>
        <w:rPr>
          <w:rFonts w:ascii="Courier New" w:cs="Courier New" w:eastAsia="Courier New" w:hAnsi="Courier New"/>
          <w:sz w:val="18"/>
          <w:szCs w:val="18"/>
          <w:color w:val="auto"/>
        </w:rPr>
        <w:t>and Compliance Officer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Board of</w:t>
      </w:r>
    </w:p>
    <w:p>
      <w:pPr>
        <w:ind w:left="860"/>
        <w:spacing w:after="0"/>
        <w:rPr>
          <w:sz w:val="20"/>
          <w:szCs w:val="20"/>
          <w:color w:val="auto"/>
        </w:rPr>
      </w:pPr>
      <w:r>
        <w:rPr>
          <w:rFonts w:ascii="Courier New" w:cs="Courier New" w:eastAsia="Courier New" w:hAnsi="Courier New"/>
          <w:sz w:val="18"/>
          <w:szCs w:val="18"/>
          <w:color w:val="auto"/>
        </w:rPr>
        <w:t>Directors resolution dated</w:t>
      </w:r>
    </w:p>
    <w:p>
      <w:pPr>
        <w:ind w:left="860"/>
        <w:spacing w:after="0" w:line="237" w:lineRule="auto"/>
        <w:rPr>
          <w:sz w:val="20"/>
          <w:szCs w:val="20"/>
          <w:color w:val="auto"/>
        </w:rPr>
      </w:pPr>
      <w:r>
        <w:rPr>
          <w:rFonts w:ascii="Courier New" w:cs="Courier New" w:eastAsia="Courier New" w:hAnsi="Courier New"/>
          <w:sz w:val="18"/>
          <w:szCs w:val="18"/>
          <w:color w:val="auto"/>
        </w:rPr>
        <w:t>August 21,2002.</w:t>
      </w:r>
    </w:p>
    <w:p>
      <w:pPr>
        <w:sectPr>
          <w:pgSz w:w="11900" w:h="16838" w:orient="portrait"/>
          <w:cols w:equalWidth="0" w:num="1">
            <w:col w:w="10219"/>
          </w:cols>
          <w:pgMar w:left="240" w:top="142" w:right="1440" w:bottom="7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2019-12-13T08:14:43Z</dcterms:created>
  <dcterms:modified xsi:type="dcterms:W3CDTF">2019-12-13T08:14:43Z</dcterms:modified>
</cp:coreProperties>
</file>