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380365</wp:posOffset>
            </wp:positionH>
            <wp:positionV relativeFrom="page">
              <wp:posOffset>637540</wp:posOffset>
            </wp:positionV>
            <wp:extent cx="68091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page">
              <wp:posOffset>380365</wp:posOffset>
            </wp:positionH>
            <wp:positionV relativeFrom="page">
              <wp:posOffset>534670</wp:posOffset>
            </wp:positionV>
            <wp:extent cx="680910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9105" cy="26035"/>
                    </a:xfrm>
                    <a:prstGeom prst="rect">
                      <a:avLst/>
                    </a:prstGeom>
                    <a:noFill/>
                  </pic:spPr>
                </pic:pic>
              </a:graphicData>
            </a:graphic>
          </wp:anchor>
        </w:drawing>
        <w:t>UNITED STATES</w:t>
      </w:r>
    </w:p>
    <w:p>
      <w:pPr>
        <w:spacing w:after="0" w:line="31"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3015615</wp:posOffset>
            </wp:positionH>
            <wp:positionV relativeFrom="paragraph">
              <wp:posOffset>92075</wp:posOffset>
            </wp:positionV>
            <wp:extent cx="1174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4750" cy="17145"/>
                    </a:xfrm>
                    <a:prstGeom prst="rect">
                      <a:avLst/>
                    </a:prstGeom>
                    <a:noFill/>
                  </pic:spPr>
                </pic:pic>
              </a:graphicData>
            </a:graphic>
          </wp:anchor>
        </w:drawing>
      </w:r>
    </w:p>
    <w:p>
      <w:pPr>
        <w:spacing w:after="0" w:line="336"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3015615</wp:posOffset>
            </wp:positionH>
            <wp:positionV relativeFrom="paragraph">
              <wp:posOffset>151765</wp:posOffset>
            </wp:positionV>
            <wp:extent cx="1174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475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ind w:left="2720"/>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1900" w:type="dxa"/>
            <w:vAlign w:val="bottom"/>
          </w:tcPr>
          <w:p>
            <w:pPr>
              <w:spacing w:after="0"/>
              <w:rPr>
                <w:sz w:val="20"/>
                <w:szCs w:val="20"/>
                <w:color w:val="auto"/>
              </w:rPr>
            </w:pPr>
            <w:r>
              <w:rPr>
                <w:rFonts w:ascii="Arial" w:cs="Arial" w:eastAsia="Arial" w:hAnsi="Arial"/>
                <w:sz w:val="16"/>
                <w:szCs w:val="16"/>
                <w:color w:val="auto"/>
              </w:rPr>
              <w:t>Filed by the Registrant</w:t>
            </w:r>
          </w:p>
        </w:tc>
        <w:tc>
          <w:tcPr>
            <w:tcW w:w="1160" w:type="dxa"/>
            <w:vAlign w:val="bottom"/>
          </w:tcPr>
          <w:p>
            <w:pPr>
              <w:ind w:left="260"/>
              <w:spacing w:after="0"/>
              <w:rPr>
                <w:sz w:val="20"/>
                <w:szCs w:val="20"/>
                <w:color w:val="auto"/>
              </w:rPr>
            </w:pPr>
            <w:r>
              <w:rPr>
                <w:rFonts w:ascii="Arial" w:cs="Arial" w:eastAsia="Arial" w:hAnsi="Arial"/>
                <w:sz w:val="16"/>
                <w:szCs w:val="16"/>
                <w:color w:val="auto"/>
              </w:rPr>
              <w:t>x</w:t>
            </w:r>
          </w:p>
        </w:tc>
        <w:tc>
          <w:tcPr>
            <w:tcW w:w="360" w:type="dxa"/>
            <w:vAlign w:val="bottom"/>
          </w:tcPr>
          <w:p>
            <w:pPr>
              <w:spacing w:after="0"/>
              <w:rPr>
                <w:sz w:val="19"/>
                <w:szCs w:val="19"/>
                <w:color w:val="auto"/>
              </w:rPr>
            </w:pPr>
          </w:p>
        </w:tc>
      </w:tr>
      <w:tr>
        <w:trPr>
          <w:trHeight w:val="257"/>
        </w:trPr>
        <w:tc>
          <w:tcPr>
            <w:tcW w:w="3060" w:type="dxa"/>
            <w:vAlign w:val="bottom"/>
            <w:gridSpan w:val="2"/>
          </w:tcPr>
          <w:p>
            <w:pPr>
              <w:spacing w:after="0"/>
              <w:rPr>
                <w:sz w:val="20"/>
                <w:szCs w:val="20"/>
                <w:color w:val="auto"/>
              </w:rPr>
            </w:pPr>
            <w:r>
              <w:rPr>
                <w:rFonts w:ascii="Arial" w:cs="Arial" w:eastAsia="Arial" w:hAnsi="Arial"/>
                <w:sz w:val="16"/>
                <w:szCs w:val="16"/>
                <w:color w:val="auto"/>
              </w:rPr>
              <w:t>Filed by party other than the Registrant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o</w:t>
            </w:r>
          </w:p>
        </w:tc>
      </w:tr>
    </w:tbl>
    <w:p>
      <w:pPr>
        <w:spacing w:after="0" w:line="129" w:lineRule="exact"/>
        <w:rPr>
          <w:sz w:val="24"/>
          <w:szCs w:val="24"/>
          <w:color w:val="auto"/>
        </w:rPr>
      </w:pPr>
    </w:p>
    <w:p>
      <w:pPr>
        <w:jc w:val="center"/>
        <w:ind w:right="-359"/>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p>
      <w:pPr>
        <w:ind w:left="780" w:hanging="441"/>
        <w:spacing w:after="0"/>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72" w:lineRule="exact"/>
        <w:rPr>
          <w:rFonts w:ascii="Arial" w:cs="Arial" w:eastAsia="Arial" w:hAnsi="Arial"/>
          <w:sz w:val="16"/>
          <w:szCs w:val="16"/>
          <w:color w:val="auto"/>
        </w:rPr>
      </w:pPr>
    </w:p>
    <w:p>
      <w:pPr>
        <w:ind w:left="780" w:hanging="441"/>
        <w:spacing w:after="0"/>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Confidential, For Use of the Commission Only (as permitted by Rule 14a-6(e)(2))</w:t>
      </w:r>
    </w:p>
    <w:p>
      <w:pPr>
        <w:spacing w:after="0" w:line="72" w:lineRule="exact"/>
        <w:rPr>
          <w:rFonts w:ascii="Arial" w:cs="Arial" w:eastAsia="Arial" w:hAnsi="Arial"/>
          <w:sz w:val="16"/>
          <w:szCs w:val="16"/>
          <w:color w:val="auto"/>
        </w:rPr>
      </w:pPr>
    </w:p>
    <w:p>
      <w:pPr>
        <w:ind w:left="780" w:hanging="441"/>
        <w:spacing w:after="0"/>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73" w:lineRule="exact"/>
        <w:rPr>
          <w:sz w:val="24"/>
          <w:szCs w:val="24"/>
          <w:color w:val="auto"/>
        </w:rPr>
      </w:pPr>
    </w:p>
    <w:p>
      <w:pPr>
        <w:ind w:left="780" w:hanging="441"/>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73" w:lineRule="exact"/>
        <w:rPr>
          <w:sz w:val="24"/>
          <w:szCs w:val="24"/>
          <w:color w:val="auto"/>
        </w:rPr>
      </w:pPr>
    </w:p>
    <w:p>
      <w:pPr>
        <w:ind w:left="780" w:hanging="441"/>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2063750</wp:posOffset>
            </wp:positionH>
            <wp:positionV relativeFrom="paragraph">
              <wp:posOffset>165100</wp:posOffset>
            </wp:positionV>
            <wp:extent cx="3087370"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737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339"/>
        <w:spacing w:after="0"/>
        <w:rPr>
          <w:sz w:val="20"/>
          <w:szCs w:val="20"/>
          <w:color w:val="auto"/>
        </w:rPr>
      </w:pPr>
      <w:r>
        <w:rPr>
          <w:rFonts w:ascii="Arial" w:cs="Arial" w:eastAsia="Arial" w:hAnsi="Arial"/>
          <w:sz w:val="29"/>
          <w:szCs w:val="29"/>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202565</wp:posOffset>
            </wp:positionH>
            <wp:positionV relativeFrom="paragraph">
              <wp:posOffset>45085</wp:posOffset>
            </wp:positionV>
            <wp:extent cx="68091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121" w:lineRule="exact"/>
        <w:rPr>
          <w:sz w:val="24"/>
          <w:szCs w:val="24"/>
          <w:color w:val="auto"/>
        </w:rPr>
      </w:pPr>
    </w:p>
    <w:p>
      <w:pPr>
        <w:jc w:val="center"/>
        <w:ind w:right="-33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202565</wp:posOffset>
            </wp:positionH>
            <wp:positionV relativeFrom="paragraph">
              <wp:posOffset>190500</wp:posOffset>
            </wp:positionV>
            <wp:extent cx="6809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350" w:lineRule="exact"/>
        <w:rPr>
          <w:sz w:val="24"/>
          <w:szCs w:val="24"/>
          <w:color w:val="auto"/>
        </w:rPr>
      </w:pPr>
    </w:p>
    <w:p>
      <w:pPr>
        <w:ind w:left="306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9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Payment of Filing Fee (Check the appropriate box):</w:t>
      </w:r>
    </w:p>
    <w:p>
      <w:pPr>
        <w:spacing w:after="0" w:line="59" w:lineRule="exact"/>
        <w:rPr>
          <w:sz w:val="24"/>
          <w:szCs w:val="24"/>
          <w:color w:val="auto"/>
        </w:rPr>
      </w:pPr>
    </w:p>
    <w:p>
      <w:pPr>
        <w:ind w:left="820" w:hanging="481"/>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73" w:lineRule="exact"/>
        <w:rPr>
          <w:sz w:val="24"/>
          <w:szCs w:val="24"/>
          <w:color w:val="auto"/>
        </w:rPr>
      </w:pPr>
    </w:p>
    <w:p>
      <w:pPr>
        <w:ind w:left="820" w:hanging="481"/>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72" w:lineRule="exact"/>
        <w:rPr>
          <w:rFonts w:ascii="Arial" w:cs="Arial" w:eastAsia="Arial" w:hAnsi="Arial"/>
          <w:sz w:val="16"/>
          <w:szCs w:val="16"/>
          <w:color w:val="auto"/>
        </w:rPr>
      </w:pPr>
    </w:p>
    <w:p>
      <w:pPr>
        <w:ind w:left="1280" w:hanging="468"/>
        <w:spacing w:after="0"/>
        <w:tabs>
          <w:tab w:leader="none" w:pos="128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29" w:lineRule="exact"/>
        <w:rPr>
          <w:rFonts w:ascii="Arial" w:cs="Arial" w:eastAsia="Arial" w:hAnsi="Arial"/>
          <w:sz w:val="16"/>
          <w:szCs w:val="16"/>
          <w:color w:val="auto"/>
        </w:rPr>
      </w:pPr>
    </w:p>
    <w:p>
      <w:pPr>
        <w:ind w:left="1280" w:hanging="468"/>
        <w:spacing w:after="0"/>
        <w:tabs>
          <w:tab w:leader="none" w:pos="128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02" w:lineRule="exact"/>
        <w:rPr>
          <w:rFonts w:ascii="Arial" w:cs="Arial" w:eastAsia="Arial" w:hAnsi="Arial"/>
          <w:sz w:val="16"/>
          <w:szCs w:val="16"/>
          <w:color w:val="auto"/>
        </w:rPr>
      </w:pPr>
    </w:p>
    <w:p>
      <w:pPr>
        <w:ind w:left="1280" w:hanging="468"/>
        <w:spacing w:after="0" w:line="260" w:lineRule="auto"/>
        <w:tabs>
          <w:tab w:leader="none" w:pos="128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76" w:lineRule="exact"/>
        <w:rPr>
          <w:rFonts w:ascii="Arial" w:cs="Arial" w:eastAsia="Arial" w:hAnsi="Arial"/>
          <w:sz w:val="16"/>
          <w:szCs w:val="16"/>
          <w:color w:val="auto"/>
        </w:rPr>
      </w:pPr>
    </w:p>
    <w:p>
      <w:pPr>
        <w:ind w:left="1280" w:hanging="468"/>
        <w:spacing w:after="0"/>
        <w:tabs>
          <w:tab w:leader="none" w:pos="128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15" w:lineRule="exact"/>
        <w:rPr>
          <w:rFonts w:ascii="Arial" w:cs="Arial" w:eastAsia="Arial" w:hAnsi="Arial"/>
          <w:sz w:val="16"/>
          <w:szCs w:val="16"/>
          <w:color w:val="auto"/>
        </w:rPr>
      </w:pPr>
    </w:p>
    <w:p>
      <w:pPr>
        <w:ind w:left="1280" w:hanging="468"/>
        <w:spacing w:after="0"/>
        <w:tabs>
          <w:tab w:leader="none" w:pos="128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820" w:hanging="481"/>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72" w:lineRule="exact"/>
        <w:rPr>
          <w:rFonts w:ascii="Arial" w:cs="Arial" w:eastAsia="Arial" w:hAnsi="Arial"/>
          <w:sz w:val="16"/>
          <w:szCs w:val="16"/>
          <w:color w:val="auto"/>
        </w:rPr>
      </w:pPr>
    </w:p>
    <w:p>
      <w:pPr>
        <w:ind w:left="820" w:right="240" w:hanging="481"/>
        <w:spacing w:after="0" w:line="260"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3" w:lineRule="exact"/>
        <w:rPr>
          <w:rFonts w:ascii="Arial" w:cs="Arial" w:eastAsia="Arial" w:hAnsi="Arial"/>
          <w:sz w:val="16"/>
          <w:szCs w:val="16"/>
          <w:color w:val="auto"/>
        </w:rPr>
      </w:pPr>
    </w:p>
    <w:p>
      <w:pPr>
        <w:ind w:left="1280" w:hanging="468"/>
        <w:spacing w:after="0"/>
        <w:tabs>
          <w:tab w:leader="none" w:pos="128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29" w:lineRule="exact"/>
        <w:rPr>
          <w:rFonts w:ascii="Arial" w:cs="Arial" w:eastAsia="Arial" w:hAnsi="Arial"/>
          <w:sz w:val="16"/>
          <w:szCs w:val="16"/>
          <w:color w:val="auto"/>
        </w:rPr>
      </w:pPr>
    </w:p>
    <w:p>
      <w:pPr>
        <w:ind w:left="1280" w:hanging="468"/>
        <w:spacing w:after="0"/>
        <w:tabs>
          <w:tab w:leader="none" w:pos="128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15" w:lineRule="exact"/>
        <w:rPr>
          <w:rFonts w:ascii="Arial" w:cs="Arial" w:eastAsia="Arial" w:hAnsi="Arial"/>
          <w:sz w:val="16"/>
          <w:szCs w:val="16"/>
          <w:color w:val="auto"/>
        </w:rPr>
      </w:pPr>
    </w:p>
    <w:p>
      <w:pPr>
        <w:ind w:left="1280" w:hanging="468"/>
        <w:spacing w:after="0"/>
        <w:tabs>
          <w:tab w:leader="none" w:pos="128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15" w:lineRule="exact"/>
        <w:rPr>
          <w:rFonts w:ascii="Arial" w:cs="Arial" w:eastAsia="Arial" w:hAnsi="Arial"/>
          <w:sz w:val="16"/>
          <w:szCs w:val="16"/>
          <w:color w:val="auto"/>
        </w:rPr>
      </w:pPr>
    </w:p>
    <w:p>
      <w:pPr>
        <w:ind w:left="1280" w:hanging="468"/>
        <w:spacing w:after="0"/>
        <w:tabs>
          <w:tab w:leader="none" w:pos="128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803275</wp:posOffset>
            </wp:positionH>
            <wp:positionV relativeFrom="paragraph">
              <wp:posOffset>173355</wp:posOffset>
            </wp:positionV>
            <wp:extent cx="6209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-142875</wp:posOffset>
            </wp:positionV>
            <wp:extent cx="6209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-460375</wp:posOffset>
            </wp:positionV>
            <wp:extent cx="6209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-777875</wp:posOffset>
            </wp:positionV>
            <wp:extent cx="62090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-1661160</wp:posOffset>
            </wp:positionV>
            <wp:extent cx="62090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-1978660</wp:posOffset>
            </wp:positionV>
            <wp:extent cx="62090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-2295525</wp:posOffset>
            </wp:positionV>
            <wp:extent cx="62090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-3033395</wp:posOffset>
            </wp:positionV>
            <wp:extent cx="62090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422275</wp:posOffset>
            </wp:positionV>
            <wp:extent cx="680910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9105" cy="2603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336550</wp:posOffset>
            </wp:positionV>
            <wp:extent cx="68091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ectPr>
          <w:pgSz w:w="11900" w:h="16838" w:orient="portrait"/>
          <w:cols w:equalWidth="0" w:num="1">
            <w:col w:w="10980"/>
          </w:cols>
          <w:pgMar w:left="280" w:top="1211" w:right="639" w:bottom="1440" w:gutter="0" w:footer="0" w:header="0"/>
        </w:sectPr>
      </w:pPr>
    </w:p>
    <w:bookmarkStart w:id="1" w:name="page2"/>
    <w:bookmarkEnd w:id="1"/>
    <w:p>
      <w:pPr>
        <w:ind w:left="25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3844925</wp:posOffset>
            </wp:positionH>
            <wp:positionV relativeFrom="page">
              <wp:posOffset>466090</wp:posOffset>
            </wp:positionV>
            <wp:extent cx="3053080" cy="471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53080" cy="471805"/>
                    </a:xfrm>
                    <a:prstGeom prst="rect">
                      <a:avLst/>
                    </a:prstGeom>
                    <a:noFill/>
                  </pic:spPr>
                </pic:pic>
              </a:graphicData>
            </a:graphic>
          </wp:anchor>
        </w:drawing>
        <w:drawing>
          <wp:anchor simplePos="0" relativeHeight="251657728" behindDoc="1" locked="0" layoutInCell="0" allowOverlap="1">
            <wp:simplePos x="0" y="0"/>
            <wp:positionH relativeFrom="page">
              <wp:posOffset>697865</wp:posOffset>
            </wp:positionH>
            <wp:positionV relativeFrom="page">
              <wp:posOffset>483235</wp:posOffset>
            </wp:positionV>
            <wp:extent cx="1063625" cy="42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63625" cy="428625"/>
                    </a:xfrm>
                    <a:prstGeom prst="rect">
                      <a:avLst/>
                    </a:prstGeom>
                    <a:noFill/>
                  </pic:spPr>
                </pic:pic>
              </a:graphicData>
            </a:graphic>
          </wp:anchor>
        </w:drawing>
        <w:t>Shareowner Services</w:t>
      </w:r>
      <w:r>
        <w:rPr>
          <w:rFonts w:ascii="Arial" w:cs="Arial" w:eastAsia="Arial" w:hAnsi="Arial"/>
          <w:sz w:val="21"/>
          <w:szCs w:val="21"/>
          <w:color w:val="auto"/>
          <w:vertAlign w:val="superscript"/>
        </w:rPr>
        <w:t>SM</w:t>
      </w:r>
    </w:p>
    <w:p>
      <w:pPr>
        <w:ind w:left="2580"/>
        <w:spacing w:after="0"/>
        <w:rPr>
          <w:sz w:val="20"/>
          <w:szCs w:val="20"/>
          <w:color w:val="auto"/>
        </w:rPr>
      </w:pPr>
      <w:r>
        <w:rPr>
          <w:rFonts w:ascii="Arial" w:cs="Arial" w:eastAsia="Arial" w:hAnsi="Arial"/>
          <w:sz w:val="16"/>
          <w:szCs w:val="16"/>
          <w:color w:val="auto"/>
        </w:rPr>
        <w:t>P.O. Box 64945</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St. Paul, MN 55164-0945</w:t>
      </w:r>
    </w:p>
    <w:p>
      <w:pPr>
        <w:spacing w:after="0" w:line="286" w:lineRule="exact"/>
        <w:rPr>
          <w:sz w:val="20"/>
          <w:szCs w:val="20"/>
          <w:color w:val="auto"/>
        </w:rPr>
      </w:pPr>
    </w:p>
    <w:p>
      <w:pPr>
        <w:jc w:val="center"/>
        <w:ind w:left="5200"/>
        <w:spacing w:after="0"/>
        <w:rPr>
          <w:sz w:val="20"/>
          <w:szCs w:val="20"/>
          <w:color w:val="auto"/>
        </w:rPr>
      </w:pPr>
      <w:r>
        <w:rPr>
          <w:rFonts w:ascii="Arial" w:cs="Arial" w:eastAsia="Arial" w:hAnsi="Arial"/>
          <w:sz w:val="20"/>
          <w:szCs w:val="20"/>
          <w:b w:val="1"/>
          <w:bCs w:val="1"/>
          <w:color w:val="auto"/>
        </w:rPr>
        <w:t>WINNEBAGO INDUSTRIES</w:t>
      </w:r>
    </w:p>
    <w:p>
      <w:pPr>
        <w:spacing w:after="0" w:line="24" w:lineRule="exact"/>
        <w:rPr>
          <w:sz w:val="20"/>
          <w:szCs w:val="20"/>
          <w:color w:val="auto"/>
        </w:rPr>
      </w:pPr>
    </w:p>
    <w:p>
      <w:pPr>
        <w:jc w:val="center"/>
        <w:ind w:left="5200"/>
        <w:spacing w:after="0"/>
        <w:rPr>
          <w:sz w:val="20"/>
          <w:szCs w:val="20"/>
          <w:color w:val="auto"/>
        </w:rPr>
      </w:pPr>
      <w:r>
        <w:rPr>
          <w:rFonts w:ascii="Arial" w:cs="Arial" w:eastAsia="Arial" w:hAnsi="Arial"/>
          <w:sz w:val="20"/>
          <w:szCs w:val="20"/>
          <w:b w:val="1"/>
          <w:bCs w:val="1"/>
          <w:color w:val="auto"/>
        </w:rPr>
        <w:t>ANNUAL MEETING OF SHAREHOLDERS</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Tuesday, December 16, 2014</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4:00 p.m., Central Standard Time</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Winnebago Industries'</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South Office Complex Theater</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605 West Crystal Lake Road</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Forest City, Iowa 50436</w:t>
      </w:r>
    </w:p>
    <w:p>
      <w:pPr>
        <w:spacing w:after="0" w:line="218"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To obtain directions to attend</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the Annual Meeting and vote in person,</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please call Investor Relations</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at (641) 585-6803.</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Important Notice Regarding the Availability of Proxy Materials for the</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Shareholder Meeting to be Held on December 16, 2014.</w:t>
      </w:r>
    </w:p>
    <w:p>
      <w:pPr>
        <w:spacing w:after="0" w:line="5" w:lineRule="exact"/>
        <w:rPr>
          <w:sz w:val="20"/>
          <w:szCs w:val="20"/>
          <w:color w:val="auto"/>
        </w:rPr>
      </w:pPr>
    </w:p>
    <w:p>
      <w:pPr>
        <w:spacing w:after="0" w:line="246" w:lineRule="auto"/>
        <w:rPr>
          <w:sz w:val="20"/>
          <w:szCs w:val="20"/>
          <w:color w:val="auto"/>
        </w:rPr>
      </w:pPr>
      <w:r>
        <w:rPr>
          <w:rFonts w:ascii="Arial" w:cs="Arial" w:eastAsia="Arial" w:hAnsi="Arial"/>
          <w:sz w:val="16"/>
          <w:szCs w:val="16"/>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view the Proxy Statement or Annual Report to Shareholders, have the 11-digit Control #(s) and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87630</wp:posOffset>
            </wp:positionV>
            <wp:extent cx="274447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44470" cy="154305"/>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http://www.idelivercommunications.com/proxy/WGO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you want to receive a paper or e-mail copy of the above listed documents, you must request one. There is no charge to you for requesting a copy.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facilitate timely delivery, please make the request as instructed below on or before December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2"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Matters intended to be acted upon at the meeting are listed below.</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Proposals 1, 2 and 3:</w:t>
      </w:r>
    </w:p>
    <w:p>
      <w:pPr>
        <w:spacing w:after="0" w:line="223" w:lineRule="exact"/>
        <w:rPr>
          <w:sz w:val="20"/>
          <w:szCs w:val="20"/>
          <w:color w:val="auto"/>
        </w:rPr>
      </w:pPr>
    </w:p>
    <w:p>
      <w:pPr>
        <w:ind w:left="820"/>
        <w:spacing w:after="0"/>
        <w:tabs>
          <w:tab w:leader="none" w:pos="1160" w:val="left"/>
          <w:tab w:leader="none" w:pos="4240" w:val="left"/>
          <w:tab w:leader="none" w:pos="4600" w:val="left"/>
        </w:tabs>
        <w:rPr>
          <w:sz w:val="20"/>
          <w:szCs w:val="20"/>
          <w:color w:val="auto"/>
        </w:rPr>
      </w:pPr>
      <w:r>
        <w:rPr>
          <w:rFonts w:ascii="Arial" w:cs="Arial" w:eastAsia="Arial" w:hAnsi="Arial"/>
          <w:sz w:val="16"/>
          <w:szCs w:val="16"/>
          <w:color w:val="auto"/>
        </w:rPr>
        <w:t>1.</w:t>
        <w:tab/>
        <w:t>Election of Class III directors:</w:t>
      </w:r>
      <w:r>
        <w:rPr>
          <w:sz w:val="20"/>
          <w:szCs w:val="20"/>
          <w:color w:val="auto"/>
        </w:rPr>
        <w:tab/>
      </w:r>
      <w:r>
        <w:rPr>
          <w:rFonts w:ascii="Arial" w:cs="Arial" w:eastAsia="Arial" w:hAnsi="Arial"/>
          <w:sz w:val="16"/>
          <w:szCs w:val="16"/>
          <w:color w:val="auto"/>
        </w:rPr>
        <w:t>3.</w:t>
        <w:tab/>
        <w:t>Ratification of the appointment of Deloitte &amp; Touche LLP as Winnebago Industries,</w:t>
      </w:r>
    </w:p>
    <w:p>
      <w:pPr>
        <w:spacing w:after="0" w:line="5" w:lineRule="exact"/>
        <w:rPr>
          <w:sz w:val="20"/>
          <w:szCs w:val="20"/>
          <w:color w:val="auto"/>
        </w:rPr>
      </w:pPr>
    </w:p>
    <w:p>
      <w:pPr>
        <w:ind w:left="1180"/>
        <w:spacing w:after="0"/>
        <w:tabs>
          <w:tab w:leader="none" w:pos="4600" w:val="left"/>
        </w:tabs>
        <w:rPr>
          <w:sz w:val="20"/>
          <w:szCs w:val="20"/>
          <w:color w:val="auto"/>
        </w:rPr>
      </w:pPr>
      <w:r>
        <w:rPr>
          <w:rFonts w:ascii="Arial" w:cs="Arial" w:eastAsia="Arial" w:hAnsi="Arial"/>
          <w:sz w:val="16"/>
          <w:szCs w:val="16"/>
          <w:color w:val="auto"/>
        </w:rPr>
        <w:t>• Randy J. Potts</w:t>
      </w:r>
      <w:r>
        <w:rPr>
          <w:sz w:val="20"/>
          <w:szCs w:val="20"/>
          <w:color w:val="auto"/>
        </w:rPr>
        <w:tab/>
      </w:r>
      <w:r>
        <w:rPr>
          <w:rFonts w:ascii="Arial" w:cs="Arial" w:eastAsia="Arial" w:hAnsi="Arial"/>
          <w:sz w:val="16"/>
          <w:szCs w:val="16"/>
          <w:color w:val="auto"/>
        </w:rPr>
        <w:t>Inc. Independent Registered Public Accountant for our fiscal year 2015.</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 Mark T. Schroepfer</w:t>
      </w:r>
    </w:p>
    <w:p>
      <w:pPr>
        <w:sectPr>
          <w:pgSz w:w="11900" w:h="16838" w:orient="portrait"/>
          <w:cols w:equalWidth="0" w:num="1">
            <w:col w:w="11420"/>
          </w:cols>
          <w:pgMar w:left="240" w:top="764" w:right="239" w:bottom="1440" w:gutter="0" w:footer="0" w:header="0"/>
        </w:sectPr>
      </w:pPr>
    </w:p>
    <w:p>
      <w:pPr>
        <w:spacing w:after="0" w:line="59" w:lineRule="exact"/>
        <w:rPr>
          <w:sz w:val="20"/>
          <w:szCs w:val="20"/>
          <w:color w:val="auto"/>
        </w:rPr>
      </w:pPr>
    </w:p>
    <w:p>
      <w:pPr>
        <w:ind w:left="1180" w:right="49" w:hanging="355"/>
        <w:spacing w:after="0" w:line="253"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Advisory approval of executive compensation, (the "say on pay" vote).</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351" w:right="1000" w:hanging="351"/>
        <w:spacing w:after="0" w:line="260" w:lineRule="auto"/>
        <w:tabs>
          <w:tab w:leader="none" w:pos="351"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or adjournments thereof.</w:t>
      </w:r>
    </w:p>
    <w:p>
      <w:pPr>
        <w:spacing w:after="0" w:line="195" w:lineRule="exact"/>
        <w:rPr>
          <w:sz w:val="20"/>
          <w:szCs w:val="20"/>
          <w:color w:val="auto"/>
        </w:rPr>
      </w:pPr>
    </w:p>
    <w:p>
      <w:pPr>
        <w:sectPr>
          <w:pgSz w:w="11900" w:h="16838" w:orient="portrait"/>
          <w:cols w:equalWidth="0" w:num="2">
            <w:col w:w="3549" w:space="720"/>
            <w:col w:w="7151"/>
          </w:cols>
          <w:pgMar w:left="240" w:top="764" w:right="239" w:bottom="1440" w:gutter="0" w:footer="0" w:header="0"/>
          <w:type w:val="continuous"/>
        </w:sectPr>
      </w:pPr>
    </w:p>
    <w:p>
      <w:pPr>
        <w:ind w:right="320"/>
        <w:spacing w:after="0" w:line="260" w:lineRule="auto"/>
        <w:rPr>
          <w:sz w:val="20"/>
          <w:szCs w:val="20"/>
          <w:color w:val="auto"/>
        </w:rPr>
      </w:pPr>
      <w:r>
        <w:rPr>
          <w:rFonts w:ascii="Arial" w:cs="Arial" w:eastAsia="Arial" w:hAnsi="Arial"/>
          <w:sz w:val="16"/>
          <w:szCs w:val="16"/>
          <w:color w:val="auto"/>
        </w:rPr>
        <w:t>These items of business are more fully described in the proxy statement. The record date for the annual meeting is October 14, 2014. Only shareholders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226060</wp:posOffset>
            </wp:positionV>
            <wp:extent cx="151765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154305"/>
                    </a:xfrm>
                    <a:prstGeom prst="rect">
                      <a:avLst/>
                    </a:prstGeom>
                    <a:noFill/>
                  </pic:spPr>
                </pic:pic>
              </a:graphicData>
            </a:graphic>
          </wp:anchor>
        </w:drawing>
      </w:r>
    </w:p>
    <w:p>
      <w:pPr>
        <w:spacing w:after="0" w:line="345" w:lineRule="exact"/>
        <w:rPr>
          <w:sz w:val="20"/>
          <w:szCs w:val="20"/>
          <w:color w:val="auto"/>
        </w:rPr>
      </w:pPr>
    </w:p>
    <w:p>
      <w:pPr>
        <w:ind w:left="460"/>
        <w:spacing w:after="0"/>
        <w:tabs>
          <w:tab w:leader="none" w:pos="8220" w:val="left"/>
        </w:tabs>
        <w:rPr>
          <w:sz w:val="20"/>
          <w:szCs w:val="20"/>
          <w:color w:val="auto"/>
        </w:rPr>
      </w:pPr>
      <w:r>
        <w:rPr>
          <w:rFonts w:ascii="Arial" w:cs="Arial" w:eastAsia="Arial" w:hAnsi="Arial"/>
          <w:sz w:val="16"/>
          <w:szCs w:val="16"/>
          <w:b w:val="1"/>
          <w:bCs w:val="1"/>
          <w:color w:val="auto"/>
        </w:rPr>
        <w:t>You may immediately vote your proxy on the Internet at:</w:t>
      </w:r>
      <w:r>
        <w:rPr>
          <w:sz w:val="20"/>
          <w:szCs w:val="20"/>
          <w:color w:val="auto"/>
        </w:rPr>
        <w:tab/>
      </w:r>
      <w:r>
        <w:rPr>
          <w:rFonts w:ascii="Arial" w:cs="Arial" w:eastAsia="Arial" w:hAnsi="Arial"/>
          <w:sz w:val="16"/>
          <w:szCs w:val="16"/>
          <w:b w:val="1"/>
          <w:bCs w:val="1"/>
          <w:color w:val="auto"/>
        </w:rPr>
        <w:t>www.proxypush.com/wgo</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Use the Internet to vote your proxy 24 hours a day, 7 days a week, until 12:00 p.m. (CST) on December 15, 2014.</w:t>
      </w:r>
    </w:p>
    <w:p>
      <w:pPr>
        <w:spacing w:after="0" w:line="59" w:lineRule="exact"/>
        <w:rPr>
          <w:sz w:val="20"/>
          <w:szCs w:val="20"/>
          <w:color w:val="auto"/>
        </w:rPr>
      </w:pPr>
    </w:p>
    <w:p>
      <w:pPr>
        <w:ind w:left="1100" w:right="520" w:hanging="595"/>
        <w:spacing w:after="0" w:line="182" w:lineRule="auto"/>
        <w:tabs>
          <w:tab w:leader="none" w:pos="1100" w:val="left"/>
        </w:tabs>
        <w:numPr>
          <w:ilvl w:val="0"/>
          <w:numId w:val="8"/>
        </w:numPr>
        <w:rPr>
          <w:rFonts w:ascii="Arial" w:cs="Arial" w:eastAsia="Arial" w:hAnsi="Arial"/>
          <w:sz w:val="30"/>
          <w:szCs w:val="30"/>
          <w:color w:val="auto"/>
        </w:rPr>
      </w:pPr>
      <w:r>
        <w:rPr>
          <w:rFonts w:ascii="Arial" w:cs="Arial" w:eastAsia="Arial" w:hAnsi="Arial"/>
          <w:sz w:val="14"/>
          <w:szCs w:val="14"/>
          <w:color w:val="auto"/>
        </w:rPr>
        <w:t>• Please have this Notice and the last four digits of your Social Security Number or Tax Identification Number available. Follow the simple instructions to obtain your records and submit your proxy vote electronically.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Internet vote authorizes the Named Proxies to vote your shares 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To request paper or e-mail copies of the annual report and the proxy materials,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which include the proxy card and the proxy statement, please contact us via:</w:t>
      </w:r>
    </w:p>
    <w:p>
      <w:pPr>
        <w:spacing w:after="0" w:line="284" w:lineRule="exact"/>
        <w:rPr>
          <w:sz w:val="20"/>
          <w:szCs w:val="20"/>
          <w:color w:val="auto"/>
        </w:rPr>
      </w:pPr>
    </w:p>
    <w:p>
      <w:pPr>
        <w:ind w:left="600" w:right="340" w:hanging="345"/>
        <w:spacing w:after="0" w:line="187" w:lineRule="auto"/>
        <w:tabs>
          <w:tab w:leader="none" w:pos="600" w:val="left"/>
        </w:tabs>
        <w:numPr>
          <w:ilvl w:val="0"/>
          <w:numId w:val="9"/>
        </w:numPr>
        <w:rPr>
          <w:rFonts w:ascii="Arial" w:cs="Arial" w:eastAsia="Arial" w:hAnsi="Arial"/>
          <w:sz w:val="34"/>
          <w:szCs w:val="34"/>
          <w:color w:val="auto"/>
          <w:vertAlign w:val="subscript"/>
        </w:rPr>
      </w:pPr>
      <w:r>
        <w:rPr>
          <w:rFonts w:ascii="Arial" w:cs="Arial" w:eastAsia="Arial" w:hAnsi="Arial"/>
          <w:sz w:val="14"/>
          <w:szCs w:val="14"/>
          <w:b w:val="1"/>
          <w:bCs w:val="1"/>
          <w:color w:val="auto"/>
        </w:rPr>
        <w:t xml:space="preserve">Internet </w:t>
      </w:r>
      <w:r>
        <w:rPr>
          <w:rFonts w:ascii="Arial" w:cs="Arial" w:eastAsia="Arial" w:hAnsi="Arial"/>
          <w:sz w:val="13"/>
          <w:szCs w:val="13"/>
          <w:color w:val="auto"/>
        </w:rPr>
        <w:t>- Access the Internet and go to www.idelivercommunications.com/proxy/WGO. Follow the instructions to log in, and order copies. Please</w:t>
      </w:r>
      <w:r>
        <w:rPr>
          <w:rFonts w:ascii="Arial" w:cs="Arial" w:eastAsia="Arial" w:hAnsi="Arial"/>
          <w:sz w:val="14"/>
          <w:szCs w:val="14"/>
          <w:b w:val="1"/>
          <w:bCs w:val="1"/>
          <w:color w:val="auto"/>
        </w:rPr>
        <w:t xml:space="preserve"> </w:t>
      </w:r>
      <w:r>
        <w:rPr>
          <w:rFonts w:ascii="Arial" w:cs="Arial" w:eastAsia="Arial" w:hAnsi="Arial"/>
          <w:sz w:val="13"/>
          <w:szCs w:val="13"/>
          <w:color w:val="auto"/>
        </w:rPr>
        <w:t>make the request on or before December 5, 2014.</w:t>
      </w:r>
    </w:p>
    <w:p>
      <w:pPr>
        <w:ind w:left="600" w:hanging="349"/>
        <w:spacing w:after="0" w:line="182" w:lineRule="auto"/>
        <w:tabs>
          <w:tab w:leader="none" w:pos="600" w:val="left"/>
        </w:tabs>
        <w:numPr>
          <w:ilvl w:val="0"/>
          <w:numId w:val="10"/>
        </w:numPr>
        <w:rPr>
          <w:rFonts w:ascii="Arial" w:cs="Arial" w:eastAsia="Arial" w:hAnsi="Arial"/>
          <w:sz w:val="31"/>
          <w:szCs w:val="31"/>
          <w:color w:val="auto"/>
          <w:vertAlign w:val="subscript"/>
        </w:rPr>
      </w:pPr>
      <w:r>
        <w:rPr>
          <w:rFonts w:ascii="Arial" w:cs="Arial" w:eastAsia="Arial" w:hAnsi="Arial"/>
          <w:sz w:val="14"/>
          <w:szCs w:val="14"/>
          <w:b w:val="1"/>
          <w:bCs w:val="1"/>
          <w:color w:val="auto"/>
        </w:rPr>
        <w:t xml:space="preserve">Telephone </w:t>
      </w:r>
      <w:r>
        <w:rPr>
          <w:rFonts w:ascii="Arial" w:cs="Arial" w:eastAsia="Arial" w:hAnsi="Arial"/>
          <w:sz w:val="14"/>
          <w:szCs w:val="14"/>
          <w:color w:val="auto"/>
        </w:rPr>
        <w:t>- Call us free of charge at 877-847-4696 in the U.S. or Canada to order paper copies.</w:t>
      </w:r>
    </w:p>
    <w:p>
      <w:pPr>
        <w:spacing w:after="0" w:line="205" w:lineRule="exact"/>
        <w:rPr>
          <w:sz w:val="20"/>
          <w:szCs w:val="20"/>
          <w:color w:val="auto"/>
        </w:rPr>
      </w:pPr>
    </w:p>
    <w:p>
      <w:pPr>
        <w:ind w:left="600" w:right="160" w:hanging="358"/>
        <w:spacing w:after="0" w:line="187" w:lineRule="auto"/>
        <w:tabs>
          <w:tab w:leader="none" w:pos="600" w:val="left"/>
        </w:tabs>
        <w:numPr>
          <w:ilvl w:val="0"/>
          <w:numId w:val="11"/>
        </w:numPr>
        <w:rPr>
          <w:rFonts w:ascii="Arial" w:cs="Arial" w:eastAsia="Arial" w:hAnsi="Arial"/>
          <w:sz w:val="32"/>
          <w:szCs w:val="32"/>
          <w:color w:val="auto"/>
          <w:vertAlign w:val="subscript"/>
        </w:rPr>
      </w:pPr>
      <w:r>
        <w:rPr>
          <w:rFonts w:ascii="Arial" w:cs="Arial" w:eastAsia="Arial" w:hAnsi="Arial"/>
          <w:sz w:val="13"/>
          <w:szCs w:val="13"/>
          <w:b w:val="1"/>
          <w:bCs w:val="1"/>
          <w:color w:val="auto"/>
        </w:rPr>
        <w:t xml:space="preserve">Email </w:t>
      </w:r>
      <w:r>
        <w:rPr>
          <w:rFonts w:ascii="Arial" w:cs="Arial" w:eastAsia="Arial" w:hAnsi="Arial"/>
          <w:sz w:val="13"/>
          <w:szCs w:val="13"/>
          <w:color w:val="auto"/>
        </w:rPr>
        <w:t>- Send us an email at ideliver@afpi.com. Please put “Paper Material” or “E-mail Material” in the subject line, followed by the 11-Digit Control #.</w:t>
      </w:r>
      <w:r>
        <w:rPr>
          <w:rFonts w:ascii="Arial" w:cs="Arial" w:eastAsia="Arial" w:hAnsi="Arial"/>
          <w:sz w:val="13"/>
          <w:szCs w:val="13"/>
          <w:b w:val="1"/>
          <w:bCs w:val="1"/>
          <w:color w:val="auto"/>
        </w:rPr>
        <w:t xml:space="preserve"> </w:t>
      </w:r>
      <w:r>
        <w:rPr>
          <w:rFonts w:ascii="Arial" w:cs="Arial" w:eastAsia="Arial" w:hAnsi="Arial"/>
          <w:sz w:val="13"/>
          <w:szCs w:val="13"/>
          <w:color w:val="auto"/>
        </w:rPr>
        <w:t>Requests, instructions and other inquiries will not be forwarded to your investment advisor.</w:t>
      </w:r>
    </w:p>
    <w:sectPr>
      <w:pgSz w:w="11900" w:h="16838" w:orient="portrait"/>
      <w:cols w:equalWidth="0" w:num="1">
        <w:col w:w="11420"/>
      </w:cols>
      <w:pgMar w:left="240" w:top="76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x"/>
      <w:numFmt w:val="bullet"/>
      <w:start w:val="1"/>
    </w:lvl>
  </w:abstractNum>
  <w:abstractNum w:abstractNumId="2">
    <w:nsid w:val="41B71EFB"/>
    <w:multiLevelType w:val="hybridMultilevel"/>
    <w:lvl w:ilvl="0">
      <w:lvlJc w:val="left"/>
      <w:lvlText w:val="o"/>
      <w:numFmt w:val="bullet"/>
      <w:start w:val="1"/>
    </w:lvl>
  </w:abstractNum>
  <w:abstractNum w:abstractNumId="3">
    <w:nsid w:val="79E2A9E3"/>
    <w:multiLevelType w:val="hybridMultilevel"/>
    <w:lvl w:ilvl="0">
      <w:lvlJc w:val="left"/>
      <w:lvlText w:val="x"/>
      <w:numFmt w:val="bullet"/>
      <w:start w:val="1"/>
    </w:lvl>
  </w:abstractNum>
  <w:abstractNum w:abstractNumId="4">
    <w:nsid w:val="7545E146"/>
    <w:multiLevelType w:val="hybridMultilevel"/>
    <w:lvl w:ilvl="0">
      <w:lvlJc w:val="left"/>
      <w:lvlText w:val="o"/>
      <w:numFmt w:val="bullet"/>
      <w:start w:val="1"/>
    </w:lvl>
    <w:lvl w:ilvl="1">
      <w:lvlJc w:val="left"/>
      <w:lvlText w:val="(%2)"/>
      <w:numFmt w:val="decimal"/>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4"/>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2019-12-05T15:37:32Z</dcterms:created>
  <dcterms:modified xsi:type="dcterms:W3CDTF">2019-12-05T15:37:32Z</dcterms:modified>
</cp:coreProperties>
</file>