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656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60" w:type="dxa"/>
            <w:vAlign w:val="bottom"/>
            <w:vMerge w:val="restart"/>
          </w:tcPr>
          <w:p>
            <w:pPr>
              <w:jc w:val="center"/>
              <w:ind w:right="19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-652780</wp:posOffset>
            </wp:positionV>
            <wp:extent cx="59690" cy="66611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4148455</wp:posOffset>
            </wp:positionH>
            <wp:positionV relativeFrom="paragraph">
              <wp:posOffset>-652780</wp:posOffset>
            </wp:positionV>
            <wp:extent cx="59690" cy="66611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61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-1696085</wp:posOffset>
            </wp:positionH>
            <wp:positionV relativeFrom="paragraph">
              <wp:posOffset>20955</wp:posOffset>
            </wp:positionV>
            <wp:extent cx="7322820" cy="49396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49396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Fisher William C.</w:t>
        </w:r>
      </w:hyperlink>
    </w:p>
    <w:p>
      <w:pPr>
        <w:spacing w:after="0" w:line="3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8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WINNEBAGO INDUSTRIES, INC.</w:t>
            </w:r>
          </w:p>
        </w:tc>
      </w:tr>
      <w:tr>
        <w:trPr>
          <w:trHeight w:val="26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P.O. BOX 152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69"/>
        </w:trPr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FOREST CITY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IA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50436</w:t>
            </w:r>
          </w:p>
        </w:tc>
      </w:tr>
      <w:tr>
        <w:trPr>
          <w:trHeight w:val="15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3980" w:type="dxa"/>
            <w:vAlign w:val="bottom"/>
            <w:gridSpan w:val="4"/>
          </w:tcPr>
          <w:p>
            <w:pPr>
              <w:ind w:left="80"/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8"/>
                </w:rPr>
                <w:t xml:space="preserve">WINNEBAGO INDUSTRIES INC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WGO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8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8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03/31/2017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260"/>
        <w:spacing w:after="0" w:line="236" w:lineRule="auto"/>
        <w:tabs>
          <w:tab w:leader="none" w:pos="45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6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9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520"/>
          </w:cols>
          <w:pgMar w:left="240" w:top="226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31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3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2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1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808080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5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II - Derivative Securities Acquired, Disposed of, or Beneficially Owned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jc w:val="center"/>
        <w:ind w:right="-19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(e.g., puts, calls, warrants, options, convertible securities)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2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8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Winnebago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6"/>
                <w:szCs w:val="26"/>
                <w:color w:val="0000FF"/>
                <w:w w:val="94"/>
                <w:vertAlign w:val="subscript"/>
              </w:rPr>
              <w:t>157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4"/>
              </w:rPr>
              <w:t>(2)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2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 w:line="3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34"/>
                <w:szCs w:val="34"/>
                <w:color w:val="0000FF"/>
                <w:w w:val="93"/>
                <w:vertAlign w:val="subscript"/>
              </w:rPr>
              <w:t>157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4,314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76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jc w:val="right"/>
              <w:ind w:right="178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03/31/2017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29.25</w:t>
            </w:r>
          </w:p>
        </w:tc>
        <w:tc>
          <w:tcPr>
            <w:tcW w:w="98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jc w:val="both"/>
        <w:ind w:left="40" w:right="320" w:firstLine="8"/>
        <w:spacing w:after="0" w:line="25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Winnebago Stock Units are accrued under the Winnebago Industries, Inc. Directors Deferred Compensation Plan and are to be settled 100% in Winnebago common stock upon the earliest of the following events: reporting person's termination of service as a director, death, disability or a "change in the effective control of the Company" as defined in the Plan pursuant to an election made by reporting person on 12/17/2016.</w:t>
      </w:r>
    </w:p>
    <w:p>
      <w:pPr>
        <w:spacing w:after="0" w:line="2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amount of Winnebago Stock Units acquired by reporting person on the transaction date.</w:t>
      </w:r>
    </w:p>
    <w:p>
      <w:pPr>
        <w:spacing w:after="0" w:line="52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total amount of Winnebago Stock Units held by reporting person in Winnebago Industries, Inc. Directors Deferred Compensation Plan as of reporting date.</w:t>
      </w:r>
    </w:p>
    <w:p>
      <w:pPr>
        <w:spacing w:after="0" w:line="8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/s/ Scott C. Folkers, Secretary,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-6985</wp:posOffset>
            </wp:positionV>
            <wp:extent cx="1347470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Winnebago Industries, Inc.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03/31/2017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958975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89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under Power of Attorney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4354830</wp:posOffset>
            </wp:positionH>
            <wp:positionV relativeFrom="paragraph">
              <wp:posOffset>-11430</wp:posOffset>
            </wp:positionV>
            <wp:extent cx="11074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7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5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00" w:firstLine="8"/>
        <w:spacing w:after="0" w:line="322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418241" TargetMode="External"/><Relationship Id="rId13" Type="http://schemas.openxmlformats.org/officeDocument/2006/relationships/hyperlink" Target="http://www.sec.gov/cgi-bin/browse-edgar?action=getcompany&amp;CIK=00001076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2019-12-03T23:31:15Z</dcterms:created>
  <dcterms:modified xsi:type="dcterms:W3CDTF">2019-12-03T23:31:15Z</dcterms:modified>
</cp:coreProperties>
</file>