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188595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182880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6" w:lineRule="exact"/>
        <w:rPr>
          <w:sz w:val="24"/>
          <w:szCs w:val="24"/>
          <w:color w:val="auto"/>
        </w:rPr>
      </w:pPr>
    </w:p>
    <w:p>
      <w:pPr>
        <w:jc w:val="center"/>
        <w:ind w:right="-19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November 14,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00" w:type="dxa"/>
            <w:vAlign w:val="bottom"/>
          </w:tcPr>
          <w:p>
            <w:pPr>
              <w:jc w:val="right"/>
              <w:ind w:right="962"/>
              <w:spacing w:after="0"/>
              <w:rPr>
                <w:sz w:val="20"/>
                <w:szCs w:val="20"/>
                <w:color w:val="auto"/>
              </w:rPr>
            </w:pPr>
            <w:r>
              <w:rPr>
                <w:rFonts w:ascii="Arial" w:cs="Arial" w:eastAsia="Arial" w:hAnsi="Arial"/>
                <w:sz w:val="22"/>
                <w:szCs w:val="22"/>
                <w:color w:val="auto"/>
              </w:rPr>
              <w:t>001-06403</w:t>
            </w:r>
          </w:p>
        </w:tc>
        <w:tc>
          <w:tcPr>
            <w:tcW w:w="290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00" w:type="dxa"/>
            <w:vAlign w:val="bottom"/>
          </w:tcPr>
          <w:p>
            <w:pPr>
              <w:jc w:val="center"/>
              <w:ind w:left="82"/>
              <w:spacing w:after="0"/>
              <w:rPr>
                <w:sz w:val="20"/>
                <w:szCs w:val="20"/>
                <w:color w:val="auto"/>
              </w:rPr>
            </w:pPr>
            <w:r>
              <w:rPr>
                <w:rFonts w:ascii="Arial" w:cs="Arial" w:eastAsia="Arial" w:hAnsi="Arial"/>
                <w:sz w:val="18"/>
                <w:szCs w:val="18"/>
                <w:color w:val="auto"/>
                <w:w w:val="90"/>
              </w:rPr>
              <w:t>(Commission File Number)</w:t>
            </w:r>
          </w:p>
        </w:tc>
        <w:tc>
          <w:tcPr>
            <w:tcW w:w="2900" w:type="dxa"/>
            <w:vAlign w:val="bottom"/>
          </w:tcPr>
          <w:p>
            <w:pPr>
              <w:jc w:val="center"/>
              <w:ind w:left="148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00" w:type="dxa"/>
            <w:vAlign w:val="bottom"/>
          </w:tcPr>
          <w:p>
            <w:pPr>
              <w:spacing w:after="0"/>
              <w:rPr>
                <w:sz w:val="21"/>
                <w:szCs w:val="21"/>
                <w:color w:val="auto"/>
              </w:rPr>
            </w:pPr>
          </w:p>
        </w:tc>
        <w:tc>
          <w:tcPr>
            <w:tcW w:w="2900" w:type="dxa"/>
            <w:vAlign w:val="bottom"/>
          </w:tcPr>
          <w:p>
            <w:pPr>
              <w:jc w:val="center"/>
              <w:ind w:left="148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00" w:type="dxa"/>
            <w:vAlign w:val="bottom"/>
          </w:tcPr>
          <w:p>
            <w:pPr>
              <w:spacing w:after="0"/>
              <w:rPr>
                <w:sz w:val="24"/>
                <w:szCs w:val="24"/>
                <w:color w:val="auto"/>
              </w:rPr>
            </w:pPr>
          </w:p>
        </w:tc>
        <w:tc>
          <w:tcPr>
            <w:tcW w:w="290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spacing w:after="0"/>
              <w:rPr>
                <w:sz w:val="19"/>
                <w:szCs w:val="19"/>
                <w:color w:val="auto"/>
              </w:rPr>
            </w:pPr>
          </w:p>
        </w:tc>
        <w:tc>
          <w:tcPr>
            <w:tcW w:w="2900" w:type="dxa"/>
            <w:vAlign w:val="bottom"/>
          </w:tcPr>
          <w:p>
            <w:pPr>
              <w:jc w:val="center"/>
              <w:ind w:left="1502"/>
              <w:spacing w:after="0"/>
              <w:rPr>
                <w:sz w:val="20"/>
                <w:szCs w:val="20"/>
                <w:color w:val="auto"/>
              </w:rPr>
            </w:pPr>
            <w:r>
              <w:rPr>
                <w:rFonts w:ascii="Arial" w:cs="Arial" w:eastAsia="Arial" w:hAnsi="Arial"/>
                <w:sz w:val="18"/>
                <w:szCs w:val="18"/>
                <w:color w:val="auto"/>
                <w:w w:val="91"/>
              </w:rPr>
              <w:t>(Zip Code)</w:t>
            </w:r>
          </w:p>
        </w:tc>
      </w:tr>
      <w:tr>
        <w:trPr>
          <w:trHeight w:val="714"/>
        </w:trPr>
        <w:tc>
          <w:tcPr>
            <w:tcW w:w="678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900" w:type="dxa"/>
            <w:vAlign w:val="bottom"/>
          </w:tcPr>
          <w:p>
            <w:pPr>
              <w:jc w:val="right"/>
              <w:ind w:right="146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861695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Item 5.02 Departure of Directors or Principal Officers; Election of Directors; Appointment of Principal Officers</w:t>
      </w:r>
    </w:p>
    <w:p>
      <w:pPr>
        <w:spacing w:after="0" w:line="200" w:lineRule="exact"/>
        <w:rPr>
          <w:sz w:val="24"/>
          <w:szCs w:val="24"/>
          <w:color w:val="auto"/>
        </w:rPr>
      </w:pPr>
    </w:p>
    <w:p>
      <w:pPr>
        <w:spacing w:after="0" w:line="280" w:lineRule="exact"/>
        <w:rPr>
          <w:sz w:val="24"/>
          <w:szCs w:val="24"/>
          <w:color w:val="auto"/>
        </w:rPr>
      </w:pPr>
    </w:p>
    <w:p>
      <w:pPr>
        <w:ind w:firstLine="359"/>
        <w:spacing w:after="0" w:line="306" w:lineRule="auto"/>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&amp; (c)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or </w:t>
      </w:r>
      <w:r>
        <w:rPr>
          <w:rFonts w:ascii="Arial" w:cs="Arial" w:eastAsia="Arial" w:hAnsi="Arial"/>
          <w:sz w:val="16"/>
          <w:szCs w:val="16"/>
          <w:i w:val="1"/>
          <w:iCs w:val="1"/>
          <w:color w:val="auto"/>
        </w:rPr>
        <w:t>“Winnebago”</w:t>
      </w:r>
      <w:r>
        <w:rPr>
          <w:rFonts w:ascii="Arial" w:cs="Arial" w:eastAsia="Arial" w:hAnsi="Arial"/>
          <w:sz w:val="16"/>
          <w:szCs w:val="16"/>
          <w:color w:val="auto"/>
        </w:rPr>
        <w:t>) announced that the Human Resources Committee recommended, and the Board of Directors elected, Sarah N. Nielsen to the position of Vice President —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effective November 14, 2005. The Company also announced that Edwin F. Barker, its President, relinquished the title of CFO in order to focus on the day-to-day management of the Company.</w:t>
      </w:r>
    </w:p>
    <w:p>
      <w:pPr>
        <w:spacing w:after="0" w:line="161" w:lineRule="exact"/>
        <w:rPr>
          <w:sz w:val="24"/>
          <w:szCs w:val="24"/>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Ms. Nielsen, a certified public accountant, was employed by Deloitte &amp; Touche LLP for ten years, most recently as an Advisory Services Senior Manager for the period from September 2003 through July 2005 and as a Manager for the period from September 2000 through August 2003. Ms. Nielsen served as the Company’s Director of Special Projects and Training for the period from August 2005 until her election as CFO.</w:t>
      </w:r>
    </w:p>
    <w:p>
      <w:pPr>
        <w:sectPr>
          <w:pgSz w:w="11900" w:h="16838" w:orient="portrait"/>
          <w:cols w:equalWidth="0" w:num="1">
            <w:col w:w="11240"/>
          </w:cols>
          <w:pgMar w:left="240" w:top="1440" w:right="419" w:bottom="0" w:gutter="0" w:footer="0" w:header="0"/>
        </w:sectPr>
      </w:pPr>
    </w:p>
    <w:bookmarkStart w:id="1" w:name="page2"/>
    <w:bookmarkEnd w:id="1"/>
    <w:p>
      <w:pPr>
        <w:ind w:firstLine="351"/>
        <w:spacing w:after="0" w:line="294" w:lineRule="auto"/>
        <w:rPr>
          <w:sz w:val="20"/>
          <w:szCs w:val="20"/>
          <w:color w:val="auto"/>
        </w:rPr>
      </w:pPr>
      <w:r>
        <w:rPr>
          <w:rFonts w:ascii="Arial" w:cs="Arial" w:eastAsia="Arial" w:hAnsi="Arial"/>
          <w:sz w:val="16"/>
          <w:szCs w:val="16"/>
          <w:color w:val="auto"/>
        </w:rPr>
        <w:t xml:space="preserve">Ms. Nielsen will receive a base salary of $200,000 per year. Ms. Nielsen was granted options to purchase 12,500 shares (9,273 Incentive Stock Options and 3,227 Non-Qualified Stock Options) of the Company’s common stock at an exercise price of $32.345 per share, pursuant to the shareholder approved Winnebago Industries, Inc. 2004 Incentive Compensation Plan (the </w:t>
      </w:r>
      <w:r>
        <w:rPr>
          <w:rFonts w:ascii="Arial" w:cs="Arial" w:eastAsia="Arial" w:hAnsi="Arial"/>
          <w:sz w:val="16"/>
          <w:szCs w:val="16"/>
          <w:i w:val="1"/>
          <w:iCs w:val="1"/>
          <w:color w:val="auto"/>
        </w:rPr>
        <w:t>“Plan”</w:t>
      </w:r>
      <w:r>
        <w:rPr>
          <w:rFonts w:ascii="Arial" w:cs="Arial" w:eastAsia="Arial" w:hAnsi="Arial"/>
          <w:sz w:val="16"/>
          <w:szCs w:val="16"/>
          <w:color w:val="auto"/>
        </w:rPr>
        <w:t>). Winnebago filed a copy of the Plan with the Securities and Exchange Commission as Appendix B to Winnebago’s Proxy Statement filed on November 21, 2003. The options become exercisable in annual increments of one-third commencing November 14, 2006 and expire 10 years from the date of grant, unless terminated earlier in accordance with the applicable agreement.</w:t>
      </w:r>
    </w:p>
    <w:p>
      <w:pPr>
        <w:spacing w:after="0" w:line="170"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These grants were made pursuant to the forms of master Incentive Stock Option Agreement and master Non-Qualified Stock Option Agreement to be entered into between Winnebago and participants under the Plan for grants of incentive stock options and non-qualified stock options, respectively, filed on Exhibits 10.1 and 10.2 to Winnebago’s Current Report on Form 8-K dated October 13, 2004.</w:t>
      </w:r>
    </w:p>
    <w:p>
      <w:pPr>
        <w:spacing w:after="0" w:line="194"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 xml:space="preserve">Ms. Nielsen is also entitled to participate in the Company’s (i) Officers Incentive Compensation Plan — Fiscal Period 2006 (the </w:t>
      </w:r>
      <w:r>
        <w:rPr>
          <w:rFonts w:ascii="Arial" w:cs="Arial" w:eastAsia="Arial" w:hAnsi="Arial"/>
          <w:sz w:val="16"/>
          <w:szCs w:val="16"/>
          <w:i w:val="1"/>
          <w:iCs w:val="1"/>
          <w:color w:val="auto"/>
        </w:rPr>
        <w:t>“2006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Plan”</w:t>
      </w:r>
      <w:r>
        <w:rPr>
          <w:rFonts w:ascii="Arial" w:cs="Arial" w:eastAsia="Arial" w:hAnsi="Arial"/>
          <w:sz w:val="16"/>
          <w:szCs w:val="16"/>
          <w:color w:val="auto"/>
        </w:rPr>
        <w:t>) and (ii) Officers Long-Term Incentive Plan — Fiscal Three-Year Period 2006, 2007 and 2008 (the</w:t>
      </w:r>
      <w:r>
        <w:rPr>
          <w:rFonts w:ascii="Arial" w:cs="Arial" w:eastAsia="Arial" w:hAnsi="Arial"/>
          <w:sz w:val="16"/>
          <w:szCs w:val="16"/>
          <w:i w:val="1"/>
          <w:iCs w:val="1"/>
          <w:color w:val="auto"/>
        </w:rPr>
        <w:t xml:space="preserve"> “LTIP 2006-2008”</w:t>
      </w:r>
      <w:r>
        <w:rPr>
          <w:rFonts w:ascii="Arial" w:cs="Arial" w:eastAsia="Arial" w:hAnsi="Arial"/>
          <w:sz w:val="16"/>
          <w:szCs w:val="16"/>
          <w:color w:val="auto"/>
        </w:rPr>
        <w:t>) as a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each as described in the Company’s Current Report on Form 8-K dated August 30, 2005.</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and Ms. Nielsen entered into an Executive Change of Control Agreement substantially in the form of the Executive Change of Control Agreements as described in the Company’s Proxy Statement relating to the Annual Meeting of Shareholders scheduled to be held on January 10, 2006 under the heading “Change in Control Arrangements.”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00" w:lineRule="exact"/>
        <w:rPr>
          <w:sz w:val="20"/>
          <w:szCs w:val="20"/>
          <w:color w:val="auto"/>
        </w:rPr>
      </w:pPr>
    </w:p>
    <w:p>
      <w:pPr>
        <w:spacing w:after="0" w:line="26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November 14, 2005, the Company issued a press release announcing the election of Sarah Nielsen as the Company’s CFO and the relinquishment of the title of CFO by Ed Barker. The press release is furnished as Exhibit 99.1 to this Current Report on Form 8-K.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Number Description</w:t>
      </w:r>
    </w:p>
    <w:p>
      <w:pPr>
        <w:spacing w:after="0" w:line="246"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Executive Change of Control Agreement between the Company and Sarah Nielsen, dated as of November 14, 2005</w:t>
      </w:r>
    </w:p>
    <w:p>
      <w:pPr>
        <w:spacing w:after="0" w:line="252" w:lineRule="exact"/>
        <w:rPr>
          <w:sz w:val="20"/>
          <w:szCs w:val="20"/>
          <w:color w:val="auto"/>
        </w:rPr>
      </w:pPr>
    </w:p>
    <w:p>
      <w:pPr>
        <w:ind w:left="11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14, 2005</w:t>
      </w:r>
    </w:p>
    <w:p>
      <w:pPr>
        <w:spacing w:after="0" w:line="252" w:lineRule="exact"/>
        <w:rPr>
          <w:sz w:val="20"/>
          <w:szCs w:val="20"/>
          <w:color w:val="auto"/>
        </w:rPr>
      </w:pPr>
    </w:p>
    <w:p>
      <w:pPr>
        <w:ind w:left="1620" w:right="60"/>
        <w:spacing w:after="0" w:line="268" w:lineRule="auto"/>
        <w:rPr>
          <w:sz w:val="20"/>
          <w:szCs w:val="20"/>
          <w:color w:val="auto"/>
        </w:rPr>
      </w:pPr>
      <w:r>
        <w:rPr>
          <w:rFonts w:ascii="Arial" w:cs="Arial" w:eastAsia="Arial" w:hAnsi="Arial"/>
          <w:sz w:val="18"/>
          <w:szCs w:val="18"/>
          <w:color w:val="auto"/>
        </w:rPr>
        <w:t>Pursuant to SEC Release Nos. 33-84000 and 34-49424, Exhibit 99.1 is being furnished and will not be deemed “filed” for purposes of the Securities Act of 1933 or the Securities Exchange Act of 1934.</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26"/>
          <w:szCs w:val="26"/>
          <w:b w:val="1"/>
          <w:bCs w:val="1"/>
          <w:color w:val="auto"/>
        </w:rPr>
        <w:t>S</w:t>
      </w:r>
      <w:r>
        <w:rPr>
          <w:rFonts w:ascii="Arial" w:cs="Arial" w:eastAsia="Arial" w:hAnsi="Arial"/>
          <w:sz w:val="18"/>
          <w:szCs w:val="18"/>
          <w:b w:val="1"/>
          <w:bCs w:val="1"/>
          <w:color w:val="auto"/>
        </w:rPr>
        <w:t>IGNATURES</w:t>
      </w:r>
    </w:p>
    <w:p>
      <w:pPr>
        <w:spacing w:after="0" w:line="3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960" w:type="dxa"/>
            <w:vAlign w:val="bottom"/>
          </w:tcPr>
          <w:p>
            <w:pPr>
              <w:spacing w:after="0"/>
              <w:rPr>
                <w:sz w:val="20"/>
                <w:szCs w:val="20"/>
                <w:color w:val="auto"/>
              </w:rPr>
            </w:pPr>
            <w:r>
              <w:rPr>
                <w:rFonts w:ascii="Arial" w:cs="Arial" w:eastAsia="Arial" w:hAnsi="Arial"/>
                <w:sz w:val="18"/>
                <w:szCs w:val="18"/>
                <w:color w:val="auto"/>
              </w:rPr>
              <w:t>Date: November 15, 2005</w:t>
            </w:r>
          </w:p>
        </w:tc>
        <w:tc>
          <w:tcPr>
            <w:tcW w:w="6960" w:type="dxa"/>
            <w:vAlign w:val="bottom"/>
            <w:gridSpan w:val="3"/>
          </w:tcPr>
          <w:p>
            <w:pPr>
              <w:ind w:left="212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960" w:type="dxa"/>
            <w:vAlign w:val="bottom"/>
          </w:tcPr>
          <w:p>
            <w:pPr>
              <w:spacing w:after="0"/>
              <w:rPr>
                <w:sz w:val="24"/>
                <w:szCs w:val="24"/>
                <w:color w:val="auto"/>
              </w:rPr>
            </w:pPr>
          </w:p>
        </w:tc>
        <w:tc>
          <w:tcPr>
            <w:tcW w:w="2640" w:type="dxa"/>
            <w:vAlign w:val="bottom"/>
          </w:tcPr>
          <w:p>
            <w:pPr>
              <w:ind w:left="21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960" w:type="dxa"/>
            <w:vAlign w:val="bottom"/>
          </w:tcPr>
          <w:p>
            <w:pPr>
              <w:spacing w:after="0"/>
              <w:rPr>
                <w:sz w:val="22"/>
                <w:szCs w:val="22"/>
                <w:color w:val="auto"/>
              </w:rPr>
            </w:pPr>
          </w:p>
        </w:tc>
        <w:tc>
          <w:tcPr>
            <w:tcW w:w="2640" w:type="dxa"/>
            <w:vAlign w:val="bottom"/>
          </w:tcPr>
          <w:p>
            <w:pPr>
              <w:ind w:left="212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960" w:type="dxa"/>
            <w:vAlign w:val="bottom"/>
          </w:tcPr>
          <w:p>
            <w:pPr>
              <w:spacing w:after="0"/>
              <w:rPr>
                <w:sz w:val="21"/>
                <w:szCs w:val="21"/>
                <w:color w:val="auto"/>
              </w:rPr>
            </w:pPr>
          </w:p>
        </w:tc>
        <w:tc>
          <w:tcPr>
            <w:tcW w:w="2640" w:type="dxa"/>
            <w:vAlign w:val="bottom"/>
          </w:tcPr>
          <w:p>
            <w:pPr>
              <w:ind w:left="212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360"/>
          </w:cols>
          <w:pgMar w:left="240" w:top="131" w:right="299" w:bottom="1440" w:gutter="0" w:footer="0" w:header="0"/>
        </w:sectPr>
      </w:pPr>
    </w:p>
    <w:bookmarkStart w:id="2" w:name="page3"/>
    <w:bookmarkEnd w:id="2"/>
    <w:p>
      <w:pPr>
        <w:spacing w:after="0" w:line="12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160655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299"/>
          </w:cols>
          <w:pgMar w:left="11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80"/>
        <w:spacing w:after="0"/>
        <w:rPr>
          <w:sz w:val="20"/>
          <w:szCs w:val="20"/>
          <w:color w:val="auto"/>
        </w:rPr>
      </w:pPr>
      <w:r>
        <w:rPr>
          <w:rFonts w:ascii="Arial" w:cs="Arial" w:eastAsia="Arial" w:hAnsi="Arial"/>
          <w:sz w:val="26"/>
          <w:szCs w:val="26"/>
          <w:b w:val="1"/>
          <w:bCs w:val="1"/>
          <w:color w:val="auto"/>
        </w:rPr>
        <w:t>E</w:t>
      </w:r>
      <w:r>
        <w:rPr>
          <w:rFonts w:ascii="Arial" w:cs="Arial" w:eastAsia="Arial" w:hAnsi="Arial"/>
          <w:sz w:val="18"/>
          <w:szCs w:val="18"/>
          <w:b w:val="1"/>
          <w:bCs w:val="1"/>
          <w:color w:val="auto"/>
        </w:rPr>
        <w:t>XHIBIT</w:t>
      </w:r>
      <w:r>
        <w:rPr>
          <w:rFonts w:ascii="Arial" w:cs="Arial" w:eastAsia="Arial" w:hAnsi="Arial"/>
          <w:sz w:val="26"/>
          <w:szCs w:val="26"/>
          <w:b w:val="1"/>
          <w:bCs w:val="1"/>
          <w:color w:val="auto"/>
        </w:rPr>
        <w:t xml:space="preserve"> I</w:t>
      </w:r>
      <w:r>
        <w:rPr>
          <w:rFonts w:ascii="Arial" w:cs="Arial" w:eastAsia="Arial" w:hAnsi="Arial"/>
          <w:sz w:val="18"/>
          <w:szCs w:val="18"/>
          <w:b w:val="1"/>
          <w:bCs w:val="1"/>
          <w:color w:val="auto"/>
        </w:rPr>
        <w:t>NDEX</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Description</w:t>
      </w:r>
    </w:p>
    <w:p>
      <w:pPr>
        <w:spacing w:after="0" w:line="2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Executive Change of Control Agreement between the Company and Sarah Nielsen, dated as of November 14, 2005</w:t>
      </w:r>
    </w:p>
    <w:p>
      <w:pPr>
        <w:spacing w:after="0" w:line="252"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14,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299"/>
          </w:cols>
          <w:pgMar w:left="1160" w:top="1440" w:right="1440"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EXECUTIVE CHANGE OF CONTROL AGREEMENT BETWEEN THE COMPANY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SARAH NIELSEN, DATED AS OF NOVEMBER 14, 2005</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93"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EXECUTIVE CHANGE OF CONTROL AGREEMENT is made as of November 14, 2005, by and between WINNEBAGO INDUSTRIES, INC., an Iowa corporation (the "Company"), and Sarah N. Nielsen (the "Executive").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 E C I T A L S :</w:t>
      </w:r>
    </w:p>
    <w:p>
      <w:pPr>
        <w:spacing w:after="0" w:line="287"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a senior executive and officer of the Company and has made and is expected to continue to make major contributions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growth and financial strength of the Company;</w:t>
      </w:r>
    </w:p>
    <w:p>
      <w:pPr>
        <w:spacing w:after="0" w:line="174"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as is the case for most publicly held companies, the possibility of a Change of Control (as hereafter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exists;</w:t>
      </w:r>
    </w:p>
    <w:p>
      <w:pPr>
        <w:spacing w:after="0" w:line="174"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interests of the Company, considering the past and future services of the Executive, to improve the security and climate for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decision making by providing for the personal security of the Executive upon a Change of Control.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premises and the past and future services rendered and to be rendered by the Executive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 and of the mutual covenants and agreements hereinafter set forth, the parties agree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G R E E M E N T :</w:t>
      </w:r>
    </w:p>
    <w:p>
      <w:pPr>
        <w:spacing w:after="0" w:line="287" w:lineRule="exact"/>
        <w:rPr>
          <w:sz w:val="20"/>
          <w:szCs w:val="20"/>
          <w:color w:val="auto"/>
        </w:rPr>
      </w:pPr>
    </w:p>
    <w:p>
      <w:pPr>
        <w:ind w:right="60" w:firstLine="359"/>
        <w:spacing w:after="0" w:line="258" w:lineRule="auto"/>
        <w:tabs>
          <w:tab w:leader="none" w:pos="79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 exchange offer,</w:t>
      </w:r>
      <w:r>
        <w:rPr>
          <w:rFonts w:ascii="Arial" w:cs="Arial" w:eastAsia="Arial" w:hAnsi="Arial"/>
          <w:sz w:val="18"/>
          <w:szCs w:val="18"/>
          <w:b w:val="1"/>
          <w:bCs w:val="1"/>
          <w:color w:val="auto"/>
        </w:rPr>
        <w:t xml:space="preserve"> </w:t>
      </w:r>
      <w:r>
        <w:rPr>
          <w:rFonts w:ascii="Arial" w:cs="Arial" w:eastAsia="Arial" w:hAnsi="Arial"/>
          <w:sz w:val="18"/>
          <w:szCs w:val="18"/>
          <w:color w:val="auto"/>
        </w:rPr>
        <w:t>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90" w:lineRule="exact"/>
        <w:rPr>
          <w:rFonts w:ascii="Arial" w:cs="Arial" w:eastAsia="Arial" w:hAnsi="Arial"/>
          <w:sz w:val="18"/>
          <w:szCs w:val="18"/>
          <w:b w:val="1"/>
          <w:bCs w:val="1"/>
          <w:color w:val="auto"/>
        </w:rPr>
      </w:pPr>
    </w:p>
    <w:p>
      <w:pPr>
        <w:ind w:right="20" w:firstLine="359"/>
        <w:spacing w:after="0" w:line="290" w:lineRule="auto"/>
        <w:tabs>
          <w:tab w:leader="none" w:pos="79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 “Change of Control” means the time when (i) any Person becomes an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 or (ii) individuals who shall qualify as Continuing Directors of the Company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purpose of the foregoing definition of “Change of Control”, the capitalized terms shall have the following meanings:</w:t>
      </w:r>
    </w:p>
    <w:p>
      <w:pPr>
        <w:spacing w:after="0" w:line="225" w:lineRule="exact"/>
        <w:rPr>
          <w:sz w:val="20"/>
          <w:szCs w:val="20"/>
          <w:color w:val="auto"/>
        </w:rPr>
      </w:pPr>
    </w:p>
    <w:p>
      <w:pPr>
        <w:ind w:right="60" w:firstLine="710"/>
        <w:spacing w:after="0" w:line="294" w:lineRule="auto"/>
        <w:tabs>
          <w:tab w:leader="none" w:pos="1073"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69" w:lineRule="exact"/>
        <w:rPr>
          <w:rFonts w:ascii="Arial" w:cs="Arial" w:eastAsia="Arial" w:hAnsi="Arial"/>
          <w:sz w:val="16"/>
          <w:szCs w:val="16"/>
          <w:color w:val="auto"/>
        </w:rPr>
      </w:pPr>
    </w:p>
    <w:p>
      <w:pPr>
        <w:ind w:right="180" w:firstLine="710"/>
        <w:spacing w:after="0" w:line="306" w:lineRule="auto"/>
        <w:tabs>
          <w:tab w:leader="none" w:pos="1083"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January 17, 2001, except that the term “Acquiring Person” shall not include a Hanson Family Member or an Affiliate or Associate of a Hanson Family Member.</w:t>
      </w:r>
    </w:p>
    <w:p>
      <w:pPr>
        <w:spacing w:after="0" w:line="160" w:lineRule="exact"/>
        <w:rPr>
          <w:rFonts w:ascii="Arial" w:cs="Arial" w:eastAsia="Arial" w:hAnsi="Arial"/>
          <w:sz w:val="16"/>
          <w:szCs w:val="16"/>
          <w:color w:val="auto"/>
        </w:rPr>
      </w:pPr>
    </w:p>
    <w:p>
      <w:pPr>
        <w:ind w:right="80" w:firstLine="710"/>
        <w:spacing w:after="0" w:line="268" w:lineRule="auto"/>
        <w:tabs>
          <w:tab w:leader="none" w:pos="1073"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185" w:lineRule="exact"/>
        <w:rPr>
          <w:rFonts w:ascii="Arial" w:cs="Arial" w:eastAsia="Arial" w:hAnsi="Arial"/>
          <w:sz w:val="18"/>
          <w:szCs w:val="18"/>
          <w:color w:val="auto"/>
        </w:rPr>
      </w:pPr>
    </w:p>
    <w:p>
      <w:pPr>
        <w:ind w:firstLine="710"/>
        <w:spacing w:after="0" w:line="255" w:lineRule="auto"/>
        <w:tabs>
          <w:tab w:leader="none" w:pos="1083"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6" w:lineRule="exact"/>
        <w:rPr>
          <w:rFonts w:ascii="Arial" w:cs="Arial" w:eastAsia="Arial" w:hAnsi="Arial"/>
          <w:sz w:val="18"/>
          <w:szCs w:val="18"/>
          <w:color w:val="auto"/>
        </w:rPr>
      </w:pPr>
    </w:p>
    <w:p>
      <w:pPr>
        <w:ind w:right="100" w:firstLine="710"/>
        <w:spacing w:after="0" w:line="259" w:lineRule="auto"/>
        <w:tabs>
          <w:tab w:leader="none" w:pos="1073" w:val="left"/>
        </w:tabs>
        <w:numPr>
          <w:ilvl w:val="0"/>
          <w:numId w:val="4"/>
        </w:numPr>
        <w:rPr>
          <w:rFonts w:ascii="Arial" w:cs="Arial" w:eastAsia="Arial" w:hAnsi="Arial"/>
          <w:sz w:val="18"/>
          <w:szCs w:val="18"/>
          <w:color w:val="auto"/>
        </w:rPr>
      </w:pPr>
      <w:r>
        <w:rPr>
          <w:rFonts w:ascii="Arial" w:cs="Arial" w:eastAsia="Arial" w:hAnsi="Arial"/>
          <w:sz w:val="18"/>
          <w:szCs w:val="18"/>
          <w:color w:val="auto"/>
        </w:rPr>
        <w:t>“Hanson Family Member” means John K. Hanson (deceased) and Luise V. Hanson (deceased)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ectPr>
          <w:pgSz w:w="11900" w:h="16838" w:orient="portrait"/>
          <w:cols w:equalWidth="0" w:num="1">
            <w:col w:w="11420"/>
          </w:cols>
          <w:pgMar w:left="240" w:top="571" w:right="239" w:bottom="198" w:gutter="0" w:footer="0" w:header="0"/>
        </w:sectPr>
      </w:pPr>
    </w:p>
    <w:bookmarkStart w:id="4" w:name="page5"/>
    <w:bookmarkEnd w:id="4"/>
    <w:p>
      <w:pPr>
        <w:ind w:right="720" w:firstLine="710"/>
        <w:spacing w:after="0" w:line="268" w:lineRule="auto"/>
        <w:tabs>
          <w:tab w:leader="none" w:pos="1053"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right="380" w:firstLine="359"/>
        <w:spacing w:after="0" w:line="275" w:lineRule="auto"/>
        <w:tabs>
          <w:tab w:leader="none" w:pos="83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Benefits Effective Immediately Upon a Change of Control</w:t>
      </w:r>
      <w:r>
        <w:rPr>
          <w:rFonts w:ascii="Arial" w:cs="Arial" w:eastAsia="Arial" w:hAnsi="Arial"/>
          <w:sz w:val="18"/>
          <w:szCs w:val="18"/>
          <w:color w:val="auto"/>
        </w:rPr>
        <w:t>. If a Change of Control shall have occurred while the Executive is still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then the Executive shall immediately be entitled to the following benefits:</w:t>
      </w:r>
    </w:p>
    <w:p>
      <w:pPr>
        <w:spacing w:after="0" w:line="179" w:lineRule="exact"/>
        <w:rPr>
          <w:rFonts w:ascii="Arial" w:cs="Arial" w:eastAsia="Arial" w:hAnsi="Arial"/>
          <w:sz w:val="18"/>
          <w:szCs w:val="18"/>
          <w:b w:val="1"/>
          <w:bCs w:val="1"/>
          <w:color w:val="auto"/>
        </w:rPr>
      </w:pPr>
    </w:p>
    <w:p>
      <w:pPr>
        <w:ind w:right="60" w:firstLine="710"/>
        <w:spacing w:after="0" w:line="370" w:lineRule="auto"/>
        <w:tabs>
          <w:tab w:leader="none" w:pos="1073" w:val="left"/>
        </w:tabs>
        <w:numPr>
          <w:ilvl w:val="1"/>
          <w:numId w:val="6"/>
        </w:numPr>
        <w:rPr>
          <w:rFonts w:ascii="Arial" w:cs="Arial" w:eastAsia="Arial" w:hAnsi="Arial"/>
          <w:sz w:val="15"/>
          <w:szCs w:val="15"/>
          <w:color w:val="auto"/>
        </w:rPr>
      </w:pPr>
      <w:r>
        <w:rPr>
          <w:rFonts w:ascii="Arial" w:cs="Arial" w:eastAsia="Arial" w:hAnsi="Arial"/>
          <w:sz w:val="15"/>
          <w:szCs w:val="15"/>
          <w:i w:val="1"/>
          <w:iCs w:val="1"/>
          <w:color w:val="auto"/>
        </w:rPr>
        <w:t>Immediate Vesting of All Stock Options and Rights</w:t>
      </w:r>
      <w:r>
        <w:rPr>
          <w:rFonts w:ascii="Arial" w:cs="Arial" w:eastAsia="Arial" w:hAnsi="Arial"/>
          <w:sz w:val="15"/>
          <w:szCs w:val="15"/>
          <w:color w:val="auto"/>
        </w:rPr>
        <w:t>. All options and rights granted to the Executive by the Company pursuant to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Plan effective as of August 14, 1997, or any successor or supplemental stock plan shall become immediately exercisable upon a Change of Control.</w:t>
      </w:r>
    </w:p>
    <w:p>
      <w:pPr>
        <w:spacing w:after="0" w:line="116" w:lineRule="exact"/>
        <w:rPr>
          <w:rFonts w:ascii="Arial" w:cs="Arial" w:eastAsia="Arial" w:hAnsi="Arial"/>
          <w:sz w:val="15"/>
          <w:szCs w:val="15"/>
          <w:color w:val="auto"/>
        </w:rPr>
      </w:pPr>
    </w:p>
    <w:p>
      <w:pPr>
        <w:ind w:right="40" w:firstLine="710"/>
        <w:spacing w:after="0" w:line="256" w:lineRule="auto"/>
        <w:tabs>
          <w:tab w:leader="none" w:pos="1083"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Executive Split Dollar Life Insurance Program</w:t>
      </w:r>
      <w:r>
        <w:rPr>
          <w:rFonts w:ascii="Arial" w:cs="Arial" w:eastAsia="Arial" w:hAnsi="Arial"/>
          <w:sz w:val="18"/>
          <w:szCs w:val="18"/>
          <w:color w:val="auto"/>
        </w:rPr>
        <w:t>. If the Executive is a participant under the Company’s Executive Split Dollar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at the time of a Change of Control and the Company has paid any portion of the premium on the policy or policies issued in connection therewith during the twelve months preceding the occurrence of the Change of Control, then the Company shall continue to pay all premiums on such policies so long as the Executive remains in the employ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710"/>
        <w:spacing w:after="0" w:line="259" w:lineRule="auto"/>
        <w:tabs>
          <w:tab w:leader="none" w:pos="1073"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Retiree Health Insurance</w:t>
      </w:r>
      <w:r>
        <w:rPr>
          <w:rFonts w:ascii="Arial" w:cs="Arial" w:eastAsia="Arial" w:hAnsi="Arial"/>
          <w:sz w:val="18"/>
          <w:szCs w:val="18"/>
          <w:color w:val="auto"/>
        </w:rPr>
        <w:t>. Any plans or policies of the Company providing for medical, dental, vision or similar benefits for retired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as of the time of a Change of Control shall, as to the Executive, not be rescinded or modified in any manner which is adverse to the Executive following a Change of Control.</w:t>
      </w:r>
    </w:p>
    <w:p>
      <w:pPr>
        <w:spacing w:after="0" w:line="194" w:lineRule="exact"/>
        <w:rPr>
          <w:rFonts w:ascii="Arial" w:cs="Arial" w:eastAsia="Arial" w:hAnsi="Arial"/>
          <w:sz w:val="18"/>
          <w:szCs w:val="18"/>
          <w:color w:val="auto"/>
        </w:rPr>
      </w:pPr>
    </w:p>
    <w:p>
      <w:pPr>
        <w:ind w:firstLine="710"/>
        <w:spacing w:after="0" w:line="294" w:lineRule="auto"/>
        <w:tabs>
          <w:tab w:leader="none" w:pos="1083"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All non-registered stock of the Company owned by the Executive, which is subject to restrictions on sale or other transfer, shall,</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option of the Executive (exercisable at any time by the delivery of written notice to the Company) be purchased by the Company at its fair market value. The purchase shall be completed by the Company within thirty (30) days after the Company receives the written notice of exercise from the Executive. So long as the Company’s stock is traded on the New York Stock Exchange (the “NYSE”), the “fair market value” shall be the mean between the highest and lowest reported selling prices as reported by the NYSE on the business day immediately preceding the day of sale.</w:t>
      </w:r>
    </w:p>
    <w:p>
      <w:pPr>
        <w:spacing w:after="0" w:line="163" w:lineRule="exact"/>
        <w:rPr>
          <w:rFonts w:ascii="Arial" w:cs="Arial" w:eastAsia="Arial" w:hAnsi="Arial"/>
          <w:sz w:val="16"/>
          <w:szCs w:val="16"/>
          <w:color w:val="auto"/>
        </w:rPr>
      </w:pPr>
    </w:p>
    <w:p>
      <w:pPr>
        <w:ind w:right="120" w:firstLine="359"/>
        <w:spacing w:after="0" w:line="254" w:lineRule="auto"/>
        <w:tabs>
          <w:tab w:leader="none" w:pos="79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 Effective Immediately Upon a Change of Control Pursuant to Plan Documents</w:t>
      </w:r>
      <w:r>
        <w:rPr>
          <w:rFonts w:ascii="Arial" w:cs="Arial" w:eastAsia="Arial" w:hAnsi="Arial"/>
          <w:sz w:val="18"/>
          <w:szCs w:val="18"/>
          <w:color w:val="auto"/>
        </w:rPr>
        <w:t>. It is acknowledged that there presently exist</w:t>
      </w:r>
      <w:r>
        <w:rPr>
          <w:rFonts w:ascii="Arial" w:cs="Arial" w:eastAsia="Arial" w:hAnsi="Arial"/>
          <w:sz w:val="18"/>
          <w:szCs w:val="18"/>
          <w:b w:val="1"/>
          <w:bCs w:val="1"/>
          <w:color w:val="auto"/>
        </w:rPr>
        <w:t xml:space="preserve"> </w:t>
      </w:r>
      <w:r>
        <w:rPr>
          <w:rFonts w:ascii="Arial" w:cs="Arial" w:eastAsia="Arial" w:hAnsi="Arial"/>
          <w:sz w:val="18"/>
          <w:szCs w:val="18"/>
          <w:color w:val="auto"/>
        </w:rPr>
        <w:t>other plans and agreements of the Company which may provide benefits to the Executive and which contain specific provisions dealing with the occurrence of a change of control of the Company (as defined in such plan or agreement). Following a Change of Control, no such plan or agreement shall be rescinded or modified in any manner which is adverse to the Executive. Such other plans and agreements of the Company shall mean: (a) the Executive Share Option Program; (b) the Officers Long-Term Incentive Plan; (c) the Deferred Compensation and Deferred Bonus Plans; and (d) the Officers Incentive Compensation Plan. Nothing herein shall be construed to affect the Company’s right and ability to terminate or amend any such plan or agreement (subject to the terms thereof) prior to a Change of Control.</w:t>
      </w:r>
    </w:p>
    <w:p>
      <w:pPr>
        <w:spacing w:after="0" w:line="195" w:lineRule="exact"/>
        <w:rPr>
          <w:rFonts w:ascii="Arial" w:cs="Arial" w:eastAsia="Arial" w:hAnsi="Arial"/>
          <w:sz w:val="18"/>
          <w:szCs w:val="18"/>
          <w:b w:val="1"/>
          <w:bCs w:val="1"/>
          <w:color w:val="auto"/>
        </w:rPr>
      </w:pPr>
    </w:p>
    <w:p>
      <w:pPr>
        <w:ind w:right="120" w:firstLine="359"/>
        <w:spacing w:after="0" w:line="296" w:lineRule="auto"/>
        <w:tabs>
          <w:tab w:leader="none" w:pos="79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Following a Change of Control</w:t>
      </w:r>
      <w:r>
        <w:rPr>
          <w:rFonts w:ascii="Arial" w:cs="Arial" w:eastAsia="Arial" w:hAnsi="Arial"/>
          <w:sz w:val="16"/>
          <w:szCs w:val="16"/>
          <w:color w:val="auto"/>
        </w:rPr>
        <w:t>. If a Change of Control shall have occurred while the Executive is still an employee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if the Executive’s employment with the Company is terminated, within three years following such Change of Control, then the Executive shall be entitled to the compensation and benefits provided in Sections 6 and 7, unless such termination is a result of: (a) the Executive’s death; (b) the Executive’s Disability (as defined in Section 5(a) below); (c) the Executive’s Retirement (as defined in Section 5(b) below); (d) the Executive’s termination by the Company for Cause (as defined in Section 5(c) below); or (e) the Executive’s decision to terminate employment other than for Good Reason (as defined in Section 5(d) below).</w:t>
      </w:r>
    </w:p>
    <w:p>
      <w:pPr>
        <w:spacing w:after="0" w:line="167" w:lineRule="exact"/>
        <w:rPr>
          <w:rFonts w:ascii="Arial" w:cs="Arial" w:eastAsia="Arial" w:hAnsi="Arial"/>
          <w:sz w:val="16"/>
          <w:szCs w:val="16"/>
          <w:b w:val="1"/>
          <w:bCs w:val="1"/>
          <w:color w:val="auto"/>
        </w:rPr>
      </w:pPr>
    </w:p>
    <w:p>
      <w:pPr>
        <w:jc w:val="both"/>
        <w:ind w:right="60" w:firstLine="710"/>
        <w:spacing w:after="0" w:line="306" w:lineRule="auto"/>
        <w:tabs>
          <w:tab w:leader="none" w:pos="1073"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If, as a result of the Executive’s incapacity due to physical or mental illness, the Executive shall have been absent from his duties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60" w:lineRule="exact"/>
        <w:rPr>
          <w:rFonts w:ascii="Arial" w:cs="Arial" w:eastAsia="Arial" w:hAnsi="Arial"/>
          <w:sz w:val="16"/>
          <w:szCs w:val="16"/>
          <w:color w:val="auto"/>
        </w:rPr>
      </w:pPr>
    </w:p>
    <w:p>
      <w:pPr>
        <w:ind w:right="120" w:firstLine="710"/>
        <w:spacing w:after="0" w:line="259" w:lineRule="auto"/>
        <w:tabs>
          <w:tab w:leader="none" w:pos="1083"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The term “Retirement” as used in this Agreement shall mean termination by the Company or the Executive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based on the Executive having attained the age of 65 or such other age as shall have been fixed in any arrangement established with the Executive’s consent with respect to the Executive.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710"/>
        <w:spacing w:after="0" w:line="288" w:lineRule="auto"/>
        <w:tabs>
          <w:tab w:leader="none" w:pos="107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The Company may terminate the Executive’s employment for Cause. For purposes of this Agreement only,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5(c) and specifying the particulars thereof in detail. Nothing herein shall limit the right of the Executive or his beneficiaries to contest the validity or propriety of any such determination.</w:t>
      </w:r>
    </w:p>
    <w:p>
      <w:pPr>
        <w:spacing w:after="0" w:line="173" w:lineRule="exact"/>
        <w:rPr>
          <w:rFonts w:ascii="Arial" w:cs="Arial" w:eastAsia="Arial" w:hAnsi="Arial"/>
          <w:sz w:val="16"/>
          <w:szCs w:val="16"/>
          <w:color w:val="auto"/>
        </w:rPr>
      </w:pPr>
    </w:p>
    <w:p>
      <w:pPr>
        <w:ind w:right="260" w:firstLine="710"/>
        <w:spacing w:after="0" w:line="332" w:lineRule="auto"/>
        <w:tabs>
          <w:tab w:leader="none" w:pos="108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The Executive may terminate the Executive’s employment for Good Reason at any time during the term of this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this Agreement “Good Reason” shall mean any of the following (without the Executive’s express written consent):</w:t>
      </w:r>
    </w:p>
    <w:p>
      <w:pPr>
        <w:spacing w:after="0" w:line="139" w:lineRule="exact"/>
        <w:rPr>
          <w:rFonts w:ascii="Arial" w:cs="Arial" w:eastAsia="Arial" w:hAnsi="Arial"/>
          <w:sz w:val="16"/>
          <w:szCs w:val="16"/>
          <w:color w:val="auto"/>
        </w:rPr>
      </w:pPr>
    </w:p>
    <w:p>
      <w:pPr>
        <w:ind w:left="700" w:right="80" w:firstLine="348"/>
        <w:spacing w:after="0" w:line="306" w:lineRule="auto"/>
        <w:tabs>
          <w:tab w:leader="none" w:pos="139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w:t>
      </w:r>
    </w:p>
    <w:p>
      <w:pPr>
        <w:sectPr>
          <w:pgSz w:w="11900" w:h="16838" w:orient="portrait"/>
          <w:cols w:equalWidth="0" w:num="1">
            <w:col w:w="11420"/>
          </w:cols>
          <w:pgMar w:left="240" w:top="131" w:right="239" w:bottom="0" w:gutter="0" w:footer="0" w:header="0"/>
        </w:sectPr>
      </w:pPr>
    </w:p>
    <w:bookmarkStart w:id="5" w:name="page6"/>
    <w:bookmarkEnd w:id="5"/>
    <w:p>
      <w:pPr>
        <w:ind w:left="680" w:right="120"/>
        <w:spacing w:after="0" w:line="268" w:lineRule="auto"/>
        <w:rPr>
          <w:sz w:val="20"/>
          <w:szCs w:val="20"/>
          <w:color w:val="auto"/>
        </w:rPr>
      </w:pPr>
      <w:r>
        <w:rPr>
          <w:rFonts w:ascii="Arial" w:cs="Arial" w:eastAsia="Arial" w:hAnsi="Arial"/>
          <w:sz w:val="18"/>
          <w:szCs w:val="18"/>
          <w:color w:val="auto"/>
        </w:rPr>
        <w:t>connection with the termination of his employment for Disability, Retirement or Cause or as a result of the Executive’s death or by the Executive other than for Good Reason;</w:t>
      </w:r>
    </w:p>
    <w:p>
      <w:pPr>
        <w:spacing w:after="0" w:line="213" w:lineRule="exact"/>
        <w:rPr>
          <w:sz w:val="20"/>
          <w:szCs w:val="20"/>
          <w:color w:val="auto"/>
        </w:rPr>
      </w:pPr>
    </w:p>
    <w:p>
      <w:pPr>
        <w:ind w:left="680" w:firstLine="348"/>
        <w:spacing w:after="0" w:line="298" w:lineRule="auto"/>
        <w:tabs>
          <w:tab w:leader="none" w:pos="14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93" w:lineRule="exact"/>
        <w:rPr>
          <w:rFonts w:ascii="Arial" w:cs="Arial" w:eastAsia="Arial" w:hAnsi="Arial"/>
          <w:sz w:val="16"/>
          <w:szCs w:val="16"/>
          <w:color w:val="auto"/>
        </w:rPr>
      </w:pPr>
    </w:p>
    <w:p>
      <w:pPr>
        <w:ind w:left="680" w:right="40" w:firstLine="348"/>
        <w:spacing w:after="0" w:line="291" w:lineRule="auto"/>
        <w:tabs>
          <w:tab w:leader="none" w:pos="14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201" w:lineRule="exact"/>
        <w:rPr>
          <w:rFonts w:ascii="Arial" w:cs="Arial" w:eastAsia="Arial" w:hAnsi="Arial"/>
          <w:sz w:val="16"/>
          <w:szCs w:val="16"/>
          <w:color w:val="auto"/>
        </w:rPr>
      </w:pPr>
    </w:p>
    <w:p>
      <w:pPr>
        <w:ind w:left="680" w:right="160" w:firstLine="348"/>
        <w:spacing w:after="0" w:line="290"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reduce the Executive’s benefits under any such Incentive Plan, expressed as a percentage of his base salary, by more than 10 percentage points in any fiscal year as compared to the immediately preceding fiscal year;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80" w:right="200" w:firstLine="348"/>
        <w:spacing w:after="0" w:line="256" w:lineRule="auto"/>
        <w:tabs>
          <w:tab w:leader="none" w:pos="141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224" w:lineRule="exact"/>
        <w:rPr>
          <w:rFonts w:ascii="Arial" w:cs="Arial" w:eastAsia="Arial" w:hAnsi="Arial"/>
          <w:sz w:val="18"/>
          <w:szCs w:val="18"/>
          <w:color w:val="auto"/>
        </w:rPr>
      </w:pPr>
    </w:p>
    <w:p>
      <w:pPr>
        <w:jc w:val="both"/>
        <w:ind w:left="680" w:right="20" w:firstLine="348"/>
        <w:spacing w:after="0" w:line="256"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24" w:lineRule="exact"/>
        <w:rPr>
          <w:rFonts w:ascii="Arial" w:cs="Arial" w:eastAsia="Arial" w:hAnsi="Arial"/>
          <w:sz w:val="18"/>
          <w:szCs w:val="18"/>
          <w:color w:val="auto"/>
        </w:rPr>
      </w:pPr>
    </w:p>
    <w:p>
      <w:pPr>
        <w:ind w:left="680" w:right="60" w:firstLine="348"/>
        <w:spacing w:after="0" w:line="268" w:lineRule="auto"/>
        <w:tabs>
          <w:tab w:leader="none" w:pos="15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failure by the Company to provide the Executive with the number of paid vacation days to which the Executive is entitled at the time of a Change in Control of the Company;</w:t>
      </w:r>
    </w:p>
    <w:p>
      <w:pPr>
        <w:spacing w:after="0" w:line="212" w:lineRule="exact"/>
        <w:rPr>
          <w:rFonts w:ascii="Arial" w:cs="Arial" w:eastAsia="Arial" w:hAnsi="Arial"/>
          <w:sz w:val="18"/>
          <w:szCs w:val="18"/>
          <w:color w:val="auto"/>
        </w:rPr>
      </w:pPr>
    </w:p>
    <w:p>
      <w:pPr>
        <w:ind w:left="1560" w:hanging="532"/>
        <w:spacing w:after="0"/>
        <w:tabs>
          <w:tab w:leader="none" w:pos="1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w:t>
      </w:r>
    </w:p>
    <w:p>
      <w:pPr>
        <w:spacing w:after="0" w:line="252" w:lineRule="exact"/>
        <w:rPr>
          <w:rFonts w:ascii="Arial" w:cs="Arial" w:eastAsia="Arial" w:hAnsi="Arial"/>
          <w:sz w:val="18"/>
          <w:szCs w:val="18"/>
          <w:color w:val="auto"/>
        </w:rPr>
      </w:pPr>
    </w:p>
    <w:p>
      <w:pPr>
        <w:ind w:left="1460" w:hanging="432"/>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252" w:lineRule="exact"/>
        <w:rPr>
          <w:rFonts w:ascii="Arial" w:cs="Arial" w:eastAsia="Arial" w:hAnsi="Arial"/>
          <w:sz w:val="18"/>
          <w:szCs w:val="18"/>
          <w:color w:val="auto"/>
        </w:rPr>
      </w:pPr>
    </w:p>
    <w:p>
      <w:pPr>
        <w:ind w:left="680" w:right="880" w:firstLine="348"/>
        <w:spacing w:after="0" w:line="332" w:lineRule="auto"/>
        <w:tabs>
          <w:tab w:leader="none" w:pos="141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purported termination of the Executive’s employment which is not effected pursuant to a Notice of Termination satisfying the requirements of Section 3(f), and for purposes of this Agreement, no such purported termination shall be effective.</w:t>
      </w:r>
    </w:p>
    <w:p>
      <w:pPr>
        <w:spacing w:after="0" w:line="382" w:lineRule="exact"/>
        <w:rPr>
          <w:rFonts w:ascii="Arial" w:cs="Arial" w:eastAsia="Arial" w:hAnsi="Arial"/>
          <w:sz w:val="16"/>
          <w:szCs w:val="16"/>
          <w:color w:val="auto"/>
        </w:rPr>
      </w:pPr>
    </w:p>
    <w:p>
      <w:pPr>
        <w:ind w:left="-20" w:right="180" w:firstLine="710"/>
        <w:spacing w:after="0" w:line="255" w:lineRule="auto"/>
        <w:tabs>
          <w:tab w:leader="none" w:pos="105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w:t>
      </w:r>
      <w:r>
        <w:rPr>
          <w:rFonts w:ascii="Arial" w:cs="Arial" w:eastAsia="Arial" w:hAnsi="Arial"/>
          <w:sz w:val="18"/>
          <w:szCs w:val="18"/>
          <w:color w:val="auto"/>
        </w:rPr>
        <w:t>Any termination by the Company pursuant to Section 5(a), (b) or (c) shall be communicated by a Notice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6" w:lineRule="exact"/>
        <w:rPr>
          <w:rFonts w:ascii="Arial" w:cs="Arial" w:eastAsia="Arial" w:hAnsi="Arial"/>
          <w:sz w:val="18"/>
          <w:szCs w:val="18"/>
          <w:color w:val="auto"/>
        </w:rPr>
      </w:pPr>
    </w:p>
    <w:p>
      <w:pPr>
        <w:ind w:left="-20" w:right="20" w:firstLine="710"/>
        <w:spacing w:after="0" w:line="291" w:lineRule="auto"/>
        <w:tabs>
          <w:tab w:leader="none" w:pos="103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Date of Termination. </w:t>
      </w:r>
      <w:r>
        <w:rPr>
          <w:rFonts w:ascii="Arial" w:cs="Arial" w:eastAsia="Arial" w:hAnsi="Arial"/>
          <w:sz w:val="16"/>
          <w:szCs w:val="16"/>
          <w:color w:val="auto"/>
        </w:rPr>
        <w:t>“Date of Termination” shall mean (a) if this Agreement is terminated by the Company for Disability, 30 days after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within 30 days after any Notice of Termination is given to the Executive by the Company the Executive notifies the Company that a dispute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right="120" w:firstLine="359"/>
        <w:spacing w:after="0" w:line="320" w:lineRule="auto"/>
        <w:tabs>
          <w:tab w:leader="none" w:pos="77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Compensation upon Termination of Employment</w:t>
      </w:r>
      <w:r>
        <w:rPr>
          <w:rFonts w:ascii="Arial" w:cs="Arial" w:eastAsia="Arial" w:hAnsi="Arial"/>
          <w:sz w:val="15"/>
          <w:szCs w:val="15"/>
          <w:color w:val="auto"/>
        </w:rPr>
        <w:t>. If the Company shall terminate the Executive’s employment other than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ectPr>
          <w:pgSz w:w="11900" w:h="16838" w:orient="portrait"/>
          <w:cols w:equalWidth="0" w:num="1">
            <w:col w:w="11400"/>
          </w:cols>
          <w:pgMar w:left="260" w:top="131" w:right="239" w:bottom="0" w:gutter="0" w:footer="0" w:header="0"/>
        </w:sectPr>
      </w:pPr>
    </w:p>
    <w:bookmarkStart w:id="6" w:name="page7"/>
    <w:bookmarkEnd w:id="6"/>
    <w:p>
      <w:pPr>
        <w:ind w:left="-20" w:right="20" w:firstLine="359"/>
        <w:spacing w:after="0" w:line="262" w:lineRule="auto"/>
        <w:tabs>
          <w:tab w:leader="none" w:pos="77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Benefits Upon Termination</w:t>
      </w:r>
      <w:r>
        <w:rPr>
          <w:rFonts w:ascii="Arial" w:cs="Arial" w:eastAsia="Arial" w:hAnsi="Arial"/>
          <w:sz w:val="18"/>
          <w:szCs w:val="18"/>
          <w:color w:val="auto"/>
        </w:rPr>
        <w:t>. If within three years following a Change of Control, the Company shall terminate the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other than pursuant to Section 5(a), 5(b) or 5(c) or if the Executive shall terminate his employment for Good Reason, then the Company shall further provide to the Executive the following benefits:</w:t>
      </w:r>
    </w:p>
    <w:p>
      <w:pPr>
        <w:spacing w:after="0" w:line="192" w:lineRule="exact"/>
        <w:rPr>
          <w:rFonts w:ascii="Arial" w:cs="Arial" w:eastAsia="Arial" w:hAnsi="Arial"/>
          <w:sz w:val="18"/>
          <w:szCs w:val="18"/>
          <w:b w:val="1"/>
          <w:bCs w:val="1"/>
          <w:color w:val="auto"/>
        </w:rPr>
      </w:pPr>
    </w:p>
    <w:p>
      <w:pPr>
        <w:ind w:left="-20" w:right="40" w:firstLine="535"/>
        <w:spacing w:after="0" w:line="288" w:lineRule="auto"/>
        <w:tabs>
          <w:tab w:leader="none" w:pos="877"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Life, Dental, Vision, Health and Long Term Disability Coverage</w:t>
      </w:r>
      <w:r>
        <w:rPr>
          <w:rFonts w:ascii="Arial" w:cs="Arial" w:eastAsia="Arial" w:hAnsi="Arial"/>
          <w:sz w:val="16"/>
          <w:szCs w:val="16"/>
          <w:color w:val="auto"/>
        </w:rPr>
        <w:t>. The Executive’s participation in, and entitlement to, benefits under: (i) all life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plans of the Company; (ii) all health insurance plans of the Company, including but not limited to those providing major medical and hospitalization benefits, dental benefits and vision benefits; and (iii) the Company’s long-term disability plan or plans; as all such plans existed immediately prior to the Change of Control shall continue as though the Executive remained employed by the Corporation for an additional period of three (3) years or until the obtainment of such coverages by the Executive through another employer, whichever is earlier; provided, however, that in the case of all health insurance plans of the Company (including but not limited to those providing major medical and hospitalization benefits, dental benefits and vision benefits), such three (3) year period shall be extended to the time that the Executive’s attains age 65 (and provided further that the Executive may then be entitled to certain retiree health insurance under Section 3(c) hereof). To the extent such participation or entitlement is not possible for any reason whatsoever, equivalent benefits shall be provided by the Company to the Executive.</w:t>
      </w:r>
    </w:p>
    <w:p>
      <w:pPr>
        <w:spacing w:after="0" w:line="173" w:lineRule="exact"/>
        <w:rPr>
          <w:rFonts w:ascii="Arial" w:cs="Arial" w:eastAsia="Arial" w:hAnsi="Arial"/>
          <w:sz w:val="16"/>
          <w:szCs w:val="16"/>
          <w:color w:val="auto"/>
        </w:rPr>
      </w:pPr>
    </w:p>
    <w:p>
      <w:pPr>
        <w:ind w:left="-20" w:firstLine="535"/>
        <w:spacing w:after="0" w:line="256" w:lineRule="auto"/>
        <w:tabs>
          <w:tab w:leader="none" w:pos="887"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Automobile Benefit</w:t>
      </w:r>
      <w:r>
        <w:rPr>
          <w:rFonts w:ascii="Arial" w:cs="Arial" w:eastAsia="Arial" w:hAnsi="Arial"/>
          <w:sz w:val="18"/>
          <w:szCs w:val="18"/>
          <w:color w:val="auto"/>
        </w:rPr>
        <w:t>. If the Executive is entitled to the use of a Company-owned automobile at the time of a Change of Control, then title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shall be transferred to the Executive (upon termination of employment as described in Section 7 above) free and clear of all liens and encumbrances (or, if the Company does not own such automobile at the time of termination, then the Company shall arrange for the purchase, for the benefit of the Executive, of a similar make, model and year of automobile).</w:t>
      </w:r>
    </w:p>
    <w:p>
      <w:pPr>
        <w:spacing w:after="0" w:line="197" w:lineRule="exact"/>
        <w:rPr>
          <w:rFonts w:ascii="Arial" w:cs="Arial" w:eastAsia="Arial" w:hAnsi="Arial"/>
          <w:sz w:val="18"/>
          <w:szCs w:val="18"/>
          <w:color w:val="auto"/>
        </w:rPr>
      </w:pPr>
    </w:p>
    <w:p>
      <w:pPr>
        <w:ind w:left="-20" w:right="60" w:firstLine="535"/>
        <w:spacing w:after="0" w:line="298" w:lineRule="auto"/>
        <w:tabs>
          <w:tab w:leader="none" w:pos="877"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Executive Split Dollar Life Insurance Program</w:t>
      </w:r>
      <w:r>
        <w:rPr>
          <w:rFonts w:ascii="Arial" w:cs="Arial" w:eastAsia="Arial" w:hAnsi="Arial"/>
          <w:sz w:val="16"/>
          <w:szCs w:val="16"/>
          <w:color w:val="auto"/>
        </w:rPr>
        <w:t>. Provided that the Company is obligated, pursuant to Section 3(b) hereof, to pay premiums on a</w:t>
      </w:r>
      <w:r>
        <w:rPr>
          <w:rFonts w:ascii="Arial" w:cs="Arial" w:eastAsia="Arial" w:hAnsi="Arial"/>
          <w:sz w:val="16"/>
          <w:szCs w:val="16"/>
          <w:i w:val="1"/>
          <w:iCs w:val="1"/>
          <w:color w:val="auto"/>
        </w:rPr>
        <w:t xml:space="preserve"> </w:t>
      </w:r>
      <w:r>
        <w:rPr>
          <w:rFonts w:ascii="Arial" w:cs="Arial" w:eastAsia="Arial" w:hAnsi="Arial"/>
          <w:sz w:val="16"/>
          <w:szCs w:val="16"/>
          <w:color w:val="auto"/>
        </w:rPr>
        <w:t>policy or policies issued in favor of the Executive following a Change of Control, then the Company shall, in the same manner, continue making such premium payments until the later of (i) the Executive attains the age of 55; or (ii) three (3) years following the Executive’s termination of employment (provided, however, that the Company shall not be obligated to make any such payments after the Executive attains age 65).</w:t>
      </w:r>
    </w:p>
    <w:p>
      <w:pPr>
        <w:spacing w:after="0" w:line="166" w:lineRule="exact"/>
        <w:rPr>
          <w:rFonts w:ascii="Arial" w:cs="Arial" w:eastAsia="Arial" w:hAnsi="Arial"/>
          <w:sz w:val="16"/>
          <w:szCs w:val="16"/>
          <w:color w:val="auto"/>
        </w:rPr>
      </w:pPr>
    </w:p>
    <w:p>
      <w:pPr>
        <w:ind w:left="-20" w:right="120" w:firstLine="535"/>
        <w:spacing w:after="0" w:line="306" w:lineRule="auto"/>
        <w:tabs>
          <w:tab w:leader="none" w:pos="887"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Plans. </w:t>
      </w:r>
      <w:r>
        <w:rPr>
          <w:rFonts w:ascii="Arial" w:cs="Arial" w:eastAsia="Arial" w:hAnsi="Arial"/>
          <w:sz w:val="16"/>
          <w:szCs w:val="16"/>
          <w:color w:val="auto"/>
        </w:rPr>
        <w:t>Any vesting requirement imposed under the provisions of, or rules relating to, the Company’s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Deferred Bonus Plans, (including, but not limited to, vesting conditions requiring that the Executive attain the age of 55 and/or complete five years of service following a deferral) shall be waived and the Executive shall be fully vested in all deferrals made under such plans.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80" w:hanging="441"/>
        <w:spacing w:after="0"/>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Excise Tax-Additional Payment</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left="-20" w:firstLine="710"/>
        <w:spacing w:after="0" w:line="289" w:lineRule="auto"/>
        <w:tabs>
          <w:tab w:leader="none" w:pos="10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2" w:lineRule="exact"/>
        <w:rPr>
          <w:rFonts w:ascii="Arial" w:cs="Arial" w:eastAsia="Arial" w:hAnsi="Arial"/>
          <w:sz w:val="16"/>
          <w:szCs w:val="16"/>
          <w:color w:val="auto"/>
        </w:rPr>
      </w:pPr>
    </w:p>
    <w:p>
      <w:pPr>
        <w:ind w:left="-20" w:firstLine="710"/>
        <w:spacing w:after="0" w:line="286" w:lineRule="auto"/>
        <w:tabs>
          <w:tab w:leader="none" w:pos="10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determinations and computations required to be made under this Section 8, including whether a Gross-Up Payment is required under clause (ii) of paragraph 8(a)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8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8(c) and the Executive thereafter shall become obligated to make a payment of any Excise Tax, and if the amount thereof shall exceed the amount, if any, of any Excise Tax computed by the Accounting Firm pursuant to this paragraph 8(b)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8 shall be paid by the Company.</w:t>
      </w:r>
    </w:p>
    <w:p>
      <w:pPr>
        <w:spacing w:after="0" w:line="174" w:lineRule="exact"/>
        <w:rPr>
          <w:rFonts w:ascii="Arial" w:cs="Arial" w:eastAsia="Arial" w:hAnsi="Arial"/>
          <w:sz w:val="16"/>
          <w:szCs w:val="16"/>
          <w:color w:val="auto"/>
        </w:rPr>
      </w:pPr>
    </w:p>
    <w:p>
      <w:pPr>
        <w:ind w:left="-20" w:firstLine="710"/>
        <w:spacing w:after="0" w:line="254" w:lineRule="auto"/>
        <w:tabs>
          <w:tab w:leader="none" w:pos="10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98" w:lineRule="exact"/>
        <w:rPr>
          <w:rFonts w:ascii="Arial" w:cs="Arial" w:eastAsia="Arial" w:hAnsi="Arial"/>
          <w:sz w:val="18"/>
          <w:szCs w:val="18"/>
          <w:color w:val="auto"/>
        </w:rPr>
      </w:pPr>
    </w:p>
    <w:p>
      <w:pPr>
        <w:ind w:left="1720" w:hanging="341"/>
        <w:spacing w:after="0"/>
        <w:tabs>
          <w:tab w:leader="none" w:pos="17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relating to such claim,</w:t>
      </w:r>
    </w:p>
    <w:p>
      <w:pPr>
        <w:spacing w:after="0" w:line="252" w:lineRule="exact"/>
        <w:rPr>
          <w:rFonts w:ascii="Arial" w:cs="Arial" w:eastAsia="Arial" w:hAnsi="Arial"/>
          <w:sz w:val="18"/>
          <w:szCs w:val="18"/>
          <w:color w:val="auto"/>
        </w:rPr>
      </w:pPr>
    </w:p>
    <w:p>
      <w:pPr>
        <w:ind w:left="680" w:right="600" w:firstLine="699"/>
        <w:spacing w:after="0" w:line="332" w:lineRule="auto"/>
        <w:tabs>
          <w:tab w:leader="none" w:pos="1772" w:val="left"/>
        </w:tabs>
        <w:numPr>
          <w:ilvl w:val="2"/>
          <w:numId w:val="15"/>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66" w:lineRule="exact"/>
        <w:rPr>
          <w:rFonts w:ascii="Arial" w:cs="Arial" w:eastAsia="Arial" w:hAnsi="Arial"/>
          <w:sz w:val="16"/>
          <w:szCs w:val="16"/>
          <w:color w:val="auto"/>
        </w:rPr>
      </w:pPr>
    </w:p>
    <w:p>
      <w:pPr>
        <w:ind w:left="1820" w:hanging="441"/>
        <w:spacing w:after="0"/>
        <w:tabs>
          <w:tab w:leader="none" w:pos="18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ectPr>
          <w:pgSz w:w="11900" w:h="16838" w:orient="portrait"/>
          <w:cols w:equalWidth="0" w:num="1">
            <w:col w:w="11380"/>
          </w:cols>
          <w:pgMar w:left="260" w:top="125" w:right="259" w:bottom="337"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280" w:hanging="422"/>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00" w:lineRule="exact"/>
        <w:rPr>
          <w:sz w:val="20"/>
          <w:szCs w:val="20"/>
          <w:color w:val="auto"/>
        </w:rPr>
      </w:pPr>
    </w:p>
    <w:p>
      <w:pPr>
        <w:spacing w:after="0" w:line="26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bear and pay directly all costs and expenses (including additional interest and penalties) incurred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8(c),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6"/>
          <w:szCs w:val="16"/>
          <w:i w:val="1"/>
          <w:iCs w:val="1"/>
          <w:color w:val="auto"/>
        </w:rPr>
        <w:t>further provided</w:t>
      </w:r>
      <w:r>
        <w:rPr>
          <w:rFonts w:ascii="Arial" w:cs="Arial" w:eastAsia="Arial" w:hAnsi="Arial"/>
          <w:sz w:val="16"/>
          <w:szCs w:val="16"/>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82" w:lineRule="exact"/>
        <w:rPr>
          <w:sz w:val="20"/>
          <w:szCs w:val="20"/>
          <w:color w:val="auto"/>
        </w:rPr>
      </w:pPr>
    </w:p>
    <w:p>
      <w:pPr>
        <w:ind w:right="80" w:firstLine="710"/>
        <w:spacing w:after="0" w:line="290" w:lineRule="auto"/>
        <w:tabs>
          <w:tab w:leader="none" w:pos="10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after the receipt by the Executive of an amount advanced by the Company or the subsidiary pursuant to paragraph 8(c), the Executive becomes entitled to receive any refund with respect to such claim, the Executive shall (subject to compliance with the requirements of Section 8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8(c),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66" w:lineRule="exact"/>
        <w:rPr>
          <w:rFonts w:ascii="Arial" w:cs="Arial" w:eastAsia="Arial" w:hAnsi="Arial"/>
          <w:sz w:val="16"/>
          <w:szCs w:val="16"/>
          <w:color w:val="auto"/>
        </w:rPr>
      </w:pPr>
    </w:p>
    <w:p>
      <w:pPr>
        <w:ind w:left="800" w:hanging="441"/>
        <w:spacing w:after="0"/>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Mitigate Damages; No Effect on Other Contractual Rights</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right="180" w:firstLine="710"/>
        <w:spacing w:after="0" w:line="259" w:lineRule="auto"/>
        <w:tabs>
          <w:tab w:leader="none" w:pos="10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94" w:lineRule="exact"/>
        <w:rPr>
          <w:rFonts w:ascii="Arial" w:cs="Arial" w:eastAsia="Arial" w:hAnsi="Arial"/>
          <w:sz w:val="18"/>
          <w:szCs w:val="18"/>
          <w:color w:val="auto"/>
        </w:rPr>
      </w:pPr>
    </w:p>
    <w:p>
      <w:pPr>
        <w:ind w:right="500" w:firstLine="710"/>
        <w:spacing w:after="0" w:line="259" w:lineRule="auto"/>
        <w:tabs>
          <w:tab w:leader="none" w:pos="10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80" w:hanging="521"/>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to the Company</w:t>
      </w:r>
      <w:r>
        <w:rPr>
          <w:rFonts w:ascii="Arial" w:cs="Arial" w:eastAsia="Arial" w:hAnsi="Arial"/>
          <w:sz w:val="18"/>
          <w:szCs w:val="18"/>
          <w:color w:val="auto"/>
        </w:rPr>
        <w:t>.</w:t>
      </w:r>
    </w:p>
    <w:p>
      <w:pPr>
        <w:spacing w:after="0" w:line="231" w:lineRule="exact"/>
        <w:rPr>
          <w:rFonts w:ascii="Arial" w:cs="Arial" w:eastAsia="Arial" w:hAnsi="Arial"/>
          <w:sz w:val="18"/>
          <w:szCs w:val="18"/>
          <w:b w:val="1"/>
          <w:bCs w:val="1"/>
          <w:color w:val="auto"/>
        </w:rPr>
      </w:pPr>
    </w:p>
    <w:p>
      <w:pPr>
        <w:ind w:firstLine="710"/>
        <w:spacing w:after="0" w:line="253" w:lineRule="auto"/>
        <w:tabs>
          <w:tab w:leader="none" w:pos="10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10 or which otherwise becomes bound by all the terms and provisions of this Agreement by operation of law.</w:t>
      </w:r>
    </w:p>
    <w:p>
      <w:pPr>
        <w:spacing w:after="0" w:line="199" w:lineRule="exact"/>
        <w:rPr>
          <w:rFonts w:ascii="Arial" w:cs="Arial" w:eastAsia="Arial" w:hAnsi="Arial"/>
          <w:sz w:val="18"/>
          <w:szCs w:val="18"/>
          <w:color w:val="auto"/>
        </w:rPr>
      </w:pPr>
    </w:p>
    <w:p>
      <w:pPr>
        <w:jc w:val="both"/>
        <w:ind w:right="220" w:firstLine="710"/>
        <w:spacing w:after="0" w:line="256" w:lineRule="auto"/>
        <w:tabs>
          <w:tab w:leader="none" w:pos="10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91" w:lineRule="exact"/>
        <w:rPr>
          <w:rFonts w:ascii="Arial" w:cs="Arial" w:eastAsia="Arial" w:hAnsi="Arial"/>
          <w:sz w:val="18"/>
          <w:szCs w:val="18"/>
          <w:color w:val="auto"/>
        </w:rPr>
      </w:pPr>
    </w:p>
    <w:p>
      <w:pPr>
        <w:ind w:right="20" w:firstLine="359"/>
        <w:spacing w:after="0" w:line="262" w:lineRule="auto"/>
        <w:tabs>
          <w:tab w:leader="none" w:pos="86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Guaranty of Employment</w:t>
      </w:r>
      <w:r>
        <w:rPr>
          <w:rFonts w:ascii="Arial" w:cs="Arial" w:eastAsia="Arial" w:hAnsi="Arial"/>
          <w:sz w:val="18"/>
          <w:szCs w:val="18"/>
          <w:color w:val="auto"/>
        </w:rPr>
        <w:t>. Nothing in this Agreement shall be deemed to entitle the Executive to continued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a Change of Control, and the rights of the Company to terminate the employment of the Executive, prior to a Change of Control, shall continue as fully as if this Agreement were not in effect.</w:t>
      </w:r>
    </w:p>
    <w:p>
      <w:pPr>
        <w:spacing w:after="0" w:line="186" w:lineRule="exact"/>
        <w:rPr>
          <w:rFonts w:ascii="Arial" w:cs="Arial" w:eastAsia="Arial" w:hAnsi="Arial"/>
          <w:sz w:val="18"/>
          <w:szCs w:val="18"/>
          <w:b w:val="1"/>
          <w:bCs w:val="1"/>
          <w:color w:val="auto"/>
        </w:rPr>
      </w:pPr>
    </w:p>
    <w:p>
      <w:pPr>
        <w:ind w:right="540" w:firstLine="359"/>
        <w:spacing w:after="0" w:line="339" w:lineRule="auto"/>
        <w:tabs>
          <w:tab w:leader="none" w:pos="87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For purposes of this Agreement, notices and all other communications provided for in the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duly given when delivered or mailed by United States registered mail, return receipt registered, postage prepaid, as follows: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P.O. Box 152</w:t>
      </w:r>
    </w:p>
    <w:p>
      <w:pPr>
        <w:sectPr>
          <w:pgSz w:w="11900" w:h="16838" w:orient="portrait"/>
          <w:cols w:equalWidth="0" w:num="1">
            <w:col w:w="11400"/>
          </w:cols>
          <w:pgMar w:left="240" w:top="131" w:right="259" w:bottom="0" w:gutter="0" w:footer="0" w:header="0"/>
        </w:sectPr>
      </w:pPr>
    </w:p>
    <w:bookmarkStart w:id="8" w:name="page9"/>
    <w:bookmarkEnd w:id="8"/>
    <w:p>
      <w:pPr>
        <w:ind w:left="1720"/>
        <w:spacing w:after="0"/>
        <w:rPr>
          <w:sz w:val="20"/>
          <w:szCs w:val="20"/>
          <w:color w:val="auto"/>
        </w:rPr>
      </w:pPr>
      <w:r>
        <w:rPr>
          <w:rFonts w:ascii="Arial" w:cs="Arial" w:eastAsia="Arial" w:hAnsi="Arial"/>
          <w:sz w:val="18"/>
          <w:szCs w:val="18"/>
          <w:color w:val="auto"/>
        </w:rPr>
        <w:t>Forest City, Iowa 50436</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31 Lido Road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Clear Lake, IA 50428</w:t>
      </w:r>
    </w:p>
    <w:p>
      <w:pPr>
        <w:spacing w:after="0" w:line="2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such other address as either party may have furnished to the other in writing in accordance herewith, except that notices of change of address shall be effective only upon receipt.</w:t>
      </w:r>
    </w:p>
    <w:p>
      <w:pPr>
        <w:spacing w:after="0" w:line="180" w:lineRule="exact"/>
        <w:rPr>
          <w:sz w:val="20"/>
          <w:szCs w:val="20"/>
          <w:color w:val="auto"/>
        </w:rPr>
      </w:pPr>
    </w:p>
    <w:p>
      <w:pPr>
        <w:ind w:firstLine="359"/>
        <w:spacing w:after="0" w:line="255" w:lineRule="auto"/>
        <w:tabs>
          <w:tab w:leader="none" w:pos="87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No provisions of this Agreement may be modified, waived or discharged unless such waiver, modification or discharge is agreed to</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firstLine="359"/>
        <w:spacing w:after="0" w:line="275" w:lineRule="auto"/>
        <w:tabs>
          <w:tab w:leader="none" w:pos="87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 The invalidity or unenforceability of any provisions of this Agreement shall not affect the validity or enforceability of any other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which shall remain in full force and effect.</w:t>
      </w:r>
    </w:p>
    <w:p>
      <w:pPr>
        <w:spacing w:after="0" w:line="173" w:lineRule="exact"/>
        <w:rPr>
          <w:rFonts w:ascii="Arial" w:cs="Arial" w:eastAsia="Arial" w:hAnsi="Arial"/>
          <w:sz w:val="18"/>
          <w:szCs w:val="18"/>
          <w:b w:val="1"/>
          <w:bCs w:val="1"/>
          <w:color w:val="auto"/>
        </w:rPr>
      </w:pPr>
    </w:p>
    <w:p>
      <w:pPr>
        <w:ind w:right="400" w:firstLine="359"/>
        <w:spacing w:after="0" w:line="275" w:lineRule="auto"/>
        <w:tabs>
          <w:tab w:leader="none" w:pos="87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instrument.</w:t>
      </w:r>
    </w:p>
    <w:p>
      <w:pPr>
        <w:spacing w:after="0" w:line="173" w:lineRule="exact"/>
        <w:rPr>
          <w:rFonts w:ascii="Arial" w:cs="Arial" w:eastAsia="Arial" w:hAnsi="Arial"/>
          <w:sz w:val="18"/>
          <w:szCs w:val="18"/>
          <w:b w:val="1"/>
          <w:bCs w:val="1"/>
          <w:color w:val="auto"/>
        </w:rPr>
      </w:pPr>
    </w:p>
    <w:p>
      <w:pPr>
        <w:ind w:right="640" w:firstLine="359"/>
        <w:spacing w:after="0" w:line="275" w:lineRule="auto"/>
        <w:tabs>
          <w:tab w:leader="none" w:pos="87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color w:val="auto"/>
        </w:rPr>
        <w:t>. The Company shall pay all legal fees and expenses which the Executive may incur as a result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contesting the validity, enforceability or the Executive’s interpretation of, or determinations under, this Agreement.</w:t>
      </w:r>
    </w:p>
    <w:p>
      <w:pPr>
        <w:spacing w:after="0" w:line="173" w:lineRule="exact"/>
        <w:rPr>
          <w:rFonts w:ascii="Arial" w:cs="Arial" w:eastAsia="Arial" w:hAnsi="Arial"/>
          <w:sz w:val="18"/>
          <w:szCs w:val="18"/>
          <w:b w:val="1"/>
          <w:bCs w:val="1"/>
          <w:color w:val="auto"/>
        </w:rPr>
      </w:pPr>
    </w:p>
    <w:p>
      <w:pPr>
        <w:ind w:firstLine="359"/>
        <w:spacing w:after="0" w:line="275" w:lineRule="auto"/>
        <w:tabs>
          <w:tab w:leader="none" w:pos="87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The Executive shall retain in confidence any and all confidential information known to the Executive concerning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so long as such information is not otherwise publicly disclosed.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pacing w:after="0" w:line="27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WINNEBAGO INDUSTRIES, INC.</w:t>
      </w:r>
    </w:p>
    <w:p>
      <w:pPr>
        <w:spacing w:after="0" w:line="279" w:lineRule="exact"/>
        <w:rPr>
          <w:sz w:val="20"/>
          <w:szCs w:val="20"/>
          <w:color w:val="auto"/>
        </w:rPr>
      </w:pPr>
    </w:p>
    <w:p>
      <w:pPr>
        <w:ind w:left="6520"/>
        <w:spacing w:after="0"/>
        <w:tabs>
          <w:tab w:leader="none" w:pos="694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80010</wp:posOffset>
            </wp:positionV>
            <wp:extent cx="20751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7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Chairman of the Board and Chief Executive</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8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w:t>
      </w:r>
    </w:p>
    <w:p>
      <w:pPr>
        <w:spacing w:after="0" w:line="27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23583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7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Sarah N. Nielsen</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PRESS RELEASE DATED NOVEMBER 14, 2005</w:t>
      </w:r>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Sheila Davis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Public Relations/Investor Relations Manager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sdavis@winnebagoind.com</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641-585-6803</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WINNEBAGO INDUSTRIES ELECTS SARAH NIELSEN</w:t>
      </w:r>
    </w:p>
    <w:p>
      <w:pPr>
        <w:spacing w:after="0" w:line="14"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VICE PRESIDENT – CHIEF FINANCIAL OFFICER</w:t>
      </w:r>
    </w:p>
    <w:p>
      <w:pPr>
        <w:spacing w:after="0" w:line="28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FOREST CITY, IOWA, November 14, 2005 – Winnebago Industries, Inc. (NYSE: WGO), announced that the Board of Directors elected Sarah Nielsen to the position of Vice President – Chief Financial Officer (CFO) effective November 14, 2005.</w:t>
      </w:r>
    </w:p>
    <w:p>
      <w:pPr>
        <w:spacing w:after="0" w:line="186"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Nielsen, a certified public accountant, joined Winnebago Industries in August 2005 and has served as Director of Special Projects and Training until her election to the position of CFO. Prior to joining Winnebago Industries, Nielsen had been employed by Deloitte &amp; Touche LLP in Minneapolis, Minnesota since 1995, most recently in the position of Assurance and Advisory Services Senior Manager since 2003 and a Manager since 2000.</w:t>
      </w:r>
    </w:p>
    <w:p>
      <w:pPr>
        <w:spacing w:after="0" w:line="16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With Nielsen’s election, Winnebago Industries’ President Ed Barker relinquished the title of CFO in order to focus on the day-to-day management of the Company.</w:t>
      </w:r>
    </w:p>
    <w:p>
      <w:pPr>
        <w:spacing w:after="0" w:line="186"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“Sarah is a great addition to Winnebago Industries management team,” said Barker. “She brings with her an extensive knowledge of generally accepted accounting principles, Securities and Exchange Commission regulations, and internal control over financial reporting requirements of the Public Company Accounting Oversight Board which will be particularly helpful to Winnebago Industries in its continuing compliance with Section 404 of the Sarbanes-Oxley Act.”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Nielsen graduated magna cum laude from the University of North Dakota with a Bachelor of Accountancy degree.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native of Valley City, ND; Nielsen and her husband, Wade, and their two children reside in Clear Lake, Iowa.</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Winnebago Industries</w:t>
      </w:r>
    </w:p>
    <w:p>
      <w:pPr>
        <w:spacing w:after="0" w:line="30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lowerLetter"/>
      <w:start w:val="2"/>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lvl w:ilvl="1">
      <w:lvlJc w:val="left"/>
      <w:lvlText w:val="(%2)"/>
      <w:numFmt w:val="lowerLetter"/>
      <w:start w:val="6"/>
    </w:lvl>
  </w:abstractNum>
  <w:abstractNum w:abstractNumId="5">
    <w:nsid w:val="109CF92E"/>
    <w:multiLevelType w:val="hybridMultilevel"/>
    <w:lvl w:ilvl="0">
      <w:lvlJc w:val="left"/>
      <w:lvlText w:val="%1."/>
      <w:numFmt w:val="decimal"/>
      <w:start w:val="3"/>
    </w:lvl>
    <w:lvl w:ilvl="1">
      <w:lvlJc w:val="left"/>
      <w:lvlText w:val="(%2)"/>
      <w:numFmt w:val="lowerLetter"/>
      <w:start w:val="1"/>
    </w:lvl>
  </w:abstractNum>
  <w:abstractNum w:abstractNumId="6">
    <w:nsid w:val="DED7263"/>
    <w:multiLevelType w:val="hybridMultilevel"/>
    <w:lvl w:ilvl="0">
      <w:lvlJc w:val="left"/>
      <w:lvlText w:val="%1"/>
      <w:numFmt w:val="decimal"/>
      <w:start w:val="1"/>
    </w:lvl>
    <w:lvl w:ilvl="1">
      <w:lvlJc w:val="left"/>
      <w:lvlText w:val="(%2)"/>
      <w:numFmt w:val="lowerLetter"/>
      <w:start w:val="3"/>
    </w:lvl>
  </w:abstractNum>
  <w:abstractNum w:abstractNumId="7">
    <w:nsid w:val="7FDCC233"/>
    <w:multiLevelType w:val="hybridMultilevel"/>
    <w:lvl w:ilvl="0">
      <w:lvlJc w:val="left"/>
      <w:lvlText w:val="%1."/>
      <w:numFmt w:val="decimal"/>
      <w:start w:val="4"/>
    </w:lvl>
    <w:lvl w:ilvl="1">
      <w:lvlJc w:val="left"/>
      <w:lvlText w:val="(%2)"/>
      <w:numFmt w:val="lowerLetter"/>
      <w:start w:val="1"/>
    </w:lvl>
  </w:abstractNum>
  <w:abstractNum w:abstractNumId="8">
    <w:nsid w:val="1BEFD79F"/>
    <w:multiLevelType w:val="hybridMultilevel"/>
    <w:lvl w:ilvl="0">
      <w:lvlJc w:val="left"/>
      <w:lvlText w:val="(%1)"/>
      <w:numFmt w:val="lowerLetter"/>
      <w:start w:val="3"/>
    </w:lvl>
    <w:lvl w:ilvl="1">
      <w:lvlJc w:val="left"/>
      <w:lvlText w:val="(%2)"/>
      <w:numFmt w:val="lowerLetter"/>
      <w:start w:val="9"/>
    </w:lvl>
  </w:abstractNum>
  <w:abstractNum w:abstractNumId="9">
    <w:nsid w:val="41A7C4C9"/>
    <w:multiLevelType w:val="hybridMultilevel"/>
    <w:lvl w:ilvl="0">
      <w:lvlJc w:val="left"/>
      <w:lvlText w:val="(%1)"/>
      <w:numFmt w:val="lowerRoman"/>
      <w:start w:val="2"/>
    </w:lvl>
  </w:abstractNum>
  <w:abstractNum w:abstractNumId="10">
    <w:nsid w:val="6B68079A"/>
    <w:multiLevelType w:val="hybridMultilevel"/>
    <w:lvl w:ilvl="0">
      <w:lvlJc w:val="left"/>
      <w:lvlText w:val="%1"/>
      <w:numFmt w:val="lowerLetter"/>
      <w:start w:val="1"/>
    </w:lvl>
    <w:lvl w:ilvl="1">
      <w:lvlJc w:val="left"/>
      <w:lvlText w:val="(%2)"/>
      <w:numFmt w:val="lowerRoman"/>
      <w:start w:val="5"/>
    </w:lvl>
  </w:abstractNum>
  <w:abstractNum w:abstractNumId="11">
    <w:nsid w:val="4E6AFB66"/>
    <w:multiLevelType w:val="hybridMultilevel"/>
    <w:lvl w:ilvl="0">
      <w:lvlJc w:val="left"/>
      <w:lvlText w:val="(%1)"/>
      <w:numFmt w:val="lowerLetter"/>
      <w:start w:val="5"/>
    </w:lvl>
    <w:lvl w:ilvl="1">
      <w:lvlJc w:val="left"/>
      <w:lvlText w:val="%2"/>
      <w:numFmt w:val="lowerRoman"/>
      <w:start w:val="1"/>
    </w:lvl>
  </w:abstractNum>
  <w:abstractNum w:abstractNumId="12">
    <w:nsid w:val="25E45D32"/>
    <w:multiLevelType w:val="hybridMultilevel"/>
    <w:lvl w:ilvl="0">
      <w:lvlJc w:val="left"/>
      <w:lvlText w:val="%1."/>
      <w:numFmt w:val="decimal"/>
      <w:start w:val="6"/>
    </w:lvl>
  </w:abstractNum>
  <w:abstractNum w:abstractNumId="13">
    <w:nsid w:val="519B500D"/>
    <w:multiLevelType w:val="hybridMultilevel"/>
    <w:lvl w:ilvl="0">
      <w:lvlJc w:val="left"/>
      <w:lvlText w:val="%1."/>
      <w:numFmt w:val="decimal"/>
      <w:start w:val="7"/>
    </w:lvl>
    <w:lvl w:ilvl="1">
      <w:lvlJc w:val="left"/>
      <w:lvlText w:val="(%2)"/>
      <w:numFmt w:val="lowerLetter"/>
      <w:start w:val="1"/>
    </w:lvl>
  </w:abstractNum>
  <w:abstractNum w:abstractNumId="14">
    <w:nsid w:val="431BD7B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
    <w:nsid w:val="3F2DBA31"/>
    <w:multiLevelType w:val="hybridMultilevel"/>
    <w:lvl w:ilvl="0">
      <w:lvlJc w:val="left"/>
      <w:lvlText w:val="(%1)"/>
      <w:numFmt w:val="lowerRoman"/>
      <w:start w:val="4"/>
    </w:lvl>
  </w:abstractNum>
  <w:abstractNum w:abstractNumId="16">
    <w:nsid w:val="7C83E458"/>
    <w:multiLevelType w:val="hybridMultilevel"/>
    <w:lvl w:ilvl="0">
      <w:lvlJc w:val="left"/>
      <w:lvlText w:val="%1"/>
      <w:numFmt w:val="decimal"/>
      <w:start w:val="1"/>
    </w:lvl>
    <w:lvl w:ilvl="1">
      <w:lvlJc w:val="left"/>
      <w:lvlText w:val="(%2)"/>
      <w:numFmt w:val="lowerLetter"/>
      <w:start w:val="4"/>
    </w:lvl>
  </w:abstractNum>
  <w:abstractNum w:abstractNumId="17">
    <w:nsid w:val="257130A3"/>
    <w:multiLevelType w:val="hybridMultilevel"/>
    <w:lvl w:ilvl="0">
      <w:lvlJc w:val="left"/>
      <w:lvlText w:val="%1."/>
      <w:numFmt w:val="decimal"/>
      <w:start w:val="9"/>
    </w:lvl>
    <w:lvl w:ilvl="1">
      <w:lvlJc w:val="left"/>
      <w:lvlText w:val="(%2)"/>
      <w:numFmt w:val="lowerLetter"/>
      <w:start w:val="1"/>
    </w:lvl>
  </w:abstractNum>
  <w:abstractNum w:abstractNumId="18">
    <w:nsid w:val="62BBD95A"/>
    <w:multiLevelType w:val="hybridMultilevel"/>
    <w:lvl w:ilvl="0">
      <w:lvlJc w:val="left"/>
      <w:lvlText w:val="%1."/>
      <w:numFmt w:val="decimal"/>
      <w:start w:val="10"/>
    </w:lvl>
    <w:lvl w:ilvl="1">
      <w:lvlJc w:val="left"/>
      <w:lvlText w:val="(%2)"/>
      <w:numFmt w:val="lowerLetter"/>
      <w:start w:val="1"/>
    </w:lvl>
  </w:abstractNum>
  <w:abstractNum w:abstractNumId="19">
    <w:nsid w:val="436C6125"/>
    <w:multiLevelType w:val="hybridMultilevel"/>
    <w:lvl w:ilvl="0">
      <w:lvlJc w:val="left"/>
      <w:lvlText w:val="%1."/>
      <w:numFmt w:val="decimal"/>
      <w:start w:val="13"/>
    </w:lvl>
  </w:abstractNum>
  <w:abstractNum w:abstractNumId="20">
    <w:nsid w:val="628C895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2019-12-13T08:13:52Z</dcterms:created>
  <dcterms:modified xsi:type="dcterms:W3CDTF">2019-12-13T08:13:52Z</dcterms:modified>
</cp:coreProperties>
</file>