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12, 2004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1"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7"/>
              </w:rPr>
              <w:t>IOWA</w:t>
            </w:r>
          </w:p>
        </w:tc>
        <w:tc>
          <w:tcPr>
            <w:tcW w:w="2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0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(State of Incorporation)</w:t>
            </w:r>
          </w:p>
        </w:tc>
        <w:tc>
          <w:tcPr>
            <w:tcW w:w="2660" w:type="dxa"/>
            <w:vAlign w:val="bottom"/>
            <w:gridSpan w:val="3"/>
          </w:tcPr>
          <w:p>
            <w:pPr>
              <w:jc w:val="center"/>
              <w:ind w:left="7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990600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00"/>
        <w:spacing w:after="0"/>
        <w:rPr>
          <w:sz w:val="20"/>
          <w:szCs w:val="20"/>
          <w:color w:val="auto"/>
        </w:rPr>
      </w:pPr>
      <w:r>
        <w:rPr>
          <w:rFonts w:ascii="Arial" w:cs="Arial" w:eastAsia="Arial" w:hAnsi="Arial"/>
          <w:sz w:val="22"/>
          <w:szCs w:val="22"/>
          <w:b w:val="1"/>
          <w:bCs w:val="1"/>
          <w:color w:val="auto"/>
        </w:rPr>
        <w:t>ITEM 5.  OTHER EVENTS</w:t>
      </w:r>
    </w:p>
    <w:p>
      <w:pPr>
        <w:spacing w:after="0" w:line="306" w:lineRule="exact"/>
        <w:rPr>
          <w:sz w:val="24"/>
          <w:szCs w:val="24"/>
          <w:color w:val="auto"/>
        </w:rPr>
      </w:pPr>
    </w:p>
    <w:p>
      <w:pPr>
        <w:ind w:left="100" w:right="139" w:firstLine="351"/>
        <w:spacing w:after="0" w:line="253" w:lineRule="auto"/>
        <w:rPr>
          <w:sz w:val="20"/>
          <w:szCs w:val="20"/>
          <w:color w:val="auto"/>
        </w:rPr>
      </w:pPr>
      <w:r>
        <w:rPr>
          <w:rFonts w:ascii="Arial" w:cs="Arial" w:eastAsia="Arial" w:hAnsi="Arial"/>
          <w:sz w:val="18"/>
          <w:szCs w:val="18"/>
          <w:color w:val="auto"/>
        </w:rPr>
        <w:t>Hanson Capital Partners, LLC (</w:t>
      </w:r>
      <w:r>
        <w:rPr>
          <w:rFonts w:ascii="Arial" w:cs="Arial" w:eastAsia="Arial" w:hAnsi="Arial"/>
          <w:sz w:val="18"/>
          <w:szCs w:val="18"/>
          <w:i w:val="1"/>
          <w:iCs w:val="1"/>
          <w:color w:val="auto"/>
        </w:rPr>
        <w:t>“HCP”</w:t>
      </w:r>
      <w:r>
        <w:rPr>
          <w:rFonts w:ascii="Arial" w:cs="Arial" w:eastAsia="Arial" w:hAnsi="Arial"/>
          <w:sz w:val="18"/>
          <w:szCs w:val="18"/>
          <w:color w:val="auto"/>
        </w:rPr>
        <w:t xml:space="preserve">) has advised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that HCP entered into a written plan on August 12, 2004, pursuant to SEC Rule 10b5-1(c) relating to future sales of the Company’s common stock. As of August 12, 2004, HCP was the beneficial owner of 2,453,012 shares of the Company’s common stock (or approximately 7% of currently outstanding shares). HCP’s trading plan calls for daily sales of the Company’s common stock in amounts dependent upon the prevailing market price. HCP intends to sell up to 450,000 shares of the Company’s common stock under the trading plan. The trading plan terminates on July 31, 2005, unless terminated earlier in accordance with its terms.</w:t>
      </w:r>
    </w:p>
    <w:p>
      <w:pPr>
        <w:spacing w:after="0" w:line="201" w:lineRule="exact"/>
        <w:rPr>
          <w:sz w:val="24"/>
          <w:szCs w:val="24"/>
          <w:color w:val="auto"/>
        </w:rPr>
      </w:pPr>
    </w:p>
    <w:p>
      <w:pPr>
        <w:ind w:left="100" w:right="179" w:firstLine="351"/>
        <w:spacing w:after="0" w:line="290" w:lineRule="auto"/>
        <w:rPr>
          <w:sz w:val="20"/>
          <w:szCs w:val="20"/>
          <w:color w:val="auto"/>
        </w:rPr>
      </w:pPr>
      <w:r>
        <w:rPr>
          <w:rFonts w:ascii="Arial" w:cs="Arial" w:eastAsia="Arial" w:hAnsi="Arial"/>
          <w:sz w:val="16"/>
          <w:szCs w:val="16"/>
          <w:color w:val="auto"/>
        </w:rPr>
        <w:t xml:space="preserve">HCP is a Delaware limited liability company whose members are the Luise V. Hanson Qualified Terminable Interest Property Marital Deduction Trust (the ” </w:t>
      </w:r>
      <w:r>
        <w:rPr>
          <w:rFonts w:ascii="Arial" w:cs="Arial" w:eastAsia="Arial" w:hAnsi="Arial"/>
          <w:sz w:val="16"/>
          <w:szCs w:val="16"/>
          <w:i w:val="1"/>
          <w:iCs w:val="1"/>
          <w:color w:val="auto"/>
        </w:rPr>
        <w:t>QTIP Trust</w:t>
      </w:r>
      <w:r>
        <w:rPr>
          <w:rFonts w:ascii="Arial" w:cs="Arial" w:eastAsia="Arial" w:hAnsi="Arial"/>
          <w:sz w:val="16"/>
          <w:szCs w:val="16"/>
          <w:color w:val="auto"/>
        </w:rPr>
        <w:t xml:space="preserve"> “), which has a 34.8% membership interest in HCP, the Luise V. Hanson Revocable Trust, dated September 22, 1984 (the ” </w:t>
      </w:r>
      <w:r>
        <w:rPr>
          <w:rFonts w:ascii="Arial" w:cs="Arial" w:eastAsia="Arial" w:hAnsi="Arial"/>
          <w:sz w:val="16"/>
          <w:szCs w:val="16"/>
          <w:i w:val="1"/>
          <w:iCs w:val="1"/>
          <w:color w:val="auto"/>
        </w:rPr>
        <w:t>Revocable Trust</w:t>
      </w:r>
      <w:r>
        <w:rPr>
          <w:rFonts w:ascii="Arial" w:cs="Arial" w:eastAsia="Arial" w:hAnsi="Arial"/>
          <w:sz w:val="16"/>
          <w:szCs w:val="16"/>
          <w:color w:val="auto"/>
        </w:rPr>
        <w:t xml:space="preserve"> “), which has a 64.6% membership interest in HCP, and John V. Hanson, Mary Joan Boman and Paul D. Hanson who each have, in their individual capacity, a .2% membership interest in HCP. John V. Hanson, a director of the Company, Mary Joan Boman, the wife of Gerald E. Boman, a director of the Company, Paul D. Hanson and Bessemer Trust Company, N.A. act as co-trustees under the QTIP Trust and the Revocable Trust.</w:t>
      </w:r>
    </w:p>
    <w:p>
      <w:pPr>
        <w:spacing w:after="0" w:line="221" w:lineRule="exact"/>
        <w:rPr>
          <w:sz w:val="24"/>
          <w:szCs w:val="24"/>
          <w:color w:val="auto"/>
        </w:rPr>
      </w:pPr>
    </w:p>
    <w:p>
      <w:pPr>
        <w:ind w:left="100"/>
        <w:spacing w:after="0"/>
        <w:rPr>
          <w:sz w:val="20"/>
          <w:szCs w:val="20"/>
          <w:color w:val="auto"/>
        </w:rPr>
      </w:pPr>
      <w:r>
        <w:rPr>
          <w:rFonts w:ascii="Arial" w:cs="Arial" w:eastAsia="Arial" w:hAnsi="Arial"/>
          <w:sz w:val="22"/>
          <w:szCs w:val="22"/>
          <w:b w:val="1"/>
          <w:bCs w:val="1"/>
          <w:color w:val="auto"/>
        </w:rPr>
        <w:t>ITEM 7.  FINANCIAL STATEMENTS AND EXHIBITS</w:t>
      </w:r>
    </w:p>
    <w:p>
      <w:pPr>
        <w:spacing w:after="0" w:line="306" w:lineRule="exact"/>
        <w:rPr>
          <w:sz w:val="24"/>
          <w:szCs w:val="24"/>
          <w:color w:val="auto"/>
        </w:rPr>
      </w:pPr>
    </w:p>
    <w:p>
      <w:pPr>
        <w:ind w:left="100" w:right="559" w:firstLine="348"/>
        <w:spacing w:after="0" w:line="268" w:lineRule="auto"/>
        <w:rPr>
          <w:sz w:val="20"/>
          <w:szCs w:val="20"/>
          <w:color w:val="auto"/>
        </w:rPr>
      </w:pPr>
      <w:r>
        <w:rPr>
          <w:rFonts w:ascii="Arial" w:cs="Arial" w:eastAsia="Arial" w:hAnsi="Arial"/>
          <w:sz w:val="18"/>
          <w:szCs w:val="18"/>
          <w:color w:val="auto"/>
        </w:rPr>
        <w:t>The following exhibit, a press release issued on August 12, 2004 to report HCP’s execution of a SEC Rule 10b5-1 trading plan, is included herein:</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 99.1  Press Release</w:t>
      </w:r>
    </w:p>
    <w:p>
      <w:pPr>
        <w:sectPr>
          <w:pgSz w:w="11900" w:h="16838" w:orient="portrait"/>
          <w:cols w:equalWidth="0" w:num="1">
            <w:col w:w="9019"/>
          </w:cols>
          <w:pgMar w:left="1440" w:top="117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left="100" w:right="239"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13, 2004</w:t>
      </w:r>
    </w:p>
    <w:p>
      <w:pPr>
        <w:spacing w:after="0" w:line="225" w:lineRule="exact"/>
        <w:rPr>
          <w:sz w:val="20"/>
          <w:szCs w:val="20"/>
          <w:color w:val="auto"/>
        </w:rPr>
      </w:pPr>
    </w:p>
    <w:p>
      <w:pPr>
        <w:ind w:left="43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Bruce D.</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-17780</wp:posOffset>
            </wp:positionV>
            <wp:extent cx="770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Name: Bruce D. Hertzke</w:t>
      </w:r>
    </w:p>
    <w:p>
      <w:pPr>
        <w:spacing w:after="0" w:line="9" w:lineRule="exact"/>
        <w:rPr>
          <w:sz w:val="20"/>
          <w:szCs w:val="20"/>
          <w:color w:val="auto"/>
        </w:rPr>
      </w:pPr>
    </w:p>
    <w:p>
      <w:pPr>
        <w:ind w:left="436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1771650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60325</wp:posOffset>
            </wp:positionV>
            <wp:extent cx="317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60325</wp:posOffset>
            </wp:positionV>
            <wp:extent cx="523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88"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August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1929765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ind w:left="100"/>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Sheila Davis, Public Relations/Investor Relations Manager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sdavis@winnebagoind.com</w:t>
      </w:r>
    </w:p>
    <w:p>
      <w:pPr>
        <w:spacing w:after="0" w:line="200" w:lineRule="exact"/>
        <w:rPr>
          <w:sz w:val="20"/>
          <w:szCs w:val="20"/>
          <w:color w:val="auto"/>
        </w:rPr>
      </w:pPr>
    </w:p>
    <w:p>
      <w:pPr>
        <w:sectPr>
          <w:pgSz w:w="11900" w:h="16838" w:orient="portrait"/>
          <w:cols w:equalWidth="0" w:num="2">
            <w:col w:w="700" w:space="620"/>
            <w:col w:w="7699"/>
          </w:cols>
          <w:pgMar w:left="1440" w:top="860"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HANSON CAPITAL PARTNERS SECOND STOCK SALES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TRADING PLAN EXPIRES/ENTERS INTO THIRD TRADING PLAN</w:t>
      </w:r>
    </w:p>
    <w:p>
      <w:pPr>
        <w:spacing w:after="0" w:line="282" w:lineRule="exact"/>
        <w:rPr>
          <w:sz w:val="20"/>
          <w:szCs w:val="20"/>
          <w:color w:val="auto"/>
        </w:rPr>
      </w:pPr>
    </w:p>
    <w:p>
      <w:pPr>
        <w:ind w:left="100" w:right="99"/>
        <w:spacing w:after="0" w:line="287" w:lineRule="auto"/>
        <w:rPr>
          <w:sz w:val="20"/>
          <w:szCs w:val="20"/>
          <w:color w:val="auto"/>
        </w:rPr>
      </w:pPr>
      <w:r>
        <w:rPr>
          <w:rFonts w:ascii="Arial" w:cs="Arial" w:eastAsia="Arial" w:hAnsi="Arial"/>
          <w:sz w:val="16"/>
          <w:szCs w:val="16"/>
          <w:color w:val="auto"/>
        </w:rPr>
        <w:t>FOREST CITY, IOWA, August 12, 2004 – Winnebago Industries, Inc. (NYSE: WGO) announced today that the second written trading plan that was entered into by Hanson Capital Partners, LLC (“HCP”), which is owned and controlled by the family of Company founder John K. Hanson and his wife, Luise V. Hanson, on February 12, 2004, pursuant to SEC Rule 10b5-1 relating to sales of the Company’s common stock, has expired. HCP’s trading plan called for daily sales of the Company’s common stock in amounts dependent upon the prevailing market price. Under that plan, HCP intended to sell up to 2,428,900 shares of the Company’s common stock (adjusted to reflect the two for one dividend of the Company’s common stock effective March 5, 2004). The trading plan was to terminate on July 31, 2004, unless terminated earlier in accordance with its terms. Upon its expiration on July 31, 2004 approximately 420,000 shares remained unsold under the plan. The Company was informed that HCP executed a new 10b5-1 stock sales trading plan on August 12, 2004 to sell up to a maximum of 450,000 shares with an expiration date of July 31, 2005.</w:t>
      </w:r>
    </w:p>
    <w:p>
      <w:pPr>
        <w:spacing w:after="0" w:line="177" w:lineRule="exact"/>
        <w:rPr>
          <w:sz w:val="20"/>
          <w:szCs w:val="20"/>
          <w:color w:val="auto"/>
        </w:rPr>
      </w:pPr>
    </w:p>
    <w:p>
      <w:pPr>
        <w:ind w:left="100" w:right="319" w:firstLine="341"/>
        <w:spacing w:after="0" w:line="268" w:lineRule="auto"/>
        <w:rPr>
          <w:sz w:val="20"/>
          <w:szCs w:val="20"/>
          <w:color w:val="auto"/>
        </w:rPr>
      </w:pPr>
      <w:r>
        <w:rPr>
          <w:rFonts w:ascii="Arial" w:cs="Arial" w:eastAsia="Arial" w:hAnsi="Arial"/>
          <w:sz w:val="18"/>
          <w:szCs w:val="18"/>
          <w:color w:val="auto"/>
        </w:rPr>
        <w:t>As of August 12, 2004 HCP was the owner of 2,453,012 shares of the Company’s common stock, or approximately 7 percent of currently outstanding shares.</w:t>
      </w:r>
    </w:p>
    <w:p>
      <w:pPr>
        <w:spacing w:after="0" w:line="186" w:lineRule="exact"/>
        <w:rPr>
          <w:sz w:val="20"/>
          <w:szCs w:val="20"/>
          <w:color w:val="auto"/>
        </w:rPr>
      </w:pPr>
    </w:p>
    <w:p>
      <w:pPr>
        <w:ind w:left="100" w:right="199" w:firstLine="351"/>
        <w:spacing w:after="0" w:line="259" w:lineRule="auto"/>
        <w:rPr>
          <w:sz w:val="20"/>
          <w:szCs w:val="20"/>
          <w:color w:val="auto"/>
        </w:rPr>
      </w:pPr>
      <w:r>
        <w:rPr>
          <w:rFonts w:ascii="Arial" w:cs="Arial" w:eastAsia="Arial" w:hAnsi="Arial"/>
          <w:sz w:val="18"/>
          <w:szCs w:val="18"/>
          <w:color w:val="auto"/>
        </w:rPr>
        <w:t>John V. Hanson, a Managing Director of HCP and a Director of the Company, stated that entering into the Rule 10b5-1 trading plan was a continuation of the strategy of the Hanson family and HCP, which it has been executing since 1997, to diversify its investment portfolio in an orderly manner.</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left="100" w:right="119" w:firstLine="348"/>
        <w:spacing w:after="0" w:line="287"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and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1758315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8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2019-12-13T08:25:42Z</dcterms:created>
  <dcterms:modified xsi:type="dcterms:W3CDTF">2019-12-13T08:25:42Z</dcterms:modified>
</cp:coreProperties>
</file>