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December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636905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121920</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December 19, 2018, Winnebago Industries, Inc. issued a press release to report financial results for the first quarter of Fiscal 2019 ended November 24, 2018. A copy of the press release is attached as Exhibit 99.1 and is incorporated by reference herein.</w:t>
      </w:r>
    </w:p>
    <w:p>
      <w:pPr>
        <w:spacing w:after="0" w:line="16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2019.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December 19, 2018</w:t>
        </w:r>
      </w:hyperlink>
    </w:p>
    <w:p>
      <w:pPr>
        <w:sectPr>
          <w:pgSz w:w="11900" w:h="16838" w:orient="portrait"/>
          <w:cols w:equalWidth="0" w:num="1">
            <w:col w:w="11160"/>
          </w:cols>
          <w:pgMar w:left="240" w:top="554" w:right="4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6500" w:type="dxa"/>
            <w:vAlign w:val="bottom"/>
            <w:gridSpan w:val="2"/>
          </w:tcPr>
          <w:p>
            <w:pPr>
              <w:ind w:left="10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80" w:type="dxa"/>
            <w:vAlign w:val="bottom"/>
          </w:tcPr>
          <w:p>
            <w:pPr>
              <w:ind w:left="200"/>
              <w:spacing w:after="0"/>
              <w:rPr>
                <w:sz w:val="20"/>
                <w:szCs w:val="20"/>
                <w:color w:val="auto"/>
              </w:rPr>
            </w:pPr>
            <w:r>
              <w:rPr>
                <w:rFonts w:ascii="Arial" w:cs="Arial" w:eastAsia="Arial" w:hAnsi="Arial"/>
                <w:sz w:val="16"/>
                <w:szCs w:val="16"/>
                <w:color w:val="auto"/>
              </w:rPr>
              <w:t>December 19, 2018</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37"/>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6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240" w:top="544" w:right="439" w:bottom="1440" w:gutter="0" w:footer="0" w:header="0"/>
        </w:sectPr>
      </w:pPr>
    </w:p>
    <w:bookmarkStart w:id="3" w:name="page4"/>
    <w:bookmarkEnd w:id="3"/>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30695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ANNOUNCES RECORD FIRST QUARTER FISCAL 2019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Quarterly Revenues Increased 9.7% on Continued Strong Towable Segment Growth --</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Quarterly Diluted EPS of $0.70, Up 22.8% Over Prior Year --</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Quarterly Gross Margins of 14.4% Increased 40 Basis Points Over Prior Year --</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Quarterly Dividend Increased 10% to $0.11 Per Share --</w:t>
      </w:r>
    </w:p>
    <w:p>
      <w:pPr>
        <w:spacing w:after="0" w:line="336" w:lineRule="exact"/>
        <w:rPr>
          <w:sz w:val="20"/>
          <w:szCs w:val="20"/>
          <w:color w:val="auto"/>
        </w:rPr>
      </w:pPr>
    </w:p>
    <w:p>
      <w:pPr>
        <w:ind w:right="560"/>
        <w:spacing w:after="0" w:line="366" w:lineRule="auto"/>
        <w:rPr>
          <w:sz w:val="20"/>
          <w:szCs w:val="20"/>
          <w:color w:val="auto"/>
        </w:rPr>
      </w:pPr>
      <w:r>
        <w:rPr>
          <w:rFonts w:ascii="Arial" w:cs="Arial" w:eastAsia="Arial" w:hAnsi="Arial"/>
          <w:sz w:val="16"/>
          <w:szCs w:val="16"/>
          <w:color w:val="auto"/>
        </w:rPr>
        <w:t>FOREST CITY, IOWA, December 19, 2018 - Winnebago Industries, Inc. (NYSE:WGO), a leading outdoor lifestyle product manufacturer, today reported financial results for the Company's first quarter Fiscal 2019.</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2019 Results</w:t>
      </w:r>
    </w:p>
    <w:p>
      <w:pPr>
        <w:spacing w:after="0" w:line="86"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Revenues for the Fiscal 2019 first quarter ended November 24, 2018, were $493.6 million, an increase of 9.7% compared to $450.0 million for the Fiscal 2018 period. Gross profit was $71.0 million, an increase of 13.0% compared to $62.8 million for the Fiscal 2018 period. Gross profit margin increased 40 basis points in the quarter, driven by favorable business mix due to the strong growth in the Towable segment and improved margins in the Motorhome segment. Operating income was $32.6 million for the quarter, an increase of 4.6% compared to $31.2 million in the first quarter of last year. Fiscal 2019 first quarter net income was $22.2 million, an increase of 23.4% compared to $18.0 million in the same period last year. Earnings per diluted share were $0.70, an increase of 22.8% compared to earnings per diluted share of $0.57 in the same period last year. Consolidated Adjusted EBITDA was $38.5 million for the quarter, compared to $35.4 million last year, an increase of 8.6%.</w:t>
      </w:r>
    </w:p>
    <w:p>
      <w:pPr>
        <w:spacing w:after="0" w:line="261"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President and Chief Executive Officer, Michael Happe, commented, “We are very pleased with the strong start to our Fiscal Year 2019, resulting from our upward momentum within the North American RV business and the positive integration of our new marine division. Sales growth remained robust as we continued to take overall retail market share on the RV side, and we were successful in expanding margins during the quarter, primarily driven by the continued profitability recovery within our Motorhome segment. Our dual-branded approach with Winnebago and Grand Design on the RV business continues to result in a strengthened line of high-quality, versatile products that reach a broader customer base through a network of dealer partners that value our aftermarket support and commitment to their profitability. We were also satisfied with the strong reception our new products received at both the RV Open House and the Fort Lauderdale International Boat Show this fall. As always, I want to thank all of our Winnebago Industries teammates for their tremendous work during the quarter and for their ongoing dedication to providing great quality, service, and innovation to our customers and helping us transform the future of this Company. It is because of this team that we feel confident in our aspiration to outperform the markets in which we compete.”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ind w:right="420"/>
        <w:spacing w:after="0" w:line="356" w:lineRule="auto"/>
        <w:rPr>
          <w:sz w:val="20"/>
          <w:szCs w:val="20"/>
          <w:color w:val="auto"/>
        </w:rPr>
      </w:pPr>
      <w:r>
        <w:rPr>
          <w:rFonts w:ascii="Arial" w:cs="Arial" w:eastAsia="Arial" w:hAnsi="Arial"/>
          <w:sz w:val="16"/>
          <w:szCs w:val="16"/>
          <w:color w:val="auto"/>
        </w:rPr>
        <w:t>In the first quarter, revenues for the Motorhome segment were $181.3 million, down 3.6% from the previous year. Segment Adjusted EBITDA was $12.0 million, up 144.4% from the prior year. Adjusted EBITDA margin increased 400 basis points, driven by net pricing and operational improvements. Backlog decreased 23.6%, in dollars, versus the prior year, reflecting rental unit and new product order timing, in addition to a more challenging late fall shipment environment.</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042"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Revenues for the Towable segment were $292.8 million for the first quarter, up 12.8% over the prior year, driven by continued strong organic unit growth across the Grand Design RV branded line and pricing. Segment Adjusted EBITDA was $30.8 million, down 7.7% vs. the prior year. Adjusted EBITDA margin of 10.5% decreased 240 basis points, reflecting continued cost input pressures and a robust comparable period in the year prior. Backlog levels remained strong but declined 3.9%, in dollars, versus the prior year, reflecting a re-balance from high backlog levels in first quarter Fiscal 2018 and utilizing additional capacity added during calendar 2018, in addition to a more challenging late fall shipment environment.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jc w:val="both"/>
        <w:ind w:right="320"/>
        <w:spacing w:after="0" w:line="359" w:lineRule="auto"/>
        <w:rPr>
          <w:sz w:val="20"/>
          <w:szCs w:val="20"/>
          <w:color w:val="auto"/>
        </w:rPr>
      </w:pPr>
      <w:r>
        <w:rPr>
          <w:rFonts w:ascii="Arial" w:cs="Arial" w:eastAsia="Arial" w:hAnsi="Arial"/>
          <w:sz w:val="16"/>
          <w:szCs w:val="16"/>
          <w:color w:val="auto"/>
        </w:rPr>
        <w:t>As of November 24, 2018, the Company had total outstanding debt of $253.3 million ($260.0 million of debt, net of debt issuance costs of $6.7 million) and working capital of $144.1 million. The ratio of net debt to Adjusted EBITDA improved to 1.4x as of the end of the quarter compared to 1.6x as of August 25, 2018. Cash flow from operations was $54.2 million in the first quarter of Fiscal 2019, an increase of $24.7 million from the same period in Fiscal 2018.</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 Reform Impact</w:t>
      </w:r>
    </w:p>
    <w:p>
      <w:pPr>
        <w:spacing w:after="0" w:line="86" w:lineRule="exact"/>
        <w:rPr>
          <w:sz w:val="20"/>
          <w:szCs w:val="20"/>
          <w:color w:val="auto"/>
        </w:rPr>
      </w:pPr>
    </w:p>
    <w:p>
      <w:pPr>
        <w:ind w:right="240"/>
        <w:spacing w:after="0" w:line="366" w:lineRule="auto"/>
        <w:rPr>
          <w:sz w:val="20"/>
          <w:szCs w:val="20"/>
          <w:color w:val="auto"/>
        </w:rPr>
      </w:pPr>
      <w:r>
        <w:rPr>
          <w:rFonts w:ascii="Arial" w:cs="Arial" w:eastAsia="Arial" w:hAnsi="Arial"/>
          <w:sz w:val="16"/>
          <w:szCs w:val="16"/>
          <w:color w:val="auto"/>
        </w:rPr>
        <w:t>The Company recorded a tax rate of 23.3% in the third quarter compared to a rate of 32.3% in the prior year. The reduction in the rate is related to the lower federal tax rate enacted in accordance with the Tax Cuts and Jobs Act.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On December 12, 2018, the Company’s board of directors approved a quarterly cash dividend of $0.11 per share payable on January 23, 2019, to common stockholders of record at the close of business on January 9, 2019. Winnebago’s current annualized dividend rate of $0.44 per share represents an increase of 10% over the annual dividend of $0.40 paid in Fiscal 2018.</w:t>
      </w:r>
    </w:p>
    <w:p>
      <w:pPr>
        <w:spacing w:after="0" w:line="255"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Mr. Happe continued, “We are intent on building a larger, more diversified, and more profitable organization; one with a productive, healthy balance sheet and a strategic roadmap that is carefully considered and executed. We remain focused on providing differentiated products and services to our customers, which we optimistically think will result in further market share accretion in our core RV business. We continue to believe that our overall Winnebago and Grand Design branded field inventory levels are appropriate, both in size and age, especially in relation to our momentum and the addition of new products entering the market. We are also pleased with the integration of our new Chris-Craft business into the overall portfolio, as a credible first step in uniquely positioning Winnebago Industries as a premium outdoor lifestyle products manufacturer. We are mindful of the many tailwinds and headwinds that comprise the dynamic, near-term macro-economic and industry conditions, yet we look forward to carefully driving long-term value for our shareholders and customers in Fiscal Year 2019 and beyond.”</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Winnebago Industries, Inc. will discuss first quarter Fiscal 2019 earnings results during a conference call scheduled for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and Chicago Stock Exchanges and traded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884" w:right="259" w:bottom="1440" w:gutter="0" w:footer="0" w:header="0"/>
        </w:sectPr>
      </w:pPr>
    </w:p>
    <w:bookmarkStart w:id="5" w:name="page6"/>
    <w:bookmarkEnd w:id="5"/>
    <w:p>
      <w:pPr>
        <w:ind w:right="140"/>
        <w:spacing w:after="0" w:line="366" w:lineRule="auto"/>
        <w:rPr>
          <w:sz w:val="20"/>
          <w:szCs w:val="20"/>
          <w:color w:val="auto"/>
        </w:rPr>
      </w:pPr>
      <w:r>
        <w:rPr>
          <w:rFonts w:ascii="Arial" w:cs="Arial" w:eastAsia="Arial" w:hAnsi="Arial"/>
          <w:sz w:val="16"/>
          <w:szCs w:val="16"/>
          <w:color w:val="auto"/>
        </w:rPr>
        <w:t>under the symbol WGO. Options for the Company's common stock are traded on the Chicago Board Options Exchange. For access to Winnebago Industries' investor relations material or to add your name to an automatic email list for Company news releases, visit http://investor.wgo.net.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8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88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64"/>
        </w:trPr>
        <w:tc>
          <w:tcPr>
            <w:tcW w:w="4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November 24, 2018</w:t>
            </w: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November 25, 2017</w:t>
            </w:r>
          </w:p>
        </w:tc>
        <w:tc>
          <w:tcPr>
            <w:tcW w:w="880" w:type="dxa"/>
            <w:vAlign w:val="bottom"/>
            <w:tcBorders>
              <w:bottom w:val="single" w:sz="8" w:color="auto"/>
            </w:tcBorders>
          </w:tcPr>
          <w:p>
            <w:pPr>
              <w:spacing w:after="0"/>
              <w:rPr>
                <w:sz w:val="22"/>
                <w:szCs w:val="22"/>
                <w:color w:val="auto"/>
              </w:rPr>
            </w:pP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493,648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450,021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6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422,652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85.6 %</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387,190</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86.0 %</w:t>
            </w: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70,996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14.4 %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62,831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14.0 %</w:t>
            </w:r>
          </w:p>
        </w:tc>
      </w:tr>
      <w:tr>
        <w:trPr>
          <w:trHeight w:val="260"/>
        </w:trPr>
        <w:tc>
          <w:tcPr>
            <w:tcW w:w="44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35,712</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29,600</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6.6 %</w:t>
            </w:r>
          </w:p>
        </w:tc>
      </w:tr>
      <w:tr>
        <w:trPr>
          <w:trHeight w:val="273"/>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2,659</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2,055</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0.5 %</w:t>
            </w:r>
          </w:p>
        </w:tc>
      </w:tr>
      <w:tr>
        <w:trPr>
          <w:trHeight w:val="250"/>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38,371</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7.8 %</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31,655</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7.0 %</w:t>
            </w: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32,625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31,176</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6.9 %</w:t>
            </w:r>
          </w:p>
        </w:tc>
      </w:tr>
      <w:tr>
        <w:trPr>
          <w:trHeight w:val="260"/>
        </w:trPr>
        <w:tc>
          <w:tcPr>
            <w:tcW w:w="4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4,781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1.1 %</w:t>
            </w:r>
          </w:p>
        </w:tc>
      </w:tr>
      <w:tr>
        <w:trPr>
          <w:trHeight w:val="273"/>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47"/>
        </w:trPr>
        <w:tc>
          <w:tcPr>
            <w:tcW w:w="44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28,887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5.9 %</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26,518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5.9 %</w:t>
            </w:r>
          </w:p>
        </w:tc>
      </w:tr>
      <w:tr>
        <w:trPr>
          <w:trHeight w:val="273"/>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6,726</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8,560</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r>
      <w:tr>
        <w:trPr>
          <w:trHeight w:val="280"/>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22,161</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4.5 %</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17,958</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4.0 %</w:t>
            </w:r>
          </w:p>
        </w:tc>
      </w:tr>
      <w:tr>
        <w:trPr>
          <w:trHeight w:val="173"/>
        </w:trPr>
        <w:tc>
          <w:tcPr>
            <w:tcW w:w="4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0"/>
        </w:trPr>
        <w:tc>
          <w:tcPr>
            <w:tcW w:w="442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0"/>
        </w:trPr>
        <w:tc>
          <w:tcPr>
            <w:tcW w:w="442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0"/>
        </w:trPr>
        <w:tc>
          <w:tcPr>
            <w:tcW w:w="4420" w:type="dxa"/>
            <w:vAlign w:val="bottom"/>
          </w:tcPr>
          <w:p>
            <w:pPr>
              <w:ind w:left="12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31,567</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31,614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31,814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31,772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97"/>
        </w:trPr>
        <w:tc>
          <w:tcPr>
            <w:tcW w:w="442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32"/>
        </w:trPr>
        <w:tc>
          <w:tcPr>
            <w:tcW w:w="4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24,</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28"/>
        </w:trPr>
        <w:tc>
          <w:tcPr>
            <w:tcW w:w="48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140,837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164,585</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191,461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195,128</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 and other assets</w:t>
            </w:r>
          </w:p>
        </w:tc>
        <w:tc>
          <w:tcPr>
            <w:tcW w:w="3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10,256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9,883</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343,256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371,938</w:t>
            </w: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110,212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101,193</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275,072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274,370</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263,058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265,717</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Investment in life insurance</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26,651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28,297</w:t>
            </w:r>
          </w:p>
        </w:tc>
        <w:tc>
          <w:tcPr>
            <w:tcW w:w="0" w:type="dxa"/>
            <w:vAlign w:val="bottom"/>
          </w:tcPr>
          <w:p>
            <w:pPr>
              <w:spacing w:after="0"/>
              <w:rPr>
                <w:sz w:val="1"/>
                <w:szCs w:val="1"/>
                <w:color w:val="auto"/>
              </w:rPr>
            </w:pPr>
          </w:p>
        </w:tc>
      </w:tr>
      <w:tr>
        <w:trPr>
          <w:trHeight w:val="273"/>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2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11,724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10,290</w:t>
            </w:r>
          </w:p>
        </w:tc>
        <w:tc>
          <w:tcPr>
            <w:tcW w:w="0" w:type="dxa"/>
            <w:vAlign w:val="bottom"/>
          </w:tcPr>
          <w:p>
            <w:pPr>
              <w:spacing w:after="0"/>
              <w:rPr>
                <w:sz w:val="1"/>
                <w:szCs w:val="1"/>
                <w:color w:val="auto"/>
              </w:rPr>
            </w:pPr>
          </w:p>
        </w:tc>
      </w:tr>
      <w:tr>
        <w:trPr>
          <w:trHeight w:val="280"/>
        </w:trPr>
        <w:tc>
          <w:tcPr>
            <w:tcW w:w="48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1,029,973</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81"/>
        </w:trPr>
        <w:tc>
          <w:tcPr>
            <w:tcW w:w="4860" w:type="dxa"/>
            <w:vAlign w:val="bottom"/>
            <w:tcBorders>
              <w:top w:val="single" w:sz="8" w:color="CCEEFF"/>
            </w:tcBorders>
            <w:shd w:val="clear" w:color="auto" w:fill="CCEEFF"/>
          </w:tcPr>
          <w:p>
            <w:pPr>
              <w:spacing w:after="0"/>
              <w:rPr>
                <w:sz w:val="24"/>
                <w:szCs w:val="24"/>
                <w:color w:val="auto"/>
              </w:rPr>
            </w:pPr>
          </w:p>
        </w:tc>
        <w:tc>
          <w:tcPr>
            <w:tcW w:w="326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79,687</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81,039</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15,655</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Accrued expenses</w:t>
            </w:r>
          </w:p>
        </w:tc>
        <w:tc>
          <w:tcPr>
            <w:tcW w:w="3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106,291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107,491</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2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199,190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204,185</w:t>
            </w:r>
          </w:p>
        </w:tc>
        <w:tc>
          <w:tcPr>
            <w:tcW w:w="0" w:type="dxa"/>
            <w:vAlign w:val="bottom"/>
          </w:tcPr>
          <w:p>
            <w:pPr>
              <w:spacing w:after="0"/>
              <w:rPr>
                <w:sz w:val="1"/>
                <w:szCs w:val="1"/>
                <w:color w:val="auto"/>
              </w:rPr>
            </w:pPr>
          </w:p>
        </w:tc>
      </w:tr>
      <w:tr>
        <w:trPr>
          <w:trHeight w:val="254"/>
        </w:trPr>
        <w:tc>
          <w:tcPr>
            <w:tcW w:w="486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253,262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291,441</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Unrecognized tax benefits</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14,214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15,282</w:t>
            </w:r>
          </w:p>
        </w:tc>
        <w:tc>
          <w:tcPr>
            <w:tcW w:w="0" w:type="dxa"/>
            <w:vAlign w:val="bottom"/>
          </w:tcPr>
          <w:p>
            <w:pPr>
              <w:spacing w:after="0"/>
              <w:rPr>
                <w:sz w:val="1"/>
                <w:szCs w:val="1"/>
                <w:color w:val="auto"/>
              </w:rPr>
            </w:pPr>
          </w:p>
        </w:tc>
      </w:tr>
      <w:tr>
        <w:trPr>
          <w:trHeight w:val="273"/>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47"/>
        </w:trPr>
        <w:tc>
          <w:tcPr>
            <w:tcW w:w="4860" w:type="dxa"/>
            <w:vAlign w:val="bottom"/>
          </w:tcPr>
          <w:p>
            <w:pPr>
              <w:ind w:left="280"/>
              <w:spacing w:after="0"/>
              <w:rPr>
                <w:sz w:val="20"/>
                <w:szCs w:val="20"/>
                <w:color w:val="auto"/>
              </w:rPr>
            </w:pPr>
            <w:r>
              <w:rPr>
                <w:rFonts w:ascii="Arial" w:cs="Arial" w:eastAsia="Arial" w:hAnsi="Arial"/>
                <w:sz w:val="16"/>
                <w:szCs w:val="16"/>
                <w:color w:val="auto"/>
              </w:rPr>
              <w:t>Total non-current liabilities</w:t>
            </w:r>
          </w:p>
        </w:tc>
        <w:tc>
          <w:tcPr>
            <w:tcW w:w="3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274,305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313,175</w:t>
            </w:r>
          </w:p>
        </w:tc>
        <w:tc>
          <w:tcPr>
            <w:tcW w:w="0" w:type="dxa"/>
            <w:vAlign w:val="bottom"/>
          </w:tcPr>
          <w:p>
            <w:pPr>
              <w:spacing w:after="0"/>
              <w:rPr>
                <w:sz w:val="1"/>
                <w:szCs w:val="1"/>
                <w:color w:val="auto"/>
              </w:rPr>
            </w:pPr>
          </w:p>
        </w:tc>
      </w:tr>
      <w:tr>
        <w:trPr>
          <w:trHeight w:val="27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2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556,478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534,445</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1,029,973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60" w:type="dxa"/>
            <w:vAlign w:val="bottom"/>
            <w:vMerge w:val="restart"/>
          </w:tcPr>
          <w:p>
            <w:pPr>
              <w:jc w:val="right"/>
              <w:ind w:right="2279"/>
              <w:spacing w:after="0"/>
              <w:rPr>
                <w:sz w:val="20"/>
                <w:szCs w:val="20"/>
                <w:color w:val="auto"/>
              </w:rPr>
            </w:pPr>
            <w:r>
              <w:rPr>
                <w:rFonts w:ascii="Arial" w:cs="Arial" w:eastAsia="Arial" w:hAnsi="Arial"/>
                <w:sz w:val="16"/>
                <w:szCs w:val="16"/>
                <w:color w:val="auto"/>
              </w:rPr>
              <w:t>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24,</w:t>
            </w:r>
          </w:p>
        </w:tc>
        <w:tc>
          <w:tcPr>
            <w:tcW w:w="200" w:type="dxa"/>
            <w:vAlign w:val="bottom"/>
          </w:tcPr>
          <w:p>
            <w:pPr>
              <w:spacing w:after="0"/>
              <w:rPr>
                <w:sz w:val="17"/>
                <w:szCs w:val="17"/>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25,</w:t>
            </w:r>
          </w:p>
        </w:tc>
      </w:tr>
      <w:tr>
        <w:trPr>
          <w:trHeight w:val="228"/>
        </w:trPr>
        <w:tc>
          <w:tcPr>
            <w:tcW w:w="7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22,161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17,958</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3,169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2,130</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intangibles assets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2,055</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437</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Last in, first-out expense</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2,472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823</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1,665</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97</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23,748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7,675</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(9,821)</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(936)</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(2,443)</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6,447</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3,072</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54,171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29,458</w:t>
            </w:r>
          </w:p>
        </w:tc>
      </w:tr>
      <w:tr>
        <w:trPr>
          <w:trHeight w:val="297"/>
        </w:trPr>
        <w:tc>
          <w:tcPr>
            <w:tcW w:w="7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(5,357)</w:t>
            </w: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(13,162)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(5,322)</w:t>
            </w:r>
          </w:p>
        </w:tc>
      </w:tr>
      <w:tr>
        <w:trPr>
          <w:trHeight w:val="297"/>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Borrowings on credit agreement</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133,711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credit agreement</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(172,229)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(4,250)</w:t>
            </w: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Payments of cash dividends</w:t>
            </w:r>
          </w:p>
        </w:tc>
        <w:tc>
          <w:tcPr>
            <w:tcW w:w="22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(3,183)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3"/>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(1,363)</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(42,649)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(5,613)</w:t>
            </w:r>
          </w:p>
        </w:tc>
      </w:tr>
      <w:tr>
        <w:trPr>
          <w:trHeight w:val="297"/>
        </w:trPr>
        <w:tc>
          <w:tcPr>
            <w:tcW w:w="7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18,523</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35,945</w:t>
            </w:r>
          </w:p>
        </w:tc>
      </w:tr>
      <w:tr>
        <w:trPr>
          <w:trHeight w:val="28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54,468</w:t>
            </w:r>
          </w:p>
        </w:tc>
      </w:tr>
      <w:tr>
        <w:trPr>
          <w:trHeight w:val="281"/>
        </w:trPr>
        <w:tc>
          <w:tcPr>
            <w:tcW w:w="7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Supplement cash flow disclosure:</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322</w:t>
            </w: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3,736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4,548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379</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dividends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3,187</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6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Motorhome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25,</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8"/>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9"/>
                <w:szCs w:val="19"/>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181,328</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188,197</w:t>
            </w: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r>
      <w:tr>
        <w:trPr>
          <w:trHeight w:val="251"/>
        </w:trPr>
        <w:tc>
          <w:tcPr>
            <w:tcW w:w="27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11,976</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4,900</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7,076</w:t>
            </w:r>
          </w:p>
        </w:tc>
        <w:tc>
          <w:tcPr>
            <w:tcW w:w="1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144.4 %</w:t>
            </w:r>
          </w:p>
        </w:tc>
      </w:tr>
      <w:tr>
        <w:trPr>
          <w:trHeight w:val="553"/>
        </w:trPr>
        <w:tc>
          <w:tcPr>
            <w:tcW w:w="2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8"/>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25,</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79"/>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422</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1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(41.6)%</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719</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94.3 %</w:t>
            </w:r>
          </w:p>
        </w:tc>
      </w:tr>
      <w:tr>
        <w:trPr>
          <w:trHeight w:val="27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(26.8)%</w:t>
            </w:r>
          </w:p>
        </w:tc>
      </w:tr>
      <w:tr>
        <w:trPr>
          <w:trHeight w:val="240"/>
        </w:trPr>
        <w:tc>
          <w:tcPr>
            <w:tcW w:w="274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18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1,819</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2,019</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(9.9)%</w:t>
            </w: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52"/>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24,</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8"/>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2740" w:type="dxa"/>
            <w:vAlign w:val="bottom"/>
          </w:tcPr>
          <w:p>
            <w:pPr>
              <w:ind w:left="18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2,632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(25.5)%</w:t>
            </w:r>
          </w:p>
        </w:tc>
      </w:tr>
      <w:tr>
        <w:trPr>
          <w:trHeight w:val="28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191,632</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250,757</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(59,125)</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(23.6)%</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4,458</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5.5 %</w:t>
            </w:r>
          </w:p>
        </w:tc>
      </w:tr>
    </w:tbl>
    <w:p>
      <w:pPr>
        <w:spacing w:after="0" w:line="5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November 24,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25,</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8"/>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9"/>
                <w:szCs w:val="19"/>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0"/>
        </w:trPr>
        <w:tc>
          <w:tcPr>
            <w:tcW w:w="27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292,833</w:t>
            </w: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259,665</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33,168</w:t>
            </w:r>
          </w:p>
        </w:tc>
        <w:tc>
          <w:tcPr>
            <w:tcW w:w="100" w:type="dxa"/>
            <w:vAlign w:val="bottom"/>
          </w:tcPr>
          <w:p>
            <w:pPr>
              <w:spacing w:after="0"/>
              <w:rPr>
                <w:sz w:val="22"/>
                <w:szCs w:val="22"/>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12.8 %</w:t>
            </w: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30,828</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33,392</w:t>
            </w:r>
          </w:p>
        </w:tc>
        <w:tc>
          <w:tcPr>
            <w:tcW w:w="1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r>
      <w:tr>
        <w:trPr>
          <w:trHeight w:val="534"/>
        </w:trPr>
        <w:tc>
          <w:tcPr>
            <w:tcW w:w="2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8"/>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November 24,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25,</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ind w:right="39"/>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79"/>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27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5,836</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5,349</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9.1 %</w:t>
            </w:r>
          </w:p>
        </w:tc>
      </w:tr>
      <w:tr>
        <w:trPr>
          <w:trHeight w:val="27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3,549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3,327</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6.7 %</w:t>
            </w:r>
          </w:p>
        </w:tc>
      </w:tr>
      <w:tr>
        <w:trPr>
          <w:trHeight w:val="240"/>
        </w:trPr>
        <w:tc>
          <w:tcPr>
            <w:tcW w:w="2740" w:type="dxa"/>
            <w:vAlign w:val="bottom"/>
          </w:tcPr>
          <w:p>
            <w:pPr>
              <w:ind w:left="180"/>
              <w:spacing w:after="0"/>
              <w:rPr>
                <w:sz w:val="20"/>
                <w:szCs w:val="20"/>
                <w:color w:val="auto"/>
              </w:rPr>
            </w:pPr>
            <w:r>
              <w:rPr>
                <w:rFonts w:ascii="Arial" w:cs="Arial" w:eastAsia="Arial" w:hAnsi="Arial"/>
                <w:sz w:val="16"/>
                <w:szCs w:val="16"/>
                <w:color w:val="auto"/>
              </w:rPr>
              <w:t>Total towables</w:t>
            </w:r>
          </w:p>
        </w:tc>
        <w:tc>
          <w:tcPr>
            <w:tcW w:w="16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9,385</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8,676</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8.2 %</w:t>
            </w: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52"/>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November 24,</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8"/>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27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6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9,199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9,955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r>
      <w:tr>
        <w:trPr>
          <w:trHeight w:val="260"/>
        </w:trPr>
        <w:tc>
          <w:tcPr>
            <w:tcW w:w="2740" w:type="dxa"/>
            <w:vAlign w:val="bottom"/>
          </w:tcPr>
          <w:p>
            <w:pPr>
              <w:ind w:left="180"/>
              <w:spacing w:after="0"/>
              <w:rPr>
                <w:sz w:val="20"/>
                <w:szCs w:val="20"/>
                <w:color w:val="auto"/>
              </w:rPr>
            </w:pPr>
            <w:r>
              <w:rPr>
                <w:rFonts w:ascii="Arial" w:cs="Arial" w:eastAsia="Arial" w:hAnsi="Arial"/>
                <w:sz w:val="16"/>
                <w:szCs w:val="16"/>
                <w:color w:val="auto"/>
              </w:rPr>
              <w:t>Dollars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327,724</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341,065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(13,341)</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(3.9)%</w:t>
            </w: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51"/>
        </w:trPr>
        <w:tc>
          <w:tcPr>
            <w:tcW w:w="2740" w:type="dxa"/>
            <w:vAlign w:val="bottom"/>
          </w:tcPr>
          <w:p>
            <w:pPr>
              <w:ind w:left="18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16,662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12,050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4,612</w:t>
            </w:r>
          </w:p>
        </w:tc>
        <w:tc>
          <w:tcPr>
            <w:tcW w:w="1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38.3 %</w:t>
            </w:r>
          </w:p>
        </w:tc>
      </w:tr>
    </w:tbl>
    <w:p>
      <w:pPr>
        <w:spacing w:after="0" w:line="78"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91"/>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24,</w:t>
            </w:r>
          </w:p>
        </w:tc>
        <w:tc>
          <w:tcPr>
            <w:tcW w:w="200" w:type="dxa"/>
            <w:vAlign w:val="bottom"/>
          </w:tcPr>
          <w:p>
            <w:pPr>
              <w:spacing w:after="0"/>
              <w:rPr>
                <w:sz w:val="17"/>
                <w:szCs w:val="17"/>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25,</w:t>
            </w:r>
          </w:p>
        </w:tc>
      </w:tr>
      <w:tr>
        <w:trPr>
          <w:trHeight w:val="228"/>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22,161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17,958</w:t>
            </w: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4,781</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8,560</w:t>
            </w: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3,169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2,130</w:t>
            </w:r>
          </w:p>
        </w:tc>
      </w:tr>
      <w:tr>
        <w:trPr>
          <w:trHeight w:val="273"/>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2,055</w:t>
            </w: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21"/>
                <w:szCs w:val="21"/>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39,216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35,484</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w:t>
            </w: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38,453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35,411</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reported periods and improve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costs related to acquisitions and non-operating income. These types of adjustments are also specified in the definition of certain measures required under the terms of our Credit Agreement.</w:t>
      </w:r>
    </w:p>
    <w:p>
      <w:pPr>
        <w:spacing w:after="0" w:line="18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Management uses these non-GAAP financial measures (a) to evaluate its historical and prospective financial performance and trends as well as its performance relative to competitors and peers; (b) to measure operational profitability on a consistent basis; (c) in presentations to the members of its board of directors to enable its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its Credit Agreement.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2019-12-28T17:34:32Z</dcterms:created>
  <dcterms:modified xsi:type="dcterms:W3CDTF">2019-12-28T17:34:32Z</dcterms:modified>
</cp:coreProperties>
</file>