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4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-130175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1449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4"/>
          <w:szCs w:val="24"/>
          <w:color w:val="auto"/>
        </w:rPr>
      </w:pPr>
    </w:p>
    <w:p>
      <w:pPr>
        <w:ind w:left="9140"/>
        <w:spacing w:after="0"/>
        <w:tabs>
          <w:tab w:leader="none" w:pos="1052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23" w:lineRule="exact"/>
        <w:rPr>
          <w:sz w:val="24"/>
          <w:szCs w:val="24"/>
          <w:color w:val="auto"/>
        </w:rPr>
      </w:pPr>
    </w:p>
    <w:p>
      <w:pPr>
        <w:ind w:left="9140"/>
        <w:spacing w:after="0"/>
        <w:tabs>
          <w:tab w:leader="none" w:pos="9980" w:val="left"/>
        </w:tabs>
        <w:rPr>
          <w:sz w:val="20"/>
          <w:szCs w:val="20"/>
          <w:color w:val="auto"/>
        </w:rPr>
      </w:pPr>
      <w:r>
        <w:rPr>
          <w:rFonts w:ascii="Arial" w:cs="Arial" w:eastAsia="Arial" w:hAnsi="Arial"/>
          <w:sz w:val="17"/>
          <w:szCs w:val="17"/>
          <w:color w:val="auto"/>
        </w:rPr>
        <w:t>Expires:</w:t>
        <w:tab/>
        <w:t>February 28, 2009</w:t>
      </w:r>
    </w:p>
    <w:p>
      <w:pPr>
        <w:spacing w:after="0" w:line="21" w:lineRule="exact"/>
        <w:rPr>
          <w:sz w:val="24"/>
          <w:szCs w:val="24"/>
          <w:color w:val="auto"/>
        </w:rPr>
      </w:pPr>
    </w:p>
    <w:p>
      <w:pPr>
        <w:ind w:left="9140"/>
        <w:spacing w:after="0"/>
        <w:rPr>
          <w:sz w:val="20"/>
          <w:szCs w:val="20"/>
          <w:color w:val="auto"/>
        </w:rPr>
      </w:pPr>
      <w:r>
        <w:rPr>
          <w:rFonts w:ascii="Arial" w:cs="Arial" w:eastAsia="Arial" w:hAnsi="Arial"/>
          <w:sz w:val="18"/>
          <w:szCs w:val="18"/>
          <w:color w:val="auto"/>
        </w:rPr>
        <w:t>Estimated average burden</w:t>
      </w:r>
    </w:p>
    <w:p>
      <w:pPr>
        <w:spacing w:after="0" w:line="9" w:lineRule="exact"/>
        <w:rPr>
          <w:sz w:val="24"/>
          <w:szCs w:val="24"/>
          <w:color w:val="auto"/>
        </w:rPr>
      </w:pPr>
    </w:p>
    <w:p>
      <w:pPr>
        <w:ind w:left="9140"/>
        <w:spacing w:after="0"/>
        <w:rPr>
          <w:sz w:val="20"/>
          <w:szCs w:val="20"/>
          <w:color w:val="auto"/>
        </w:rPr>
      </w:pPr>
      <w:r>
        <w:rPr>
          <w:rFonts w:ascii="Arial" w:cs="Arial" w:eastAsia="Arial" w:hAnsi="Arial"/>
          <w:sz w:val="16"/>
          <w:szCs w:val="16"/>
          <w:color w:val="auto"/>
        </w:rPr>
        <w:t>Hours per response .…… 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20320</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30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780"/>
        <w:spacing w:after="0"/>
        <w:tabs>
          <w:tab w:leader="none" w:pos="648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974637100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Check appropriate box to designate the rule pursuant to which this Schedule is filed:</w:t>
      </w:r>
    </w:p>
    <w:p>
      <w:pPr>
        <w:spacing w:after="0" w:line="25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95" w:lineRule="exact"/>
        <w:rPr>
          <w:sz w:val="24"/>
          <w:szCs w:val="24"/>
          <w:color w:val="auto"/>
        </w:rPr>
      </w:pPr>
    </w:p>
    <w:p>
      <w:pPr>
        <w:ind w:left="220" w:right="1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974637100</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I.R.S. IDENTIFICATION NOS. OF ABOVE PERSONS (entities only)</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Barrow, Hanley, Mewhinney &amp; Strauss, Inc.</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752403190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8" w:lineRule="exact"/>
        <w:rPr>
          <w:sz w:val="20"/>
          <w:szCs w:val="20"/>
          <w:color w:val="auto"/>
        </w:rPr>
      </w:pPr>
    </w:p>
    <w:p>
      <w:pPr>
        <w:ind w:left="1040" w:hanging="289"/>
        <w:spacing w:after="0" w:line="207" w:lineRule="exact"/>
        <w:tabs>
          <w:tab w:leader="none" w:pos="10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5" w:lineRule="exact"/>
        <w:rPr>
          <w:rFonts w:ascii="Arial" w:cs="Arial" w:eastAsia="Arial" w:hAnsi="Arial"/>
          <w:sz w:val="18"/>
          <w:szCs w:val="18"/>
          <w:color w:val="auto"/>
        </w:rPr>
      </w:pPr>
    </w:p>
    <w:p>
      <w:pPr>
        <w:ind w:left="1060" w:hanging="309"/>
        <w:spacing w:after="0" w:line="207" w:lineRule="exact"/>
        <w:tabs>
          <w:tab w:leader="none" w:pos="10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4.CITIZENSHIP OR PLACE OF ORGANIZATION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Nevada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1840"/>
        <w:spacing w:after="0"/>
        <w:tabs>
          <w:tab w:leader="none" w:pos="21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SOLE VOTING POWER</w:t>
      </w:r>
    </w:p>
    <w:p>
      <w:pPr>
        <w:spacing w:after="0" w:line="200" w:lineRule="exact"/>
        <w:rPr>
          <w:sz w:val="20"/>
          <w:szCs w:val="20"/>
          <w:color w:val="auto"/>
        </w:rPr>
      </w:pPr>
    </w:p>
    <w:p>
      <w:pPr>
        <w:spacing w:after="0" w:line="241" w:lineRule="exact"/>
        <w:rPr>
          <w:sz w:val="20"/>
          <w:szCs w:val="20"/>
          <w:color w:val="auto"/>
        </w:rPr>
      </w:pPr>
    </w:p>
    <w:tbl>
      <w:tblPr>
        <w:tblLayout w:type="fixed"/>
        <w:tblInd w:w="240" w:type="dxa"/>
        <w:tblCellMar>
          <w:top w:w="0" w:type="dxa"/>
          <w:left w:w="0" w:type="dxa"/>
          <w:bottom w:w="0" w:type="dxa"/>
          <w:right w:w="0" w:type="dxa"/>
        </w:tblCellMar>
      </w:tblPr>
      <w:tr>
        <w:trPr>
          <w:trHeight w:val="48"/>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4"/>
                <w:szCs w:val="4"/>
                <w:color w:val="auto"/>
              </w:rPr>
            </w:pPr>
          </w:p>
        </w:tc>
        <w:tc>
          <w:tcPr>
            <w:tcW w:w="9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1"/>
              </w:rPr>
              <w:t>SHARES</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3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8"/>
                <w:szCs w:val="8"/>
                <w:color w:val="auto"/>
              </w:rPr>
            </w:pPr>
          </w:p>
        </w:tc>
        <w:tc>
          <w:tcPr>
            <w:tcW w:w="9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5"/>
              </w:rPr>
              <w:t>EACH</w:t>
            </w:r>
          </w:p>
        </w:tc>
        <w:tc>
          <w:tcPr>
            <w:tcW w:w="300" w:type="dxa"/>
            <w:vAlign w:val="bottom"/>
            <w:tcBorders>
              <w:bottom w:val="single" w:sz="8" w:color="auto"/>
            </w:tcBorders>
          </w:tcPr>
          <w:p>
            <w:pPr>
              <w:spacing w:after="0"/>
              <w:rPr>
                <w:sz w:val="11"/>
                <w:szCs w:val="11"/>
                <w:color w:val="auto"/>
              </w:rPr>
            </w:pPr>
          </w:p>
        </w:tc>
        <w:tc>
          <w:tcPr>
            <w:tcW w:w="9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520" w:type="dxa"/>
            <w:vAlign w:val="bottom"/>
            <w:vMerge w:val="continue"/>
          </w:tcPr>
          <w:p>
            <w:pPr>
              <w:spacing w:after="0"/>
              <w:rPr>
                <w:sz w:val="5"/>
                <w:szCs w:val="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3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4"/>
                <w:szCs w:val="14"/>
                <w:color w:val="auto"/>
              </w:rPr>
            </w:pPr>
          </w:p>
        </w:tc>
        <w:tc>
          <w:tcPr>
            <w:tcW w:w="9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5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520" w:type="dxa"/>
            <w:vAlign w:val="bottom"/>
          </w:tcPr>
          <w:p>
            <w:pPr>
              <w:jc w:val="center"/>
              <w:ind w:right="150"/>
              <w:spacing w:after="0" w:line="157" w:lineRule="exact"/>
              <w:rPr>
                <w:sz w:val="20"/>
                <w:szCs w:val="20"/>
                <w:color w:val="auto"/>
              </w:rPr>
            </w:pPr>
            <w:r>
              <w:rPr>
                <w:rFonts w:ascii="Arial" w:cs="Arial" w:eastAsia="Arial" w:hAnsi="Arial"/>
                <w:sz w:val="18"/>
                <w:szCs w:val="18"/>
                <w:color w:val="auto"/>
              </w:rPr>
              <w:t>WITH</w:t>
            </w:r>
          </w:p>
        </w:tc>
        <w:tc>
          <w:tcPr>
            <w:tcW w:w="300" w:type="dxa"/>
            <w:vAlign w:val="bottom"/>
            <w:tcBorders>
              <w:bottom w:val="single" w:sz="8" w:color="auto"/>
            </w:tcBorders>
          </w:tcPr>
          <w:p>
            <w:pPr>
              <w:spacing w:after="0"/>
              <w:rPr>
                <w:sz w:val="15"/>
                <w:szCs w:val="15"/>
                <w:color w:val="auto"/>
              </w:rPr>
            </w:pPr>
          </w:p>
        </w:tc>
        <w:tc>
          <w:tcPr>
            <w:tcW w:w="9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3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10.CHECK IF THE AGGREGATE AMOUNT IN ROW (9) EXCLUDES CERTAIN SHARES (See Instructions)</w:t>
      </w:r>
    </w:p>
    <w:p>
      <w:pPr>
        <w:spacing w:after="0" w:line="220"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11.PERCENT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12.TYPE OF REPORTING PERSON (See Instructions)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1(a) Name of Issuer: Winnebago Industries, Inc.</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1(b) Address of Issuer’s Principal Executive Offices: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605 W Crystal Lake Road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Forest City, IA 50436</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Barrow, Hanley, Mewhinney &amp; Strauss, Inc.</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2(b) Address of Principal Business Office or, if none, Residence: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2200 Ross Avenue, 31st Floor</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Dallas, TX 75201-2761</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2(c) Citizenship:</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Nevada corporation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2(d) Title of Class of Securities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ind w:left="600"/>
        <w:spacing w:after="0"/>
        <w:tabs>
          <w:tab w:leader="none" w:pos="2340" w:val="left"/>
        </w:tabs>
        <w:rPr>
          <w:sz w:val="20"/>
          <w:szCs w:val="20"/>
          <w:color w:val="auto"/>
        </w:rPr>
      </w:pPr>
      <w:r>
        <w:rPr>
          <w:rFonts w:ascii="Arial" w:cs="Arial" w:eastAsia="Arial" w:hAnsi="Arial"/>
          <w:sz w:val="18"/>
          <w:szCs w:val="18"/>
          <w:color w:val="auto"/>
        </w:rPr>
        <w:t>2(e) CUSIP Number:</w:t>
      </w:r>
      <w:r>
        <w:rPr>
          <w:sz w:val="20"/>
          <w:szCs w:val="20"/>
          <w:color w:val="auto"/>
        </w:rPr>
        <w:tab/>
      </w:r>
      <w:r>
        <w:rPr>
          <w:rFonts w:ascii="Arial" w:cs="Arial" w:eastAsia="Arial" w:hAnsi="Arial"/>
          <w:sz w:val="16"/>
          <w:szCs w:val="16"/>
          <w:color w:val="auto"/>
        </w:rPr>
        <w:t>974637100</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Item 3 If this statement is filed pursuant to §§240.13d-1(b), or 240.13d-2(b) or (c), check whether the person filing is a:</w:t>
      </w:r>
    </w:p>
    <w:p>
      <w:pPr>
        <w:spacing w:after="0" w:line="193" w:lineRule="exact"/>
        <w:rPr>
          <w:sz w:val="20"/>
          <w:szCs w:val="20"/>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§240.13d-1(b)(ii)(G):</w:t>
      </w:r>
    </w:p>
    <w:p>
      <w:pPr>
        <w:spacing w:after="0" w:line="225"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120" w:hanging="1126"/>
        <w:spacing w:after="0" w:line="223"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1620" w:hanging="626"/>
        <w:spacing w:after="0" w:line="207" w:lineRule="exact"/>
        <w:tabs>
          <w:tab w:leader="none" w:pos="162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3" w:name="page4"/>
    <w:bookmarkEnd w:id="3"/>
    <w:p>
      <w:pPr>
        <w:ind w:left="420"/>
        <w:spacing w:after="0"/>
        <w:rPr>
          <w:sz w:val="20"/>
          <w:szCs w:val="20"/>
          <w:color w:val="auto"/>
        </w:rPr>
      </w:pPr>
      <w:r>
        <w:rPr>
          <w:rFonts w:ascii="Arial" w:cs="Arial" w:eastAsia="Arial" w:hAnsi="Arial"/>
          <w:sz w:val="18"/>
          <w:szCs w:val="18"/>
          <w:color w:val="auto"/>
        </w:rPr>
        <w:t>Item 4 Ownership:</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040" w:type="dxa"/>
            <w:vAlign w:val="bottom"/>
          </w:tcPr>
          <w:p>
            <w:pPr>
              <w:ind w:left="660"/>
              <w:spacing w:after="0"/>
              <w:rPr>
                <w:sz w:val="20"/>
                <w:szCs w:val="20"/>
                <w:color w:val="auto"/>
              </w:rPr>
            </w:pPr>
            <w:r>
              <w:rPr>
                <w:rFonts w:ascii="Arial" w:cs="Arial" w:eastAsia="Arial" w:hAnsi="Arial"/>
                <w:sz w:val="18"/>
                <w:szCs w:val="18"/>
                <w:color w:val="auto"/>
              </w:rPr>
              <w:t>4(a)</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Amount beneficially owned:</w:t>
            </w:r>
          </w:p>
        </w:tc>
      </w:tr>
      <w:tr>
        <w:trPr>
          <w:trHeight w:val="432"/>
        </w:trPr>
        <w:tc>
          <w:tcPr>
            <w:tcW w:w="1040" w:type="dxa"/>
            <w:vAlign w:val="bottom"/>
          </w:tcPr>
          <w:p>
            <w:pPr>
              <w:ind w:left="660"/>
              <w:spacing w:after="0"/>
              <w:rPr>
                <w:sz w:val="20"/>
                <w:szCs w:val="20"/>
                <w:color w:val="auto"/>
              </w:rPr>
            </w:pPr>
            <w:r>
              <w:rPr>
                <w:rFonts w:ascii="Arial" w:cs="Arial" w:eastAsia="Arial" w:hAnsi="Arial"/>
                <w:sz w:val="18"/>
                <w:szCs w:val="18"/>
                <w:color w:val="auto"/>
              </w:rPr>
              <w:t>4(b)</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Percent of Class:</w:t>
            </w:r>
          </w:p>
        </w:tc>
      </w:tr>
      <w:tr>
        <w:trPr>
          <w:trHeight w:val="432"/>
        </w:trPr>
        <w:tc>
          <w:tcPr>
            <w:tcW w:w="1040" w:type="dxa"/>
            <w:vAlign w:val="bottom"/>
          </w:tcPr>
          <w:p>
            <w:pPr>
              <w:ind w:left="660"/>
              <w:spacing w:after="0"/>
              <w:rPr>
                <w:sz w:val="20"/>
                <w:szCs w:val="20"/>
                <w:color w:val="auto"/>
              </w:rPr>
            </w:pPr>
            <w:r>
              <w:rPr>
                <w:rFonts w:ascii="Arial" w:cs="Arial" w:eastAsia="Arial" w:hAnsi="Arial"/>
                <w:sz w:val="18"/>
                <w:szCs w:val="18"/>
                <w:color w:val="auto"/>
              </w:rPr>
              <w:t>4(c)</w:t>
            </w:r>
          </w:p>
        </w:tc>
        <w:tc>
          <w:tcPr>
            <w:tcW w:w="10040" w:type="dxa"/>
            <w:vAlign w:val="bottom"/>
            <w:gridSpan w:val="2"/>
          </w:tcPr>
          <w:p>
            <w:pPr>
              <w:ind w:left="220"/>
              <w:spacing w:after="0"/>
              <w:rPr>
                <w:sz w:val="20"/>
                <w:szCs w:val="20"/>
                <w:color w:val="auto"/>
              </w:rPr>
            </w:pPr>
            <w:r>
              <w:rPr>
                <w:rFonts w:ascii="Arial" w:cs="Arial" w:eastAsia="Arial" w:hAnsi="Arial"/>
                <w:sz w:val="18"/>
                <w:szCs w:val="18"/>
                <w:color w:val="auto"/>
              </w:rPr>
              <w:t>Number of shares as to which person has:</w:t>
            </w:r>
          </w:p>
        </w:tc>
      </w:tr>
      <w:tr>
        <w:trPr>
          <w:trHeight w:val="432"/>
        </w:trPr>
        <w:tc>
          <w:tcPr>
            <w:tcW w:w="104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(i)</w:t>
            </w:r>
          </w:p>
        </w:tc>
        <w:tc>
          <w:tcPr>
            <w:tcW w:w="938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r>
      <w:tr>
        <w:trPr>
          <w:trHeight w:val="459"/>
        </w:trPr>
        <w:tc>
          <w:tcPr>
            <w:tcW w:w="10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(ii)</w:t>
            </w:r>
          </w:p>
        </w:tc>
        <w:tc>
          <w:tcPr>
            <w:tcW w:w="938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w:t>
            </w:r>
          </w:p>
        </w:tc>
      </w:tr>
      <w:tr>
        <w:trPr>
          <w:trHeight w:val="432"/>
        </w:trPr>
        <w:tc>
          <w:tcPr>
            <w:tcW w:w="10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(iii)</w:t>
            </w:r>
          </w:p>
        </w:tc>
        <w:tc>
          <w:tcPr>
            <w:tcW w:w="9380" w:type="dxa"/>
            <w:vAlign w:val="bottom"/>
          </w:tcPr>
          <w:p>
            <w:pPr>
              <w:ind w:left="22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32"/>
        </w:trPr>
        <w:tc>
          <w:tcPr>
            <w:tcW w:w="104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(iv)</w:t>
            </w:r>
          </w:p>
        </w:tc>
        <w:tc>
          <w:tcPr>
            <w:tcW w:w="9380" w:type="dxa"/>
            <w:vAlign w:val="bottom"/>
          </w:tcPr>
          <w:p>
            <w:pPr>
              <w:ind w:left="22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18"/>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Item 5</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Ownership of Five Percent or Less of a Class:</w:t>
            </w:r>
          </w:p>
        </w:tc>
      </w:tr>
      <w:tr>
        <w:trPr>
          <w:trHeight w:val="230"/>
        </w:trPr>
        <w:tc>
          <w:tcPr>
            <w:tcW w:w="104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Arial" w:cs="Arial" w:eastAsia="Arial" w:hAnsi="Arial"/>
                <w:sz w:val="18"/>
                <w:szCs w:val="18"/>
                <w:color w:val="auto"/>
              </w:rPr>
              <w:t>Yes.</w:t>
            </w:r>
          </w:p>
        </w:tc>
        <w:tc>
          <w:tcPr>
            <w:tcW w:w="9380" w:type="dxa"/>
            <w:vAlign w:val="bottom"/>
          </w:tcPr>
          <w:p>
            <w:pPr>
              <w:spacing w:after="0"/>
              <w:rPr>
                <w:sz w:val="20"/>
                <w:szCs w:val="20"/>
                <w:color w:val="auto"/>
              </w:rPr>
            </w:pPr>
          </w:p>
        </w:tc>
      </w:tr>
      <w:tr>
        <w:trPr>
          <w:trHeight w:val="418"/>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Item 6</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16"/>
        </w:trPr>
        <w:tc>
          <w:tcPr>
            <w:tcW w:w="104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The right to receive or the power to direct the receipt of dividends from, or the proceeds from the sale of, the common stock is held by</w:t>
            </w:r>
          </w:p>
        </w:tc>
      </w:tr>
      <w:tr>
        <w:trPr>
          <w:trHeight w:val="230"/>
        </w:trPr>
        <w:tc>
          <w:tcPr>
            <w:tcW w:w="104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certain clients of the reporting person, none of which has such right or power with respect to five percent or more of the common stock.</w:t>
            </w:r>
          </w:p>
        </w:tc>
      </w:tr>
      <w:tr>
        <w:trPr>
          <w:trHeight w:val="418"/>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Item 7</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5"/>
              </w:rPr>
              <w:t>Identification and Classification of the Subsidiary Which Acquired the Security Being Reported on by the Parent Holding Company:</w:t>
            </w:r>
          </w:p>
        </w:tc>
      </w:tr>
      <w:tr>
        <w:trPr>
          <w:trHeight w:val="230"/>
        </w:trPr>
        <w:tc>
          <w:tcPr>
            <w:tcW w:w="104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Not Applicable.</w:t>
            </w:r>
          </w:p>
        </w:tc>
      </w:tr>
      <w:tr>
        <w:trPr>
          <w:trHeight w:val="418"/>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Item 8</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230"/>
        </w:trPr>
        <w:tc>
          <w:tcPr>
            <w:tcW w:w="104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Not Applicable.</w:t>
            </w:r>
          </w:p>
        </w:tc>
      </w:tr>
      <w:tr>
        <w:trPr>
          <w:trHeight w:val="418"/>
        </w:trPr>
        <w:tc>
          <w:tcPr>
            <w:tcW w:w="1040" w:type="dxa"/>
            <w:vAlign w:val="bottom"/>
          </w:tcPr>
          <w:p>
            <w:pPr>
              <w:jc w:val="right"/>
              <w:ind w:right="410"/>
              <w:spacing w:after="0"/>
              <w:rPr>
                <w:sz w:val="20"/>
                <w:szCs w:val="20"/>
                <w:color w:val="auto"/>
              </w:rPr>
            </w:pPr>
            <w:r>
              <w:rPr>
                <w:rFonts w:ascii="Arial" w:cs="Arial" w:eastAsia="Arial" w:hAnsi="Arial"/>
                <w:sz w:val="18"/>
                <w:szCs w:val="18"/>
                <w:color w:val="auto"/>
              </w:rPr>
              <w:t>Item 9</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Notice of Dissolution of Group:</w:t>
            </w:r>
          </w:p>
        </w:tc>
      </w:tr>
      <w:tr>
        <w:trPr>
          <w:trHeight w:val="230"/>
        </w:trPr>
        <w:tc>
          <w:tcPr>
            <w:tcW w:w="104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Not Applicable.</w:t>
            </w:r>
          </w:p>
        </w:tc>
      </w:tr>
      <w:tr>
        <w:trPr>
          <w:trHeight w:val="432"/>
        </w:trPr>
        <w:tc>
          <w:tcPr>
            <w:tcW w:w="1040" w:type="dxa"/>
            <w:vAlign w:val="bottom"/>
          </w:tcPr>
          <w:p>
            <w:pPr>
              <w:jc w:val="right"/>
              <w:ind w:right="410"/>
              <w:spacing w:after="0"/>
              <w:rPr>
                <w:sz w:val="20"/>
                <w:szCs w:val="20"/>
                <w:color w:val="auto"/>
              </w:rPr>
            </w:pPr>
            <w:r>
              <w:rPr>
                <w:rFonts w:ascii="Arial" w:cs="Arial" w:eastAsia="Arial" w:hAnsi="Arial"/>
                <w:sz w:val="18"/>
                <w:szCs w:val="18"/>
                <w:color w:val="auto"/>
                <w:w w:val="86"/>
              </w:rPr>
              <w:t>Item 10</w:t>
            </w: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Certification:</w:t>
            </w:r>
          </w:p>
        </w:tc>
      </w:tr>
      <w:tr>
        <w:trPr>
          <w:trHeight w:val="418"/>
        </w:trPr>
        <w:tc>
          <w:tcPr>
            <w:tcW w:w="104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0"/>
              </w:rPr>
              <w:t>By signing below the undersigned certifies that, to the best of its knowledge and belief, the securities referred to above were acquired and</w:t>
            </w:r>
          </w:p>
        </w:tc>
      </w:tr>
      <w:tr>
        <w:trPr>
          <w:trHeight w:val="230"/>
        </w:trPr>
        <w:tc>
          <w:tcPr>
            <w:tcW w:w="104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are held in the ordinary course of business and were not acquired and are not held for the purpose of or with the effect of changing or</w:t>
            </w:r>
          </w:p>
        </w:tc>
      </w:tr>
    </w:tbl>
    <w:p>
      <w:pPr>
        <w:ind w:left="1500"/>
        <w:spacing w:after="0" w:line="261" w:lineRule="auto"/>
        <w:rPr>
          <w:sz w:val="20"/>
          <w:szCs w:val="20"/>
          <w:color w:val="auto"/>
        </w:rPr>
      </w:pPr>
      <w:r>
        <w:rPr>
          <w:rFonts w:ascii="Arial" w:cs="Arial" w:eastAsia="Arial" w:hAnsi="Arial"/>
          <w:sz w:val="18"/>
          <w:szCs w:val="18"/>
          <w:color w:val="auto"/>
        </w:rPr>
        <w:t>influencing the control of the issuer of the securities and were not acquired and are not held in connection with or as a participant in any transaction having that purpose or effect.</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BARROW, HANLEY, MEWHINNEY &amp; STRAUSS,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James P. Barrow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250444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James P. Barrow</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11, 2008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2019-12-13T08:28:22Z</dcterms:created>
  <dcterms:modified xsi:type="dcterms:W3CDTF">2019-12-13T08:28:22Z</dcterms:modified>
</cp:coreProperties>
</file>