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(Mark One)</w:t>
      </w:r>
    </w:p>
    <w:p>
      <w:pPr>
        <w:spacing w:after="0" w:line="26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22"/>
          <w:szCs w:val="22"/>
          <w:color w:val="auto"/>
        </w:rPr>
        <w:t>x</w:t>
      </w:r>
    </w:p>
    <w:p>
      <w:pPr>
        <w:spacing w:after="0" w:line="20" w:lineRule="exact"/>
        <w:rPr>
          <w:sz w:val="24"/>
          <w:szCs w:val="24"/>
          <w:color w:val="auto"/>
        </w:rPr>
      </w:pPr>
      <w:r>
        <w:rPr>
          <w:sz w:val="24"/>
          <w:szCs w:val="24"/>
          <w:color w:val="auto"/>
        </w:rPr>
        <w:br w:type="column"/>
      </w:r>
    </w:p>
    <w:p>
      <w:pPr>
        <w:jc w:val="center"/>
        <w:ind w:right="16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6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right="2039"/>
        <w:spacing w:after="0" w:line="275" w:lineRule="auto"/>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4" w:lineRule="exact"/>
        <w:rPr>
          <w:sz w:val="24"/>
          <w:szCs w:val="24"/>
          <w:color w:val="auto"/>
        </w:rPr>
      </w:pPr>
    </w:p>
    <w:p>
      <w:pPr>
        <w:sectPr>
          <w:pgSz w:w="11900" w:h="16838" w:orient="portrait"/>
          <w:cols w:equalWidth="0" w:num="2">
            <w:col w:w="1300" w:space="320"/>
            <w:col w:w="7399"/>
          </w:cols>
          <w:pgMar w:left="1440" w:top="231" w:right="1440" w:bottom="0" w:gutter="0" w:footer="0" w:header="0"/>
        </w:sectPr>
      </w:pPr>
    </w:p>
    <w:tbl>
      <w:tblPr>
        <w:tblLayout w:type="fixed"/>
        <w:tblInd w:w="4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w w:val="98"/>
              </w:rPr>
              <w:t>For the quarterly period ended</w:t>
            </w:r>
          </w:p>
        </w:tc>
        <w:tc>
          <w:tcPr>
            <w:tcW w:w="28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May 29, 2004</w:t>
            </w:r>
          </w:p>
        </w:tc>
      </w:tr>
    </w:tbl>
    <w:p>
      <w:pPr>
        <w:spacing w:after="0" w:line="25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1620" w:right="2019" w:hanging="793"/>
        <w:spacing w:after="0" w:line="231" w:lineRule="auto"/>
        <w:tabs>
          <w:tab w:leader="none" w:pos="1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transition period from _______________________ to _____________________</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2056130</wp:posOffset>
            </wp:positionH>
            <wp:positionV relativeFrom="paragraph">
              <wp:posOffset>323850</wp:posOffset>
            </wp:positionV>
            <wp:extent cx="151765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93980</wp:posOffset>
            </wp:positionV>
            <wp:extent cx="5042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0"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49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2"/>
              </w:rPr>
              <w:t>IOWA</w:t>
            </w:r>
          </w:p>
        </w:tc>
        <w:tc>
          <w:tcPr>
            <w:tcW w:w="3000" w:type="dxa"/>
            <w:vAlign w:val="bottom"/>
          </w:tcPr>
          <w:p>
            <w:pPr>
              <w:jc w:val="right"/>
              <w:ind w:right="1332"/>
              <w:spacing w:after="0"/>
              <w:rPr>
                <w:sz w:val="20"/>
                <w:szCs w:val="20"/>
                <w:color w:val="auto"/>
              </w:rPr>
            </w:pPr>
            <w:r>
              <w:rPr>
                <w:rFonts w:ascii="Times New Roman" w:cs="Times New Roman" w:eastAsia="Times New Roman" w:hAnsi="Times New Roman"/>
                <w:sz w:val="18"/>
                <w:szCs w:val="18"/>
                <w:b w:val="1"/>
                <w:bCs w:val="1"/>
                <w:color w:val="auto"/>
              </w:rPr>
              <w:t>42-0802678</w:t>
            </w:r>
          </w:p>
        </w:tc>
      </w:tr>
      <w:tr>
        <w:trPr>
          <w:trHeight w:val="110"/>
        </w:trPr>
        <w:tc>
          <w:tcPr>
            <w:tcW w:w="36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r>
      <w:tr>
        <w:trPr>
          <w:trHeight w:val="303"/>
        </w:trPr>
        <w:tc>
          <w:tcPr>
            <w:tcW w:w="360" w:type="dxa"/>
            <w:vAlign w:val="bottom"/>
          </w:tcPr>
          <w:p>
            <w:pPr>
              <w:spacing w:after="0"/>
              <w:rPr>
                <w:sz w:val="24"/>
                <w:szCs w:val="24"/>
                <w:color w:val="auto"/>
              </w:rPr>
            </w:pPr>
          </w:p>
        </w:tc>
        <w:tc>
          <w:tcPr>
            <w:tcW w:w="49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300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60" w:type="dxa"/>
            <w:vAlign w:val="bottom"/>
          </w:tcPr>
          <w:p>
            <w:pPr>
              <w:spacing w:after="0"/>
              <w:rPr>
                <w:sz w:val="19"/>
                <w:szCs w:val="19"/>
                <w:color w:val="auto"/>
              </w:rPr>
            </w:pPr>
          </w:p>
        </w:tc>
        <w:tc>
          <w:tcPr>
            <w:tcW w:w="49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300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59"/>
        </w:trPr>
        <w:tc>
          <w:tcPr>
            <w:tcW w:w="360" w:type="dxa"/>
            <w:vAlign w:val="bottom"/>
          </w:tcPr>
          <w:p>
            <w:pPr>
              <w:spacing w:after="0"/>
              <w:rPr>
                <w:sz w:val="24"/>
                <w:szCs w:val="24"/>
                <w:color w:val="auto"/>
              </w:rPr>
            </w:pPr>
          </w:p>
        </w:tc>
        <w:tc>
          <w:tcPr>
            <w:tcW w:w="496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6"/>
              </w:rPr>
              <w:t>P. O. Box 152, Forest City, Iowa</w:t>
            </w:r>
          </w:p>
        </w:tc>
        <w:tc>
          <w:tcPr>
            <w:tcW w:w="3000" w:type="dxa"/>
            <w:vAlign w:val="bottom"/>
          </w:tcPr>
          <w:p>
            <w:pPr>
              <w:jc w:val="right"/>
              <w:ind w:right="1532"/>
              <w:spacing w:after="0"/>
              <w:rPr>
                <w:sz w:val="20"/>
                <w:szCs w:val="20"/>
                <w:color w:val="auto"/>
              </w:rPr>
            </w:pPr>
            <w:r>
              <w:rPr>
                <w:rFonts w:ascii="Times New Roman" w:cs="Times New Roman" w:eastAsia="Times New Roman" w:hAnsi="Times New Roman"/>
                <w:sz w:val="18"/>
                <w:szCs w:val="18"/>
                <w:b w:val="1"/>
                <w:bCs w:val="1"/>
                <w:color w:val="auto"/>
              </w:rPr>
              <w:t>50436</w:t>
            </w:r>
          </w:p>
        </w:tc>
      </w:tr>
      <w:tr>
        <w:trPr>
          <w:trHeight w:val="110"/>
        </w:trPr>
        <w:tc>
          <w:tcPr>
            <w:tcW w:w="36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r>
      <w:tr>
        <w:trPr>
          <w:trHeight w:val="316"/>
        </w:trPr>
        <w:tc>
          <w:tcPr>
            <w:tcW w:w="360" w:type="dxa"/>
            <w:vAlign w:val="bottom"/>
          </w:tcPr>
          <w:p>
            <w:pPr>
              <w:spacing w:after="0"/>
              <w:rPr>
                <w:sz w:val="24"/>
                <w:szCs w:val="24"/>
                <w:color w:val="auto"/>
              </w:rPr>
            </w:pPr>
          </w:p>
        </w:tc>
        <w:tc>
          <w:tcPr>
            <w:tcW w:w="496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00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5"/>
              </w:rPr>
              <w:t>(Zip Code)</w:t>
            </w:r>
          </w:p>
        </w:tc>
      </w:tr>
      <w:tr>
        <w:trPr>
          <w:trHeight w:val="432"/>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(641) 585-3535</w:t>
            </w:r>
          </w:p>
        </w:tc>
        <w:tc>
          <w:tcPr>
            <w:tcW w:w="3000" w:type="dxa"/>
            <w:vAlign w:val="bottom"/>
          </w:tcPr>
          <w:p>
            <w:pPr>
              <w:spacing w:after="0"/>
              <w:rPr>
                <w:sz w:val="24"/>
                <w:szCs w:val="24"/>
                <w:color w:val="auto"/>
              </w:rPr>
            </w:pPr>
          </w:p>
        </w:tc>
      </w:tr>
    </w:tbl>
    <w:p>
      <w:pPr>
        <w:spacing w:after="0" w:line="204" w:lineRule="exact"/>
        <w:rPr>
          <w:sz w:val="24"/>
          <w:szCs w:val="24"/>
          <w:color w:val="auto"/>
        </w:rPr>
      </w:pPr>
    </w:p>
    <w:p>
      <w:pPr>
        <w:ind w:left="100" w:right="219"/>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spacing w:after="0" w:line="1" w:lineRule="exact"/>
        <w:rPr>
          <w:sz w:val="24"/>
          <w:szCs w:val="24"/>
          <w:color w:val="auto"/>
        </w:rPr>
      </w:pPr>
    </w:p>
    <w:p>
      <w:pPr>
        <w:ind w:left="100"/>
        <w:spacing w:after="0"/>
        <w:tabs>
          <w:tab w:leader="none" w:pos="7160" w:val="left"/>
          <w:tab w:leader="none" w:pos="7540" w:val="left"/>
          <w:tab w:leader="none" w:pos="8200" w:val="left"/>
        </w:tabs>
        <w:rPr>
          <w:sz w:val="20"/>
          <w:szCs w:val="20"/>
          <w:color w:val="auto"/>
        </w:rPr>
      </w:pPr>
      <w:r>
        <w:rPr>
          <w:rFonts w:ascii="Times New Roman" w:cs="Times New Roman" w:eastAsia="Times New Roman" w:hAnsi="Times New Roman"/>
          <w:sz w:val="18"/>
          <w:szCs w:val="18"/>
          <w:color w:val="auto"/>
        </w:rPr>
        <w:t>to file such reports), and (2) has been subject to such filing requirements for the past 90 days. Yes</w:t>
        <w:tab/>
        <w:t>X</w:t>
        <w:tab/>
        <w:t>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4469765</wp:posOffset>
            </wp:positionH>
            <wp:positionV relativeFrom="paragraph">
              <wp:posOffset>-17780</wp:posOffset>
            </wp:positionV>
            <wp:extent cx="24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-17780</wp:posOffset>
            </wp:positionV>
            <wp:extent cx="222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p>
    <w:p>
      <w:pPr>
        <w:spacing w:after="0" w:line="21" w:lineRule="exact"/>
        <w:rPr>
          <w:sz w:val="24"/>
          <w:szCs w:val="24"/>
          <w:color w:val="auto"/>
        </w:rPr>
      </w:pPr>
    </w:p>
    <w:p>
      <w:pPr>
        <w:ind w:left="100"/>
        <w:spacing w:after="0"/>
        <w:tabs>
          <w:tab w:leader="none" w:pos="560" w:val="left"/>
          <w:tab w:leader="none" w:pos="940" w:val="left"/>
          <w:tab w:leader="none" w:pos="1600" w:val="left"/>
        </w:tabs>
        <w:rPr>
          <w:sz w:val="20"/>
          <w:szCs w:val="20"/>
          <w:color w:val="auto"/>
        </w:rPr>
      </w:pPr>
      <w:r>
        <w:rPr>
          <w:rFonts w:ascii="Times New Roman" w:cs="Times New Roman" w:eastAsia="Times New Roman" w:hAnsi="Times New Roman"/>
          <w:sz w:val="18"/>
          <w:szCs w:val="18"/>
          <w:color w:val="auto"/>
        </w:rPr>
        <w:t>Yes</w:t>
        <w:tab/>
        <w:t>X</w:t>
        <w:tab/>
        <w:t>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-17780</wp:posOffset>
            </wp:positionV>
            <wp:extent cx="24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-17780</wp:posOffset>
            </wp:positionV>
            <wp:extent cx="222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There were 33,666,978 shares of $.50 par value common stock outstanding on July 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716280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WINNEBAGO INDUSTRIES, INC. AND SUBSIDIARIES</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REPORT ON FORM 10-Q</w:t>
      </w:r>
    </w:p>
    <w:p>
      <w:pPr>
        <w:spacing w:after="0" w:line="288" w:lineRule="exact"/>
        <w:rPr>
          <w:sz w:val="24"/>
          <w:szCs w:val="24"/>
          <w:color w:val="auto"/>
        </w:rPr>
      </w:pPr>
    </w:p>
    <w:tbl>
      <w:tblPr>
        <w:tblLayout w:type="fixed"/>
        <w:tblInd w:w="46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95"/>
        </w:trPr>
        <w:tc>
          <w:tcPr>
            <w:tcW w:w="580" w:type="dxa"/>
            <w:vAlign w:val="bottom"/>
            <w:gridSpan w:val="2"/>
            <w:vMerge w:val="restart"/>
          </w:tcPr>
          <w:p>
            <w:pPr>
              <w:spacing w:after="0"/>
              <w:rPr>
                <w:rFonts w:ascii="Times New Roman" w:cs="Times New Roman" w:eastAsia="Times New Roman" w:hAnsi="Times New Roman"/>
                <w:sz w:val="18"/>
                <w:szCs w:val="18"/>
                <w:color w:val="0000EE"/>
                <w:w w:val="91"/>
              </w:rPr>
            </w:pPr>
            <w:hyperlink w:anchor="page2">
              <w:r>
                <w:rPr>
                  <w:rFonts w:ascii="Times New Roman" w:cs="Times New Roman" w:eastAsia="Times New Roman" w:hAnsi="Times New Roman"/>
                  <w:sz w:val="18"/>
                  <w:szCs w:val="18"/>
                  <w:color w:val="0000EE"/>
                  <w:w w:val="91"/>
                </w:rPr>
                <w:t>PART I.</w:t>
              </w:r>
            </w:hyperlink>
          </w:p>
        </w:tc>
        <w:tc>
          <w:tcPr>
            <w:tcW w:w="360" w:type="dxa"/>
            <w:vAlign w:val="bottom"/>
            <w:vMerge w:val="restart"/>
          </w:tcPr>
          <w:p>
            <w:pPr>
              <w:spacing w:after="0"/>
              <w:rPr>
                <w:sz w:val="8"/>
                <w:szCs w:val="8"/>
                <w:color w:val="auto"/>
              </w:rPr>
            </w:pPr>
          </w:p>
        </w:tc>
        <w:tc>
          <w:tcPr>
            <w:tcW w:w="2260" w:type="dxa"/>
            <w:vAlign w:val="bottom"/>
            <w:vMerge w:val="restart"/>
          </w:tcPr>
          <w:p>
            <w:pPr>
              <w:spacing w:after="0"/>
              <w:rPr>
                <w:rFonts w:ascii="Times New Roman" w:cs="Times New Roman" w:eastAsia="Times New Roman" w:hAnsi="Times New Roman"/>
                <w:sz w:val="18"/>
                <w:szCs w:val="18"/>
                <w:color w:val="0000EE"/>
                <w:w w:val="96"/>
              </w:rPr>
            </w:pPr>
            <w:hyperlink w:anchor="page2">
              <w:r>
                <w:rPr>
                  <w:rFonts w:ascii="Times New Roman" w:cs="Times New Roman" w:eastAsia="Times New Roman" w:hAnsi="Times New Roman"/>
                  <w:sz w:val="18"/>
                  <w:szCs w:val="18"/>
                  <w:color w:val="0000EE"/>
                  <w:w w:val="96"/>
                </w:rPr>
                <w:t>FINANCIAL INFORMATION:</w:t>
              </w:r>
            </w:hyperlink>
          </w:p>
        </w:tc>
        <w:tc>
          <w:tcPr>
            <w:tcW w:w="3940" w:type="dxa"/>
            <w:vAlign w:val="bottom"/>
            <w:gridSpan w:val="4"/>
            <w:vMerge w:val="restart"/>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gridSpan w:val="2"/>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2260" w:type="dxa"/>
            <w:vAlign w:val="bottom"/>
            <w:tcBorders>
              <w:bottom w:val="single" w:sz="8" w:color="0000EE"/>
            </w:tcBorders>
            <w:vMerge w:val="continue"/>
          </w:tcPr>
          <w:p>
            <w:pPr>
              <w:spacing w:after="0"/>
              <w:rPr>
                <w:sz w:val="24"/>
                <w:szCs w:val="24"/>
                <w:color w:val="auto"/>
              </w:rPr>
            </w:pPr>
          </w:p>
        </w:tc>
        <w:tc>
          <w:tcPr>
            <w:tcW w:w="394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Item 1.</w:t>
              </w:r>
            </w:hyperlink>
          </w:p>
        </w:tc>
        <w:tc>
          <w:tcPr>
            <w:tcW w:w="440" w:type="dxa"/>
            <w:vAlign w:val="bottom"/>
            <w:gridSpan w:val="2"/>
          </w:tcPr>
          <w:p>
            <w:pPr>
              <w:spacing w:after="0"/>
              <w:rPr>
                <w:sz w:val="24"/>
                <w:szCs w:val="24"/>
                <w:color w:val="auto"/>
              </w:rPr>
            </w:pPr>
          </w:p>
        </w:tc>
        <w:tc>
          <w:tcPr>
            <w:tcW w:w="6200" w:type="dxa"/>
            <w:vAlign w:val="bottom"/>
            <w:gridSpan w:val="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Consolidated Balance Sheets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 – 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Income</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40" w:type="dxa"/>
            <w:vAlign w:val="bottom"/>
            <w:gridSpan w:val="1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Notes to Condensed Consolidated Financial Statements</w:t>
              </w:r>
            </w:hyperlink>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3"/>
              </w:rPr>
              <w:t>5 – 11</w:t>
            </w:r>
          </w:p>
        </w:tc>
      </w:tr>
      <w:tr>
        <w:trPr>
          <w:trHeight w:val="439"/>
        </w:trPr>
        <w:tc>
          <w:tcPr>
            <w:tcW w:w="500" w:type="dxa"/>
            <w:vAlign w:val="bottom"/>
          </w:tcPr>
          <w:p>
            <w:pPr>
              <w:spacing w:after="0"/>
              <w:rPr>
                <w:rFonts w:ascii="Times New Roman" w:cs="Times New Roman" w:eastAsia="Times New Roman" w:hAnsi="Times New Roman"/>
                <w:sz w:val="18"/>
                <w:szCs w:val="18"/>
                <w:color w:val="0000EE"/>
                <w:w w:val="94"/>
              </w:rPr>
            </w:pPr>
            <w:hyperlink w:anchor="page11">
              <w:r>
                <w:rPr>
                  <w:rFonts w:ascii="Times New Roman" w:cs="Times New Roman" w:eastAsia="Times New Roman" w:hAnsi="Times New Roman"/>
                  <w:sz w:val="18"/>
                  <w:szCs w:val="18"/>
                  <w:color w:val="0000EE"/>
                  <w:w w:val="94"/>
                </w:rPr>
                <w:t>Item 2.</w:t>
              </w:r>
            </w:hyperlink>
          </w:p>
        </w:tc>
        <w:tc>
          <w:tcPr>
            <w:tcW w:w="440" w:type="dxa"/>
            <w:vAlign w:val="bottom"/>
            <w:gridSpan w:val="2"/>
          </w:tcPr>
          <w:p>
            <w:pPr>
              <w:spacing w:after="0"/>
              <w:rPr>
                <w:sz w:val="24"/>
                <w:szCs w:val="24"/>
                <w:color w:val="auto"/>
              </w:rPr>
            </w:pPr>
          </w:p>
        </w:tc>
        <w:tc>
          <w:tcPr>
            <w:tcW w:w="55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Management’s Discussion and Analysis of Financial Condition</w:t>
              </w:r>
            </w:hyperlink>
          </w:p>
        </w:tc>
        <w:tc>
          <w:tcPr>
            <w:tcW w:w="540" w:type="dxa"/>
            <w:vAlign w:val="bottom"/>
            <w:gridSpan w:val="2"/>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12 – 17</w:t>
            </w:r>
          </w:p>
        </w:tc>
      </w:tr>
      <w:tr>
        <w:trPr>
          <w:trHeight w:val="439"/>
        </w:trPr>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16">
              <w:r>
                <w:rPr>
                  <w:rFonts w:ascii="Times New Roman" w:cs="Times New Roman" w:eastAsia="Times New Roman" w:hAnsi="Times New Roman"/>
                  <w:sz w:val="18"/>
                  <w:szCs w:val="18"/>
                  <w:color w:val="0000EE"/>
                  <w:w w:val="94"/>
                </w:rPr>
                <w:t>Item 3.</w:t>
              </w:r>
            </w:hyperlink>
          </w:p>
        </w:tc>
        <w:tc>
          <w:tcPr>
            <w:tcW w:w="440" w:type="dxa"/>
            <w:vAlign w:val="bottom"/>
            <w:gridSpan w:val="2"/>
          </w:tcPr>
          <w:p>
            <w:pPr>
              <w:spacing w:after="0"/>
              <w:rPr>
                <w:sz w:val="24"/>
                <w:szCs w:val="24"/>
                <w:color w:val="auto"/>
              </w:rPr>
            </w:pPr>
          </w:p>
        </w:tc>
        <w:tc>
          <w:tcPr>
            <w:tcW w:w="42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Quantitative and Qualitative Disclosures About Market Risk</w:t>
              </w:r>
            </w:hyperlink>
          </w:p>
        </w:tc>
        <w:tc>
          <w:tcPr>
            <w:tcW w:w="180" w:type="dxa"/>
            <w:vAlign w:val="bottom"/>
            <w:tcBorders>
              <w:top w:val="single" w:sz="8" w:color="0000EE"/>
            </w:tcBorders>
          </w:tcPr>
          <w:p>
            <w:pPr>
              <w:spacing w:after="0"/>
              <w:rPr>
                <w:sz w:val="24"/>
                <w:szCs w:val="24"/>
                <w:color w:val="auto"/>
              </w:rPr>
            </w:pPr>
          </w:p>
        </w:tc>
        <w:tc>
          <w:tcPr>
            <w:tcW w:w="1600" w:type="dxa"/>
            <w:vAlign w:val="bottom"/>
            <w:gridSpan w:val="3"/>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17</w:t>
            </w:r>
          </w:p>
        </w:tc>
      </w:tr>
      <w:tr>
        <w:trPr>
          <w:trHeight w:val="439"/>
        </w:trPr>
        <w:tc>
          <w:tcPr>
            <w:tcW w:w="50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16">
              <w:r>
                <w:rPr>
                  <w:rFonts w:ascii="Times New Roman" w:cs="Times New Roman" w:eastAsia="Times New Roman" w:hAnsi="Times New Roman"/>
                  <w:sz w:val="18"/>
                  <w:szCs w:val="18"/>
                  <w:color w:val="0000EE"/>
                  <w:w w:val="94"/>
                </w:rPr>
                <w:t>Item 4.</w:t>
              </w:r>
            </w:hyperlink>
          </w:p>
        </w:tc>
        <w:tc>
          <w:tcPr>
            <w:tcW w:w="440" w:type="dxa"/>
            <w:vAlign w:val="bottom"/>
            <w:gridSpan w:val="2"/>
          </w:tcPr>
          <w:p>
            <w:pPr>
              <w:spacing w:after="0"/>
              <w:rPr>
                <w:sz w:val="24"/>
                <w:szCs w:val="24"/>
                <w:color w:val="auto"/>
              </w:rPr>
            </w:pPr>
          </w:p>
        </w:tc>
        <w:tc>
          <w:tcPr>
            <w:tcW w:w="1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Controls and Procedures</w:t>
              </w:r>
            </w:hyperlink>
          </w:p>
        </w:tc>
        <w:tc>
          <w:tcPr>
            <w:tcW w:w="4300" w:type="dxa"/>
            <w:vAlign w:val="bottom"/>
            <w:gridSpan w:val="8"/>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18</w:t>
            </w: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40" w:type="dxa"/>
            <w:vAlign w:val="bottom"/>
            <w:gridSpan w:val="10"/>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Independent Registered Public Accounting Firm’s Report</w:t>
              </w:r>
            </w:hyperlink>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19</w:t>
            </w:r>
          </w:p>
        </w:tc>
      </w:tr>
      <w:tr>
        <w:trPr>
          <w:trHeight w:val="439"/>
        </w:trPr>
        <w:tc>
          <w:tcPr>
            <w:tcW w:w="940" w:type="dxa"/>
            <w:vAlign w:val="bottom"/>
            <w:gridSpan w:val="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PART II</w:t>
              </w:r>
            </w:hyperlink>
          </w:p>
        </w:tc>
        <w:tc>
          <w:tcPr>
            <w:tcW w:w="40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OTHER INFORMATION</w:t>
              </w:r>
            </w:hyperlink>
          </w:p>
        </w:tc>
        <w:tc>
          <w:tcPr>
            <w:tcW w:w="2000" w:type="dxa"/>
            <w:vAlign w:val="bottom"/>
            <w:gridSpan w:val="5"/>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20 – 23</w:t>
            </w:r>
          </w:p>
        </w:tc>
      </w:tr>
      <w:tr>
        <w:trPr>
          <w:trHeight w:val="439"/>
        </w:trPr>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17">
              <w:r>
                <w:rPr>
                  <w:rFonts w:ascii="Times New Roman" w:cs="Times New Roman" w:eastAsia="Times New Roman" w:hAnsi="Times New Roman"/>
                  <w:sz w:val="18"/>
                  <w:szCs w:val="18"/>
                  <w:color w:val="0000EE"/>
                  <w:w w:val="94"/>
                </w:rPr>
                <w:t>Item 1.</w:t>
              </w:r>
            </w:hyperlink>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Proceedings</w:t>
              </w:r>
            </w:hyperlink>
          </w:p>
        </w:tc>
        <w:tc>
          <w:tcPr>
            <w:tcW w:w="4200" w:type="dxa"/>
            <w:vAlign w:val="bottom"/>
            <w:gridSpan w:val="7"/>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500" w:type="dxa"/>
            <w:vAlign w:val="bottom"/>
          </w:tcPr>
          <w:p>
            <w:pPr>
              <w:spacing w:after="0"/>
              <w:rPr>
                <w:rFonts w:ascii="Times New Roman" w:cs="Times New Roman" w:eastAsia="Times New Roman" w:hAnsi="Times New Roman"/>
                <w:sz w:val="18"/>
                <w:szCs w:val="18"/>
                <w:color w:val="0000EE"/>
                <w:w w:val="94"/>
              </w:rPr>
            </w:pPr>
            <w:hyperlink w:anchor="page18">
              <w:r>
                <w:rPr>
                  <w:rFonts w:ascii="Times New Roman" w:cs="Times New Roman" w:eastAsia="Times New Roman" w:hAnsi="Times New Roman"/>
                  <w:sz w:val="18"/>
                  <w:szCs w:val="18"/>
                  <w:color w:val="0000EE"/>
                  <w:w w:val="94"/>
                </w:rPr>
                <w:t>Item 2.</w:t>
              </w:r>
            </w:hyperlink>
          </w:p>
        </w:tc>
        <w:tc>
          <w:tcPr>
            <w:tcW w:w="440" w:type="dxa"/>
            <w:vAlign w:val="bottom"/>
            <w:gridSpan w:val="2"/>
          </w:tcPr>
          <w:p>
            <w:pPr>
              <w:spacing w:after="0"/>
              <w:rPr>
                <w:sz w:val="24"/>
                <w:szCs w:val="24"/>
                <w:color w:val="auto"/>
              </w:rPr>
            </w:pPr>
          </w:p>
        </w:tc>
        <w:tc>
          <w:tcPr>
            <w:tcW w:w="6040" w:type="dxa"/>
            <w:vAlign w:val="bottom"/>
            <w:gridSpan w:val="10"/>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Changes in Securities, Use of Proceeds and Issuer Purchases of Equity Securities</w:t>
              </w:r>
            </w:hyperlink>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21</w:t>
            </w:r>
          </w:p>
        </w:tc>
      </w:tr>
      <w:tr>
        <w:trPr>
          <w:trHeight w:val="439"/>
        </w:trPr>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18">
              <w:r>
                <w:rPr>
                  <w:rFonts w:ascii="Times New Roman" w:cs="Times New Roman" w:eastAsia="Times New Roman" w:hAnsi="Times New Roman"/>
                  <w:sz w:val="18"/>
                  <w:szCs w:val="18"/>
                  <w:color w:val="0000EE"/>
                  <w:w w:val="94"/>
                </w:rPr>
                <w:t>Item 6.</w:t>
              </w:r>
            </w:hyperlink>
          </w:p>
        </w:tc>
        <w:tc>
          <w:tcPr>
            <w:tcW w:w="440" w:type="dxa"/>
            <w:vAlign w:val="bottom"/>
            <w:gridSpan w:val="2"/>
          </w:tcPr>
          <w:p>
            <w:pPr>
              <w:spacing w:after="0"/>
              <w:rPr>
                <w:sz w:val="24"/>
                <w:szCs w:val="24"/>
                <w:color w:val="auto"/>
              </w:rPr>
            </w:pPr>
          </w:p>
        </w:tc>
        <w:tc>
          <w:tcPr>
            <w:tcW w:w="57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Exhibits and Reports on Form 8-K</w:t>
              </w:r>
            </w:hyperlink>
          </w:p>
        </w:tc>
        <w:tc>
          <w:tcPr>
            <w:tcW w:w="340" w:type="dxa"/>
            <w:vAlign w:val="bottom"/>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1816100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6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WINNEBAGO INDUSTRIES, INC. AND SUBSIDIARIES</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UNAUDITED CONSOLIDATED BALANCE SHEETS</w:t>
      </w:r>
    </w:p>
    <w:p>
      <w:pPr>
        <w:sectPr>
          <w:pgSz w:w="11900" w:h="16838" w:orient="portrait"/>
          <w:cols w:equalWidth="0" w:num="1">
            <w:col w:w="9019"/>
          </w:cols>
          <w:pgMar w:left="1440" w:top="351" w:right="1440" w:bottom="0" w:gutter="0" w:footer="0" w:header="0"/>
        </w:sect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88"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85090</wp:posOffset>
            </wp:positionV>
            <wp:extent cx="3121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May 29,</w:t>
      </w:r>
      <w:r>
        <w:rPr>
          <w:sz w:val="20"/>
          <w:szCs w:val="20"/>
          <w:color w:val="auto"/>
        </w:rPr>
        <w:tab/>
      </w:r>
      <w:r>
        <w:rPr>
          <w:rFonts w:ascii="Times New Roman" w:cs="Times New Roman" w:eastAsia="Times New Roman" w:hAnsi="Times New Roman"/>
          <w:sz w:val="12"/>
          <w:szCs w:val="12"/>
          <w:b w:val="1"/>
          <w:bCs w:val="1"/>
          <w:color w:val="auto"/>
        </w:rPr>
        <w:t>August 30,</w:t>
      </w:r>
    </w:p>
    <w:p>
      <w:pPr>
        <w:spacing w:after="0" w:line="5"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2004</w:t>
      </w:r>
      <w:r>
        <w:rPr>
          <w:sz w:val="20"/>
          <w:szCs w:val="20"/>
          <w:color w:val="auto"/>
        </w:rPr>
        <w:tab/>
      </w: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60325</wp:posOffset>
            </wp:positionV>
            <wp:extent cx="1380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2559"/>
          </w:cols>
          <w:pgMar w:left="1440" w:top="351" w:right="1440" w:bottom="0" w:gutter="0" w:footer="0" w:header="0"/>
          <w:type w:val="continuous"/>
        </w:sectPr>
      </w:pP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$95,521</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less allowance for doubtful</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($138 and $134, respectively)</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26,792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264,201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257,289</w:t>
            </w:r>
          </w:p>
        </w:tc>
        <w:tc>
          <w:tcPr>
            <w:tcW w:w="0" w:type="dxa"/>
            <w:vAlign w:val="bottom"/>
          </w:tcPr>
          <w:p>
            <w:pPr>
              <w:spacing w:after="0"/>
              <w:rPr>
                <w:sz w:val="1"/>
                <w:szCs w:val="1"/>
                <w:color w:val="auto"/>
              </w:rPr>
            </w:pPr>
          </w:p>
        </w:tc>
      </w:tr>
      <w:tr>
        <w:trPr>
          <w:trHeight w:val="11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43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56,608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94,208</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34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166,181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159,583</w:t>
            </w:r>
          </w:p>
        </w:tc>
        <w:tc>
          <w:tcPr>
            <w:tcW w:w="0" w:type="dxa"/>
            <w:vAlign w:val="bottom"/>
          </w:tcPr>
          <w:p>
            <w:pPr>
              <w:spacing w:after="0"/>
              <w:rPr>
                <w:sz w:val="1"/>
                <w:szCs w:val="1"/>
                <w:color w:val="auto"/>
              </w:rPr>
            </w:pPr>
          </w:p>
        </w:tc>
      </w:tr>
      <w:tr>
        <w:trPr>
          <w:trHeight w:val="228"/>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102,537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96,265</w:t>
            </w: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63,318</w:t>
            </w: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25,833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22,706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51" w:right="1440" w:bottom="0" w:gutter="0" w:footer="0" w:header="0"/>
          <w:type w:val="continuous"/>
        </w:sectPr>
      </w:pPr>
    </w:p>
    <w:bookmarkStart w:id="2" w:name="page3"/>
    <w:bookmarkEnd w:id="2"/>
    <w:p>
      <w:pPr>
        <w:jc w:val="both"/>
        <w:ind w:left="6660"/>
        <w:spacing w:after="0"/>
        <w:tabs>
          <w:tab w:leader="none" w:pos="7900" w:val="left"/>
        </w:tabs>
        <w:rPr>
          <w:sz w:val="20"/>
          <w:szCs w:val="20"/>
          <w:color w:val="auto"/>
        </w:rPr>
      </w:pPr>
      <w:r>
        <w:rPr>
          <w:rFonts w:ascii="Times New Roman" w:cs="Times New Roman" w:eastAsia="Times New Roman" w:hAnsi="Times New Roman"/>
          <w:sz w:val="18"/>
          <w:szCs w:val="18"/>
          <w:color w:val="auto"/>
        </w:rPr>
        <w:t>12,484</w:t>
      </w:r>
      <w:r>
        <w:rPr>
          <w:sz w:val="20"/>
          <w:szCs w:val="20"/>
          <w:color w:val="auto"/>
        </w:rPr>
        <w:tab/>
      </w:r>
      <w:r>
        <w:rPr>
          <w:rFonts w:ascii="Times New Roman" w:cs="Times New Roman" w:eastAsia="Times New Roman" w:hAnsi="Times New Roman"/>
          <w:sz w:val="18"/>
          <w:szCs w:val="18"/>
          <w:color w:val="auto"/>
        </w:rPr>
        <w:t>11,570</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84455</wp:posOffset>
            </wp:positionV>
            <wp:extent cx="1363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388,868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377,462</w:t>
            </w:r>
          </w:p>
        </w:tc>
      </w:tr>
      <w:tr>
        <w:trPr>
          <w:trHeight w:val="120"/>
        </w:trPr>
        <w:tc>
          <w:tcPr>
            <w:tcW w:w="57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WINNEBAGO INDUSTRIES, INC. AND SUBSIDIARIES</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UNAUDITED CONSOLIDATED BALANCE SHEETS</w:t>
      </w:r>
    </w:p>
    <w:p>
      <w:pPr>
        <w:sectPr>
          <w:pgSz w:w="11900" w:h="16838" w:orient="portrait"/>
          <w:cols w:equalWidth="0" w:num="1">
            <w:col w:w="9019"/>
          </w:cols>
          <w:pgMar w:left="1440" w:top="125" w:right="1440" w:bottom="1440" w:gutter="0" w:footer="0" w:header="0"/>
        </w:sectPr>
      </w:pP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88"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85090</wp:posOffset>
            </wp:positionV>
            <wp:extent cx="3121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May 29,</w:t>
      </w:r>
      <w:r>
        <w:rPr>
          <w:sz w:val="20"/>
          <w:szCs w:val="20"/>
          <w:color w:val="auto"/>
        </w:rPr>
        <w:tab/>
      </w:r>
      <w:r>
        <w:rPr>
          <w:rFonts w:ascii="Times New Roman" w:cs="Times New Roman" w:eastAsia="Times New Roman" w:hAnsi="Times New Roman"/>
          <w:sz w:val="12"/>
          <w:szCs w:val="12"/>
          <w:b w:val="1"/>
          <w:bCs w:val="1"/>
          <w:color w:val="auto"/>
        </w:rPr>
        <w:t>August 30,</w:t>
      </w:r>
    </w:p>
    <w:p>
      <w:pPr>
        <w:spacing w:after="0" w:line="5"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2004</w:t>
      </w:r>
      <w:r>
        <w:rPr>
          <w:sz w:val="20"/>
          <w:szCs w:val="20"/>
          <w:color w:val="auto"/>
        </w:rPr>
        <w:tab/>
      </w: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60325</wp:posOffset>
            </wp:positionV>
            <wp:extent cx="13804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2559"/>
          </w:cols>
          <w:pgMar w:left="1440" w:top="125" w:right="1440" w:bottom="1440" w:gutter="0" w:footer="0" w:header="0"/>
          <w:type w:val="continuous"/>
        </w:sectPr>
      </w:pP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warranties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Promotional</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28"/>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113,507</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92,398</w:t>
            </w:r>
          </w:p>
        </w:tc>
        <w:tc>
          <w:tcPr>
            <w:tcW w:w="0" w:type="dxa"/>
            <w:vAlign w:val="bottom"/>
          </w:tcPr>
          <w:p>
            <w:pPr>
              <w:spacing w:after="0"/>
              <w:rPr>
                <w:sz w:val="1"/>
                <w:szCs w:val="1"/>
                <w:color w:val="auto"/>
              </w:rPr>
            </w:pPr>
          </w:p>
        </w:tc>
      </w:tr>
      <w:tr>
        <w:trPr>
          <w:trHeight w:val="11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POSTRETIREMENT HEALTH CARE AND DEFERRED</w:t>
            </w: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5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BENEFITS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0" w:type="dxa"/>
            <w:vAlign w:val="bottom"/>
          </w:tcPr>
          <w:p>
            <w:pPr>
              <w:spacing w:after="0"/>
              <w:rPr>
                <w:sz w:val="1"/>
                <w:szCs w:val="1"/>
                <w:color w:val="auto"/>
              </w:rPr>
            </w:pPr>
          </w:p>
        </w:tc>
      </w:tr>
      <w:tr>
        <w:trPr>
          <w:trHeight w:val="11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5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common, par value $.50; authorized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60,000,000 shares: issued 51,776,000 shares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0" w:type="dxa"/>
            <w:vAlign w:val="bottom"/>
          </w:tcPr>
          <w:p>
            <w:pPr>
              <w:spacing w:after="0"/>
              <w:rPr>
                <w:sz w:val="1"/>
                <w:szCs w:val="1"/>
                <w:color w:val="auto"/>
              </w:rPr>
            </w:pPr>
          </w:p>
        </w:tc>
      </w:t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Reinvested earnings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377,473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331,039</w:t>
            </w: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417,875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369,952</w:t>
            </w:r>
          </w:p>
        </w:tc>
        <w:tc>
          <w:tcPr>
            <w:tcW w:w="0" w:type="dxa"/>
            <w:vAlign w:val="bottom"/>
          </w:tcPr>
          <w:p>
            <w:pPr>
              <w:spacing w:after="0"/>
              <w:rPr>
                <w:sz w:val="1"/>
                <w:szCs w:val="1"/>
                <w:color w:val="auto"/>
              </w:rPr>
            </w:pPr>
          </w:p>
        </w:tc>
      </w:t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159,326</w:t>
            </w: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210,626</w:t>
            </w:r>
          </w:p>
        </w:tc>
        <w:tc>
          <w:tcPr>
            <w:tcW w:w="0" w:type="dxa"/>
            <w:vAlign w:val="bottom"/>
          </w:tcPr>
          <w:p>
            <w:pPr>
              <w:spacing w:after="0"/>
              <w:rPr>
                <w:sz w:val="1"/>
                <w:szCs w:val="1"/>
                <w:color w:val="auto"/>
              </w:rPr>
            </w:pPr>
          </w:p>
        </w:tc>
      </w:tr>
      <w:tr>
        <w:trPr>
          <w:trHeight w:val="11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780" w:type="dxa"/>
            <w:vAlign w:val="bottom"/>
            <w:vMerge w:val="continue"/>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388,868</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377,462</w:t>
            </w:r>
          </w:p>
        </w:tc>
        <w:tc>
          <w:tcPr>
            <w:tcW w:w="0" w:type="dxa"/>
            <w:vAlign w:val="bottom"/>
          </w:tcPr>
          <w:p>
            <w:pPr>
              <w:spacing w:after="0"/>
              <w:rPr>
                <w:sz w:val="1"/>
                <w:szCs w:val="1"/>
                <w:color w:val="auto"/>
              </w:rPr>
            </w:pPr>
          </w:p>
        </w:tc>
      </w:tr>
      <w:tr>
        <w:trPr>
          <w:trHeight w:val="120"/>
        </w:trPr>
        <w:tc>
          <w:tcPr>
            <w:tcW w:w="57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See Unaudited Condensed Notes to Consolidated Financial Statements.</w:t>
      </w:r>
    </w:p>
    <w:p>
      <w:pPr>
        <w:sectPr>
          <w:pgSz w:w="11900" w:h="16838" w:orient="portrait"/>
          <w:cols w:equalWidth="0" w:num="1">
            <w:col w:w="9019"/>
          </w:cols>
          <w:pgMar w:left="1440" w:top="125" w:right="1440" w:bottom="1440" w:gutter="0" w:footer="0" w:header="0"/>
          <w:type w:val="continuous"/>
        </w:sectPr>
      </w:pPr>
    </w:p>
    <w:bookmarkStart w:id="3" w:name="page4"/>
    <w:bookmarkEnd w:id="3"/>
    <w:p>
      <w:pPr>
        <w:jc w:val="center"/>
        <w:ind w:right="4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00"/>
          </w:cols>
          <w:pgMar w:left="1440" w:top="125" w:right="959" w:bottom="3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WINNEBAGO INDUSTRIES, INC. AND SUBSIDIARIES</w:t>
      </w:r>
    </w:p>
    <w:p>
      <w:pPr>
        <w:spacing w:after="0" w:line="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b w:val="1"/>
          <w:bCs w:val="1"/>
          <w:color w:val="auto"/>
        </w:rPr>
        <w:t>UNAUDITED CONSOLIDATED STATEMENTS OF INCOME</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8"/>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310,186</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200,211</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831,152</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177,065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710,639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46,019</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23,146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120,513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4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per share – basic (Note 11)</w:t>
            </w: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4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4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236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6"/>
              </w:rPr>
              <w:t>Income per share – diluted (Note 11)</w:t>
            </w:r>
          </w:p>
        </w:tc>
        <w:tc>
          <w:tcPr>
            <w:tcW w:w="2220" w:type="dxa"/>
            <w:vAlign w:val="bottom"/>
            <w:vMerge w:val="restart"/>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2600" w:type="dxa"/>
            <w:vAlign w:val="bottom"/>
            <w:tcBorders>
              <w:bottom w:val="single" w:sz="8" w:color="auto"/>
            </w:tcBorders>
            <w:gridSpan w:val="2"/>
            <w:vMerge w:val="continue"/>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4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37,098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-2981325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-2981325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-2981325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-2981325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-2981325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-2981325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-2981325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-2981325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-1995170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-1995170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-1995170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-1995170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-1995170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-1995170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-1995170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-1995170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-1009015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-1009015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-1009015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-1009015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-1009015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-1009015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-1009015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-1009015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-306070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-306070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-306070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-306070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-306070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-306070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-306070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-306070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100" w:right="840"/>
        <w:spacing w:after="0" w:line="262" w:lineRule="auto"/>
        <w:rPr>
          <w:sz w:val="20"/>
          <w:szCs w:val="20"/>
          <w:color w:val="auto"/>
        </w:rPr>
      </w:pPr>
      <w:r>
        <w:rPr>
          <w:rFonts w:ascii="Times New Roman" w:cs="Times New Roman" w:eastAsia="Times New Roman" w:hAnsi="Times New Roman"/>
          <w:sz w:val="18"/>
          <w:szCs w:val="18"/>
          <w:color w:val="auto"/>
        </w:rPr>
        <w:t>On January 14, 2004, the Company’s Board of Directors declared a two-for-one stock split effected in the form of a 100% stock dividend on March 5, 2004 to shareholders of record as of February 20, 2004. All share and per share amounts have been restated to give retroactive effect to the stock split.</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Unaudited Condensed Notes to Consolidated Financial Statements.</w:t>
      </w:r>
    </w:p>
    <w:p>
      <w:pPr>
        <w:sectPr>
          <w:pgSz w:w="11900" w:h="16838" w:orient="portrait"/>
          <w:cols w:equalWidth="0" w:num="1">
            <w:col w:w="9500"/>
          </w:cols>
          <w:pgMar w:left="1440" w:top="125" w:right="959" w:bottom="329"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8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WINNEBAGO INDUSTRIES,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STATEMENTS OF CASH FLOWS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Thirty-Nine Weeks Ended</w:t>
            </w:r>
          </w:p>
        </w:tc>
        <w:tc>
          <w:tcPr>
            <w:tcW w:w="0" w:type="dxa"/>
            <w:vAlign w:val="bottom"/>
          </w:tcPr>
          <w:p>
            <w:pPr>
              <w:spacing w:after="0"/>
              <w:rPr>
                <w:sz w:val="1"/>
                <w:szCs w:val="1"/>
                <w:color w:val="auto"/>
              </w:rPr>
            </w:pPr>
          </w:p>
        </w:tc>
      </w:tr>
      <w:tr>
        <w:trPr>
          <w:trHeight w:val="80"/>
        </w:trPr>
        <w:tc>
          <w:tcPr>
            <w:tcW w:w="6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May 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May 31,</w:t>
            </w:r>
          </w:p>
        </w:tc>
        <w:tc>
          <w:tcPr>
            <w:tcW w:w="0" w:type="dxa"/>
            <w:vAlign w:val="bottom"/>
          </w:tcPr>
          <w:p>
            <w:pPr>
              <w:spacing w:after="0"/>
              <w:rPr>
                <w:sz w:val="1"/>
                <w:szCs w:val="1"/>
                <w:color w:val="auto"/>
              </w:rPr>
            </w:pPr>
          </w:p>
        </w:tc>
      </w:tr>
      <w:tr>
        <w:trPr>
          <w:trHeight w:val="178"/>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6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benefit of stock options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 receivable and other assets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inventories</w:t>
            </w: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28"/>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postretirement benefits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continuing operations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1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6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0" w:type="dxa"/>
            <w:vAlign w:val="bottom"/>
          </w:tcPr>
          <w:p>
            <w:pPr>
              <w:spacing w:after="0"/>
              <w:rPr>
                <w:sz w:val="1"/>
                <w:szCs w:val="1"/>
                <w:color w:val="auto"/>
              </w:rPr>
            </w:pPr>
          </w:p>
        </w:tc>
      </w:tr>
      <w:tr>
        <w:trPr>
          <w:trHeight w:val="228"/>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continuing operations</w:t>
            </w:r>
          </w:p>
        </w:tc>
        <w:tc>
          <w:tcPr>
            <w:tcW w:w="12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0" w:type="dxa"/>
            <w:vAlign w:val="bottom"/>
          </w:tcPr>
          <w:p>
            <w:pPr>
              <w:spacing w:after="0"/>
              <w:rPr>
                <w:sz w:val="1"/>
                <w:szCs w:val="1"/>
                <w:color w:val="auto"/>
              </w:rPr>
            </w:pPr>
          </w:p>
        </w:tc>
      </w:tr>
      <w:tr>
        <w:trPr>
          <w:trHeight w:val="228"/>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1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used in financing activities and capital transactions</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6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for purchase of common stock</w:t>
            </w: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(20,221)</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8"/>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issuance of common and treasury stock</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financing activities and</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transactions</w:t>
            </w:r>
          </w:p>
        </w:tc>
        <w:tc>
          <w:tcPr>
            <w:tcW w:w="1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4652645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Unaudited Condensed Notes to Consolidated Financial Statements.</w:t>
      </w:r>
    </w:p>
    <w:p>
      <w:pPr>
        <w:sectPr>
          <w:pgSz w:w="11900" w:h="16838" w:orient="portrait"/>
          <w:cols w:equalWidth="0" w:num="1">
            <w:col w:w="9019"/>
          </w:cols>
          <w:pgMar w:left="1440" w:top="8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827" w:right="1440" w:bottom="0" w:gutter="0" w:footer="0" w:header="0"/>
          <w:type w:val="continuous"/>
        </w:sectPr>
      </w:pPr>
    </w:p>
    <w:bookmarkStart w:id="5" w:name="page6"/>
    <w:bookmarkEnd w:id="5"/>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WINNEBAGO INDUSTRIES, INC. AND SUBSIDIARIES UNAUDITED CONDENSED NOTES TO CONDENSED CONSOLIDATED FINANCIAL STATEMENTS</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95" w:lineRule="exact"/>
        <w:rPr>
          <w:sz w:val="20"/>
          <w:szCs w:val="20"/>
          <w:color w:val="auto"/>
        </w:rPr>
      </w:pPr>
    </w:p>
    <w:p>
      <w:pPr>
        <w:ind w:left="1780" w:right="840"/>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accruals, necessary to present fairly the consolidated financial position as of May 29, 2004, the consolidated results of operations for the 13 and 39 weeks ended May 29, 2004 and May 31, 2003 and the consolidated cash flows for the 39 weeks ended May 29, 2004 and May 31, 2003. The statement of income for the 39 weeks ended May 29, 2004, is not necessarily indicative of the results to be expected for the full year. The balance sheet data as of August 30, 2003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30, 2003.</w:t>
      </w:r>
    </w:p>
    <w:p>
      <w:pPr>
        <w:spacing w:after="0" w:line="224" w:lineRule="exact"/>
        <w:rPr>
          <w:sz w:val="20"/>
          <w:szCs w:val="20"/>
          <w:color w:val="auto"/>
        </w:rPr>
      </w:pPr>
    </w:p>
    <w:p>
      <w:pPr>
        <w:ind w:left="1780" w:right="840"/>
        <w:spacing w:after="0" w:line="258" w:lineRule="auto"/>
        <w:rPr>
          <w:sz w:val="20"/>
          <w:szCs w:val="20"/>
          <w:color w:val="auto"/>
        </w:rPr>
      </w:pPr>
      <w:r>
        <w:rPr>
          <w:rFonts w:ascii="Times New Roman" w:cs="Times New Roman" w:eastAsia="Times New Roman" w:hAnsi="Times New Roman"/>
          <w:sz w:val="18"/>
          <w:szCs w:val="18"/>
          <w:color w:val="auto"/>
        </w:rPr>
        <w:t>Certain prior year balances have been reclassified to conform to the current year presentation. These reclassifications had no impact on previously reported net income or shareholders’ equity. All share and per share amounts have been restated to give retroactive effect to the stock split (See Note 9 of the Unaudited Condensed Notes to Condensed Consolidated Financial Statements).</w:t>
      </w:r>
    </w:p>
    <w:p>
      <w:pPr>
        <w:spacing w:after="0" w:line="215" w:lineRule="exact"/>
        <w:rPr>
          <w:sz w:val="20"/>
          <w:szCs w:val="20"/>
          <w:color w:val="auto"/>
        </w:rPr>
      </w:pPr>
    </w:p>
    <w:p>
      <w:pPr>
        <w:ind w:left="1780" w:right="740"/>
        <w:spacing w:after="0" w:line="254" w:lineRule="auto"/>
        <w:rPr>
          <w:sz w:val="20"/>
          <w:szCs w:val="20"/>
          <w:color w:val="auto"/>
        </w:rPr>
      </w:pPr>
      <w:r>
        <w:rPr>
          <w:rFonts w:ascii="Times New Roman" w:cs="Times New Roman" w:eastAsia="Times New Roman" w:hAnsi="Times New Roman"/>
          <w:sz w:val="18"/>
          <w:szCs w:val="18"/>
          <w:b w:val="1"/>
          <w:bCs w:val="1"/>
          <w:color w:val="auto"/>
        </w:rPr>
        <w:t>Accounting for Stock-Based Compensation</w:t>
      </w:r>
      <w:r>
        <w:rPr>
          <w:rFonts w:ascii="Times New Roman" w:cs="Times New Roman" w:eastAsia="Times New Roman" w:hAnsi="Times New Roman"/>
          <w:sz w:val="18"/>
          <w:szCs w:val="18"/>
          <w:color w:val="auto"/>
        </w:rPr>
        <w:t>. The Company adopted SFAS No. 123,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Accounting for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in fiscal 1997. The Company has elected to continue following the accounting guidance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Principles Board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and 39 weeks ended May 29, 2004 and May 31, 2003 would have been changed to the proforma amounts indicated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62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May 29,</w:t>
            </w:r>
          </w:p>
        </w:tc>
        <w:tc>
          <w:tcPr>
            <w:tcW w:w="120" w:type="dxa"/>
            <w:vAlign w:val="bottom"/>
          </w:tcPr>
          <w:p>
            <w:pPr>
              <w:spacing w:after="0"/>
              <w:rPr>
                <w:sz w:val="20"/>
                <w:szCs w:val="20"/>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May 31,</w:t>
            </w:r>
          </w:p>
        </w:tc>
        <w:tc>
          <w:tcPr>
            <w:tcW w:w="120" w:type="dxa"/>
            <w:vAlign w:val="bottom"/>
          </w:tcPr>
          <w:p>
            <w:pPr>
              <w:spacing w:after="0"/>
              <w:rPr>
                <w:sz w:val="20"/>
                <w:szCs w:val="20"/>
                <w:color w:val="auto"/>
              </w:rPr>
            </w:pPr>
          </w:p>
        </w:tc>
        <w:tc>
          <w:tcPr>
            <w:tcW w:w="11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5"/>
              </w:rPr>
              <w:t>May 29,</w:t>
            </w:r>
          </w:p>
        </w:tc>
        <w:tc>
          <w:tcPr>
            <w:tcW w:w="120" w:type="dxa"/>
            <w:vAlign w:val="bottom"/>
          </w:tcPr>
          <w:p>
            <w:pPr>
              <w:spacing w:after="0"/>
              <w:rPr>
                <w:sz w:val="20"/>
                <w:szCs w:val="20"/>
                <w:color w:val="auto"/>
              </w:rPr>
            </w:pPr>
          </w:p>
        </w:tc>
        <w:tc>
          <w:tcPr>
            <w:tcW w:w="140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9"/>
              </w:rPr>
              <w:t>May 31,</w:t>
            </w:r>
          </w:p>
        </w:tc>
        <w:tc>
          <w:tcPr>
            <w:tcW w:w="0" w:type="dxa"/>
            <w:vAlign w:val="bottom"/>
          </w:tcPr>
          <w:p>
            <w:pPr>
              <w:spacing w:after="0"/>
              <w:rPr>
                <w:sz w:val="1"/>
                <w:szCs w:val="1"/>
                <w:color w:val="auto"/>
              </w:rPr>
            </w:pPr>
          </w:p>
        </w:tc>
      </w:tr>
      <w:tr>
        <w:trPr>
          <w:trHeight w:val="178"/>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In thousands, except per-share amounts</w:t>
            </w:r>
          </w:p>
        </w:tc>
        <w:tc>
          <w:tcPr>
            <w:tcW w:w="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3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Net income – as reported</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9,329</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Less estimated stock-based employee 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determined under fair value based method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110"/>
        </w:trPr>
        <w:tc>
          <w:tcPr>
            <w:tcW w:w="5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Net income – proforma</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8,104</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49,227</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3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53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Basic – as reported</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Less estimated stock-based employee 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determined under fair value based method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10"/>
        </w:trPr>
        <w:tc>
          <w:tcPr>
            <w:tcW w:w="5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Basic – proforma</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Diluted – as reported</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Less estimated stock-based employee 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determined under fair value based method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10"/>
        </w:trPr>
        <w:tc>
          <w:tcPr>
            <w:tcW w:w="5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Diluted – proforma</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3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53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36,514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37,098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6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8"/>
        </w:trPr>
        <w:tc>
          <w:tcPr>
            <w:tcW w:w="53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36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-3641725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-3641725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-3641725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-3641725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-3641725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-3641725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-3641725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-3641725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-2518410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-2518410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-2518410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-2518410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-2518410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-2518410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-2518410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-2518410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-1532255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-1532255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-1532255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-1532255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-1532255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-1532255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-1532255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-1532255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-966470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-966470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-966470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-966470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-966470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-966470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-966470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-966470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-674370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-674370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-674370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-674370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-674370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-674370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-674370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-674370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1780" w:right="940"/>
        <w:spacing w:after="0" w:line="275" w:lineRule="auto"/>
        <w:rPr>
          <w:sz w:val="20"/>
          <w:szCs w:val="20"/>
          <w:color w:val="auto"/>
        </w:rPr>
      </w:pPr>
      <w:r>
        <w:rPr>
          <w:rFonts w:ascii="Times New Roman" w:cs="Times New Roman" w:eastAsia="Times New Roman" w:hAnsi="Times New Roman"/>
          <w:sz w:val="18"/>
          <w:szCs w:val="18"/>
          <w:color w:val="auto"/>
        </w:rPr>
        <w:t>The Company estimated the fair values using the Black-Scholes option-pricing model, modified for dividends and using the following assumptions:</w:t>
      </w:r>
    </w:p>
    <w:p>
      <w:pPr>
        <w:sectPr>
          <w:pgSz w:w="11900" w:h="16898" w:orient="portrait"/>
          <w:cols w:equalWidth="0" w:num="1">
            <w:col w:w="11420"/>
          </w:cols>
          <w:pgMar w:left="240" w:top="783" w:right="239" w:bottom="0" w:gutter="0" w:footer="0" w:header="0"/>
        </w:sectPr>
      </w:pPr>
    </w:p>
    <w:bookmarkStart w:id="6" w:name="page7"/>
    <w:bookmarkEnd w:id="6"/>
    <w:tbl>
      <w:tblPr>
        <w:tblLayout w:type="fixed"/>
        <w:tblInd w:w="182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11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95"/>
        </w:trPr>
        <w:tc>
          <w:tcPr>
            <w:tcW w:w="29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 2.81%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 .73%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48.19 – 48.54%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option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6.88</w:t>
            </w:r>
          </w:p>
        </w:tc>
      </w:tr>
    </w:tbl>
    <w:p>
      <w:pPr>
        <w:spacing w:after="0" w:line="200" w:lineRule="exact"/>
        <w:rPr>
          <w:sz w:val="20"/>
          <w:szCs w:val="20"/>
          <w:color w:val="auto"/>
        </w:rPr>
      </w:pPr>
    </w:p>
    <w:p>
      <w:pPr>
        <w:spacing w:after="0" w:line="3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308" w:lineRule="exact"/>
        <w:rPr>
          <w:sz w:val="20"/>
          <w:szCs w:val="20"/>
          <w:color w:val="auto"/>
        </w:rPr>
      </w:pPr>
    </w:p>
    <w:p>
      <w:pPr>
        <w:ind w:left="580" w:right="60"/>
        <w:spacing w:after="0" w:line="256" w:lineRule="auto"/>
        <w:rPr>
          <w:sz w:val="20"/>
          <w:szCs w:val="20"/>
          <w:color w:val="auto"/>
        </w:rPr>
      </w:pPr>
      <w:r>
        <w:rPr>
          <w:rFonts w:ascii="Times New Roman" w:cs="Times New Roman" w:eastAsia="Times New Roman" w:hAnsi="Times New Roman"/>
          <w:sz w:val="18"/>
          <w:szCs w:val="18"/>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dealer financing operations of WAC. Therefore, WAC’s operations were accounted for as discontinued operations in the accompanying consolidated financial statements.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Thirteen Weeks Ended</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Thirty-Nine Weeks Ended</w:t>
            </w: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per-share amounts</w:t>
            </w:r>
          </w:p>
        </w:tc>
        <w:tc>
          <w:tcPr>
            <w:tcW w:w="100" w:type="dxa"/>
            <w:vAlign w:val="bottom"/>
          </w:tcPr>
          <w:p>
            <w:pPr>
              <w:spacing w:after="0"/>
              <w:rPr>
                <w:sz w:val="22"/>
                <w:szCs w:val="22"/>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May 31,</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May 31,</w:t>
            </w:r>
          </w:p>
        </w:tc>
        <w:tc>
          <w:tcPr>
            <w:tcW w:w="0" w:type="dxa"/>
            <w:vAlign w:val="bottom"/>
          </w:tcPr>
          <w:p>
            <w:pPr>
              <w:spacing w:after="0"/>
              <w:rPr>
                <w:sz w:val="1"/>
                <w:szCs w:val="1"/>
                <w:color w:val="auto"/>
              </w:rPr>
            </w:pPr>
          </w:p>
        </w:tc>
      </w:tr>
      <w:tr>
        <w:trPr>
          <w:trHeight w:val="178"/>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Winnebago Acceptance Corporation</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420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9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Borders>
              <w:bottom w:val="single" w:sz="8" w:color="auto"/>
            </w:tcBorders>
            <w:gridSpan w:val="2"/>
          </w:tcPr>
          <w:p>
            <w:pPr>
              <w:spacing w:after="0"/>
              <w:rPr>
                <w:sz w:val="10"/>
                <w:szCs w:val="10"/>
                <w:color w:val="auto"/>
              </w:rPr>
            </w:pPr>
          </w:p>
        </w:tc>
        <w:tc>
          <w:tcPr>
            <w:tcW w:w="126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1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36,514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37,172</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37,850</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-1300480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-1300480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-1300480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-1300480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-306070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-306070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-306070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-306070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308" w:lineRule="exact"/>
        <w:rPr>
          <w:sz w:val="20"/>
          <w:szCs w:val="20"/>
          <w:color w:val="auto"/>
        </w:rPr>
      </w:pPr>
    </w:p>
    <w:p>
      <w:pPr>
        <w:ind w:left="580" w:right="40"/>
        <w:spacing w:after="0" w:line="254" w:lineRule="auto"/>
        <w:rPr>
          <w:sz w:val="20"/>
          <w:szCs w:val="20"/>
          <w:color w:val="auto"/>
        </w:rPr>
      </w:pPr>
      <w:r>
        <w:rPr>
          <w:rFonts w:ascii="Times New Roman" w:cs="Times New Roman" w:eastAsia="Times New Roman" w:hAnsi="Times New Roman"/>
          <w:sz w:val="18"/>
          <w:szCs w:val="18"/>
          <w:color w:val="auto"/>
        </w:rPr>
        <w:t>In January 2003, the Financial Accounting Standards Board (FASB) issued FASB Interpretation No. 46 (“FIN 46”) “Consolidation of Variable Interest Entities,” which addresses the reporting and consolidation of variable interest entities as they relate to a business enterprise. This interpretation incorporates and supercedes the guidance set forth in Accounting Research Bulletin (ARB) No. 51, “Consolidated Financial Statements.” It requires the consolidation of variable interest entities into the financial statements of a business enterprise if that enterprise holds a controlling interest via other means than the traditional voting majority. The FASB has amended FIN 46, now known as FIN 46 Revised December 2003 (FIN 46R). The Company adopted this standard during the third quarter of fiscal 2004 which had no impact on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80"/>
        <w:spacing w:after="0" w:line="253" w:lineRule="auto"/>
        <w:rPr>
          <w:sz w:val="20"/>
          <w:szCs w:val="20"/>
          <w:color w:val="auto"/>
        </w:rPr>
      </w:pPr>
      <w:r>
        <w:rPr>
          <w:rFonts w:ascii="Times New Roman" w:cs="Times New Roman" w:eastAsia="Times New Roman" w:hAnsi="Times New Roman"/>
          <w:sz w:val="18"/>
          <w:szCs w:val="18"/>
          <w:color w:val="auto"/>
        </w:rPr>
        <w:t xml:space="preserve">In January 2004, the FASB issued FASB Staff Position (FSP) FAS 106-1, </w:t>
      </w:r>
      <w:r>
        <w:rPr>
          <w:rFonts w:ascii="Times New Roman" w:cs="Times New Roman" w:eastAsia="Times New Roman" w:hAnsi="Times New Roman"/>
          <w:sz w:val="18"/>
          <w:szCs w:val="18"/>
          <w:i w:val="1"/>
          <w:iCs w:val="1"/>
          <w:color w:val="auto"/>
        </w:rPr>
        <w:t>Accounting and Disclosure Requirements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Medicare Prescription Drug, Improvement and Modernization Act of 2003 </w:t>
      </w:r>
      <w:r>
        <w:rPr>
          <w:rFonts w:ascii="Times New Roman" w:cs="Times New Roman" w:eastAsia="Times New Roman" w:hAnsi="Times New Roman"/>
          <w:sz w:val="18"/>
          <w:szCs w:val="18"/>
          <w:color w:val="auto"/>
        </w:rPr>
        <w:t>(Act). The Act introduced a prescription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and federal subsidy to sponsors of retiree health care benefit plans. The Act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SFAS No. 106, “Employers’ Accounting for Postretirement Benefits Other Than Pension,” requires enacted changes in relevant laws to be considered in current period measurements of postretirement benefit costs and accumulated postretirement benefit obligation. The Company provides prescription drug benefits to certain eligible retirees and elected the one-time deferral of accounting for the effects of the Act in the second quarter of 2004.</w:t>
      </w:r>
    </w:p>
    <w:p>
      <w:pPr>
        <w:spacing w:after="0" w:line="226" w:lineRule="exact"/>
        <w:rPr>
          <w:sz w:val="20"/>
          <w:szCs w:val="20"/>
          <w:color w:val="auto"/>
        </w:rPr>
      </w:pPr>
    </w:p>
    <w:p>
      <w:pPr>
        <w:ind w:left="580" w:right="240"/>
        <w:spacing w:after="0" w:line="291" w:lineRule="auto"/>
        <w:rPr>
          <w:sz w:val="20"/>
          <w:szCs w:val="20"/>
          <w:color w:val="auto"/>
        </w:rPr>
      </w:pPr>
      <w:r>
        <w:rPr>
          <w:rFonts w:ascii="Times New Roman" w:cs="Times New Roman" w:eastAsia="Times New Roman" w:hAnsi="Times New Roman"/>
          <w:sz w:val="16"/>
          <w:szCs w:val="16"/>
          <w:color w:val="auto"/>
        </w:rPr>
        <w:t>In May 2004, the FASB issued FSP FAS 106-2 to provide guidance on accounting for the effects of the Act and supercedes FSP FAS 106-1. In addition, this FSP requires employers to provide certain future disclosures in their financial statements regarding the effect of the Act and the related subsidy on postretirement health obligations and net periodic postretirement benefit cost. The Company’s accrued costs and liabilities for these benefits do not reflect any amount associated with the subsidy because the Company has not yet been able to conclude whether the benefits provided by the plan are actuarially equivalent to Medicare Part D under the Act. This FSP is effective for the first interim or annual period beginning after June 15, 2004. The Company is currently evaluating the effect of this Act on its financial statement position and disclosures.</w:t>
      </w:r>
    </w:p>
    <w:p>
      <w:pPr>
        <w:sectPr>
          <w:pgSz w:w="11900" w:h="16838" w:orient="portrait"/>
          <w:cols w:equalWidth="0" w:num="1">
            <w:col w:w="9560"/>
          </w:cols>
          <w:pgMar w:left="1440" w:top="366" w:right="899" w:bottom="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308"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8"/>
          <w:szCs w:val="18"/>
          <w:color w:val="auto"/>
        </w:rPr>
        <w:t>Inventories are valued at the lower of cost or market, with cost being determined under the last-in, first-out (LIFO) method and market defined as net realizable value.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(dollars in thousands):</w:t>
      </w:r>
    </w:p>
    <w:p>
      <w:pPr>
        <w:spacing w:after="0" w:line="23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August 30,</w:t>
            </w:r>
          </w:p>
        </w:tc>
      </w:tr>
      <w:tr>
        <w:trPr>
          <w:trHeight w:val="178"/>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3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3"/>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14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(26,681)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(25,338)</w:t>
            </w:r>
          </w:p>
        </w:tc>
      </w:tr>
      <w:tr>
        <w:trPr>
          <w:trHeight w:val="110"/>
        </w:trPr>
        <w:tc>
          <w:tcPr>
            <w:tcW w:w="3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0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3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5:  Warranties</w:t>
      </w:r>
    </w:p>
    <w:p>
      <w:pPr>
        <w:spacing w:after="0" w:line="308"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Estimated warranty costs are provided at the time of sale of the warranted products. Estimates of future warranty costs are based on prior experience and known current events. The changes in the provision for warranty reserve for the 39 weeks ended May 29, 2004 and May 31, 2003 are as follows (dollars in thousands):</w:t>
      </w:r>
    </w:p>
    <w:p>
      <w:pPr>
        <w:spacing w:after="0" w:line="199"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16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78"/>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9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Claims paid</w:t>
            </w:r>
          </w:p>
        </w:tc>
        <w:tc>
          <w:tcPr>
            <w:tcW w:w="16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(9,014)</w:t>
            </w: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(8,602)</w:t>
            </w:r>
          </w:p>
        </w:tc>
      </w:tr>
      <w:tr>
        <w:trPr>
          <w:trHeight w:val="110"/>
        </w:trPr>
        <w:tc>
          <w:tcPr>
            <w:tcW w:w="29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29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6:  Employee Retirement Plans</w:t>
      </w:r>
    </w:p>
    <w:p>
      <w:pPr>
        <w:spacing w:after="0" w:line="308" w:lineRule="exact"/>
        <w:rPr>
          <w:sz w:val="20"/>
          <w:szCs w:val="20"/>
          <w:color w:val="auto"/>
        </w:rPr>
      </w:pPr>
    </w:p>
    <w:p>
      <w:pPr>
        <w:jc w:val="both"/>
        <w:ind w:left="580" w:right="80"/>
        <w:spacing w:after="0" w:line="258" w:lineRule="auto"/>
        <w:rPr>
          <w:sz w:val="20"/>
          <w:szCs w:val="20"/>
          <w:color w:val="auto"/>
        </w:rPr>
      </w:pPr>
      <w:r>
        <w:rPr>
          <w:rFonts w:ascii="Times New Roman" w:cs="Times New Roman" w:eastAsia="Times New Roman" w:hAnsi="Times New Roman"/>
          <w:sz w:val="18"/>
          <w:szCs w:val="18"/>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their current age. Net postretirement benefit expense consisted of the following components (dollars in thousands):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95"/>
        </w:trPr>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3"/>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1"/>
              </w:rPr>
              <w:t>May 29,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May 31,</w:t>
            </w:r>
          </w:p>
        </w:tc>
        <w:tc>
          <w:tcPr>
            <w:tcW w:w="10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100" w:type="dxa"/>
            <w:vAlign w:val="bottom"/>
          </w:tcPr>
          <w:p>
            <w:pPr>
              <w:spacing w:after="0"/>
              <w:rPr>
                <w:sz w:val="20"/>
                <w:szCs w:val="20"/>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May 31,</w:t>
            </w:r>
          </w:p>
        </w:tc>
      </w:tr>
      <w:tr>
        <w:trPr>
          <w:trHeight w:val="178"/>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110"/>
        </w:trPr>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00" w:right="1000"/>
        <w:spacing w:after="0" w:line="277" w:lineRule="auto"/>
        <w:rPr>
          <w:sz w:val="20"/>
          <w:szCs w:val="20"/>
          <w:color w:val="auto"/>
        </w:rPr>
      </w:pPr>
      <w:r>
        <w:rPr>
          <w:rFonts w:ascii="Times New Roman" w:cs="Times New Roman" w:eastAsia="Times New Roman" w:hAnsi="Times New Roman"/>
          <w:sz w:val="18"/>
          <w:szCs w:val="18"/>
          <w:color w:val="auto"/>
        </w:rPr>
        <w:t>The Company has paid approximately $509,000 in net postretirement benefit expense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for the 39 weeks ended May 29, 2004.</w:t>
      </w:r>
    </w:p>
    <w:p>
      <w:pPr>
        <w:spacing w:after="0" w:line="2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7:  Contingent Liabilities and Commitments</w:t>
      </w:r>
    </w:p>
    <w:p>
      <w:pPr>
        <w:spacing w:after="0" w:line="3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Repurchase Commitments.</w:t>
      </w:r>
    </w:p>
    <w:p>
      <w:pPr>
        <w:sectPr>
          <w:pgSz w:w="11900" w:h="16838" w:orient="portrait"/>
          <w:cols w:equalWidth="0" w:num="1">
            <w:col w:w="9500"/>
          </w:cols>
          <w:pgMar w:left="1440" w:top="650" w:right="959" w:bottom="0" w:gutter="0" w:footer="0" w:header="0"/>
        </w:sectPr>
      </w:pPr>
    </w:p>
    <w:bookmarkStart w:id="8" w:name="page9"/>
    <w:bookmarkEnd w:id="8"/>
    <w:p>
      <w:pPr>
        <w:ind w:left="100" w:right="399"/>
        <w:spacing w:after="0" w:line="275" w:lineRule="auto"/>
        <w:rPr>
          <w:sz w:val="20"/>
          <w:szCs w:val="20"/>
          <w:color w:val="auto"/>
        </w:rPr>
      </w:pPr>
      <w:r>
        <w:rPr>
          <w:rFonts w:ascii="Times New Roman" w:cs="Times New Roman" w:eastAsia="Times New Roman" w:hAnsi="Times New Roman"/>
          <w:sz w:val="18"/>
          <w:szCs w:val="18"/>
          <w:color w:val="auto"/>
        </w:rPr>
        <w:t>It is customary practice for companies in the recreation vehicle industry to enter into repurchase agreements with lending institutions which have provided wholesale floorplan financing to dealers.</w:t>
      </w:r>
    </w:p>
    <w:p>
      <w:pPr>
        <w:spacing w:after="0" w:line="174" w:lineRule="exact"/>
        <w:rPr>
          <w:sz w:val="20"/>
          <w:szCs w:val="20"/>
          <w:color w:val="auto"/>
        </w:rPr>
      </w:pPr>
    </w:p>
    <w:p>
      <w:pPr>
        <w:ind w:left="100" w:right="99"/>
        <w:spacing w:after="0" w:line="253" w:lineRule="auto"/>
        <w:rPr>
          <w:sz w:val="20"/>
          <w:szCs w:val="20"/>
          <w:color w:val="auto"/>
        </w:rPr>
      </w:pPr>
      <w:r>
        <w:rPr>
          <w:rFonts w:ascii="Times New Roman" w:cs="Times New Roman" w:eastAsia="Times New Roman" w:hAnsi="Times New Roman"/>
          <w:sz w:val="18"/>
          <w:szCs w:val="18"/>
          <w:color w:val="auto"/>
        </w:rPr>
        <w:t>Most dealers are financed on a “floorplan” basis under which a bank or finance company lends the dealer all, or substantially all, of the purchase price, collateralized by a security interest in the merchandise purchased.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$363,567,000 and $245,701,000 at May 29, 2004 and August 30, 2003, respectively. The Company’s actual losses under these repurchase agreements were approximately $-0- and $66,000 during the 39 weeks ended May 29, 2004 and May 31, 2003, respectively.</w:t>
      </w:r>
    </w:p>
    <w:p>
      <w:pPr>
        <w:spacing w:after="0" w:line="193" w:lineRule="exact"/>
        <w:rPr>
          <w:sz w:val="20"/>
          <w:szCs w:val="20"/>
          <w:color w:val="auto"/>
        </w:rPr>
      </w:pPr>
    </w:p>
    <w:p>
      <w:pPr>
        <w:ind w:left="100" w:right="299"/>
        <w:spacing w:after="0" w:line="258" w:lineRule="auto"/>
        <w:rPr>
          <w:sz w:val="20"/>
          <w:szCs w:val="20"/>
          <w:color w:val="auto"/>
        </w:rPr>
      </w:pPr>
      <w:r>
        <w:rPr>
          <w:rFonts w:ascii="Times New Roman" w:cs="Times New Roman" w:eastAsia="Times New Roman" w:hAnsi="Times New Roman"/>
          <w:sz w:val="18"/>
          <w:szCs w:val="18"/>
          <w:color w:val="auto"/>
        </w:rPr>
        <w:t>Included in these contingent liabilities are certain dealer receivables subject to full recourse to the Company with Bank of America Specialty Group. Contingent liabilities under these recourse agreements were $-0- and $898,000 at May 29, 2004 and August 30, 2003, respectively. The Company’s actual losses under these recourse agreements were approximately $40,000 and $-0- during the 39 weeks ended May 29, 2004 and May 31, 2003, respectively.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right="119"/>
        <w:spacing w:after="0" w:line="293" w:lineRule="auto"/>
        <w:rPr>
          <w:sz w:val="20"/>
          <w:szCs w:val="20"/>
          <w:color w:val="auto"/>
        </w:rPr>
      </w:pPr>
      <w:r>
        <w:rPr>
          <w:rFonts w:ascii="Times New Roman" w:cs="Times New Roman" w:eastAsia="Times New Roman" w:hAnsi="Times New Roman"/>
          <w:sz w:val="16"/>
          <w:szCs w:val="16"/>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 under this agreement was approximately $1,893,000 and $2,366,000 at May 29, 2004 and August 30, 2003, respectively. The Company did not incur any actual losses under this repurchase agreement during the 39 weeks ended May 29, 2004 and May 31, 2003. The initial agreement covered a two year period with the option, subject to annual renewal, in the discretion of the parties thereto. The agreement was renewed as of February 1, 2004.</w:t>
      </w:r>
    </w:p>
    <w:p>
      <w:pPr>
        <w:spacing w:after="0" w:line="165" w:lineRule="exact"/>
        <w:rPr>
          <w:sz w:val="20"/>
          <w:szCs w:val="20"/>
          <w:color w:val="auto"/>
        </w:rPr>
      </w:pPr>
    </w:p>
    <w:p>
      <w:pPr>
        <w:ind w:left="100" w:right="199"/>
        <w:spacing w:after="0" w:line="262" w:lineRule="auto"/>
        <w:rPr>
          <w:sz w:val="20"/>
          <w:szCs w:val="20"/>
          <w:color w:val="auto"/>
        </w:rPr>
      </w:pPr>
      <w:r>
        <w:rPr>
          <w:rFonts w:ascii="Times New Roman" w:cs="Times New Roman" w:eastAsia="Times New Roman" w:hAnsi="Times New Roman"/>
          <w:sz w:val="18"/>
          <w:szCs w:val="18"/>
          <w:color w:val="auto"/>
        </w:rPr>
        <w:t>The Company records repurchase and recourse reserves based on prior experience and known current events. The combined repurchase and recourse reserve balances are approximately $306,000 and $241,000 as of May 29, 2004 and August 30, 2003, respectively.</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308" w:lineRule="exact"/>
        <w:rPr>
          <w:sz w:val="20"/>
          <w:szCs w:val="20"/>
          <w:color w:val="auto"/>
        </w:rPr>
      </w:pPr>
    </w:p>
    <w:p>
      <w:pPr>
        <w:ind w:left="100" w:right="99"/>
        <w:spacing w:after="0" w:line="252" w:lineRule="auto"/>
        <w:rPr>
          <w:sz w:val="20"/>
          <w:szCs w:val="20"/>
          <w:color w:val="auto"/>
        </w:rPr>
      </w:pPr>
      <w:r>
        <w:rPr>
          <w:rFonts w:ascii="Times New Roman" w:cs="Times New Roman" w:eastAsia="Times New Roman" w:hAnsi="Times New Roman"/>
          <w:sz w:val="18"/>
          <w:szCs w:val="18"/>
          <w:color w:val="auto"/>
        </w:rPr>
        <w:t>During the second quarter of fiscal 2002, the Company entered into a five year services agreement (the “Agreement”) with one of its suppliers (the “Supplier”) and the Forest City Economic Development, Inc., an Iowa non-profit corporation (the “FCED”), requiring the Supplier to provide RV paint services to the Company. Two of Winnebago’s officers have board seats on the 20 member FCED board. The FCED constructed and debt financed a paint facility on its land adjoining one of the Company’s manufacturing plants for the 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the Company. As of May 29, 2004, the Supplier is current with its lease payment obligations to the FCED with approximately $3,829,000 (principal and interest) remaining to be paid through August 2012. Also, under the terms of the Agreement in the event of a default by the Supplier, the Company would be obligated to purchase from the Supplier approximately $750,000 of equipment installed in the paint facility at net book value and is obligated to assume payment obligations for approximately $45,000 in capital equipment leases.</w:t>
      </w:r>
    </w:p>
    <w:p>
      <w:pPr>
        <w:spacing w:after="0" w:line="201" w:lineRule="exact"/>
        <w:rPr>
          <w:sz w:val="20"/>
          <w:szCs w:val="20"/>
          <w:color w:val="auto"/>
        </w:rPr>
      </w:pPr>
    </w:p>
    <w:p>
      <w:pPr>
        <w:ind w:left="100" w:right="299"/>
        <w:spacing w:after="0" w:line="262" w:lineRule="auto"/>
        <w:rPr>
          <w:sz w:val="20"/>
          <w:szCs w:val="20"/>
          <w:color w:val="auto"/>
        </w:rPr>
      </w:pPr>
      <w:r>
        <w:rPr>
          <w:rFonts w:ascii="Times New Roman" w:cs="Times New Roman" w:eastAsia="Times New Roman" w:hAnsi="Times New Roman"/>
          <w:sz w:val="18"/>
          <w:szCs w:val="18"/>
          <w:color w:val="auto"/>
        </w:rPr>
        <w:t>Also in the second quarter of fiscal 2002, the Company guaranteed $700,000 of the FCED $2,200,000 bank debt for the construction of the paint facility leased by the Supplier. The Company also pledged a $500,000 certificate of deposit to the bank to collateralize a portion of its $700,000 guarantee.</w:t>
      </w:r>
    </w:p>
    <w:p>
      <w:pPr>
        <w:spacing w:after="0" w:line="186" w:lineRule="exact"/>
        <w:rPr>
          <w:sz w:val="20"/>
          <w:szCs w:val="20"/>
          <w:color w:val="auto"/>
        </w:rPr>
      </w:pPr>
    </w:p>
    <w:p>
      <w:pPr>
        <w:ind w:left="100" w:right="99"/>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2004, the debt obligations for the FCED’s paint facility were renegotiated from $2,200,000 to $2,925,000 and as part of this transaction, the Company executed a new guaranty whereby the amount of the guarantee was reduced from $700,000 to $500,000 with the Company continuing to agree to pledge a $500,000 certificate of deposit to the bank. The term of the guarantee coincides with the payment of the first $500,000 of lease obligations of the Supplier scheduled to be paid by February of 2006. As a result of the new guarantee, the Company recorded a $500,000 liability in the first quarter of fiscal 2004 which will be amortized as the FCED makes its monthly debt payments funded by monthly lease payments from the Supplier.</w:t>
      </w:r>
    </w:p>
    <w:p>
      <w:pPr>
        <w:spacing w:after="0" w:line="195" w:lineRule="exact"/>
        <w:rPr>
          <w:sz w:val="20"/>
          <w:szCs w:val="20"/>
          <w:color w:val="auto"/>
        </w:rPr>
      </w:pPr>
    </w:p>
    <w:p>
      <w:pPr>
        <w:ind w:left="100" w:right="139"/>
        <w:spacing w:after="0" w:line="288" w:lineRule="auto"/>
        <w:rPr>
          <w:sz w:val="20"/>
          <w:szCs w:val="20"/>
          <w:color w:val="auto"/>
        </w:rPr>
      </w:pPr>
      <w:r>
        <w:rPr>
          <w:rFonts w:ascii="Times New Roman" w:cs="Times New Roman" w:eastAsia="Times New Roman" w:hAnsi="Times New Roman"/>
          <w:sz w:val="16"/>
          <w:szCs w:val="16"/>
          <w:color w:val="auto"/>
        </w:rPr>
        <w:t>During the second quarter of fiscal 2004, the Company entered into a five-year limited guaranty agreement (“Guarantee Agreement”) with a leasing corporation (“Landlord”) and the Supplier. The Landlord will construct a paint facility for the Supplier through debt financing on land adjoining one of the Company’s manufacturing plants. The Landlord and the Supplier have signed a ten-year lease agreement that is to commence when the paint facility is completed. The cost of the facility is currently expected to be approximately $2,200,000. The Guarantee Agreement states that the Company will guarantee interest only payments due from the Supplier during the construction phase of the paint facility (first payment commencing April 1, 2004) and the first 60 monthly lease payments (totaling approximately $1,559,000 of principal and interest) once the lease commences. As of May 29, 2004, no liability has been recorded for the Guarantee because there was no significant unpaid interest on the construction loan and the lease has not yet commenced as the construction of the facility has not been completed. Construction of the paint facility is currently expected to be completed by September 2004.</w:t>
      </w:r>
    </w:p>
    <w:p>
      <w:pPr>
        <w:sectPr>
          <w:pgSz w:w="11900" w:h="16838" w:orient="portrait"/>
          <w:cols w:equalWidth="0" w:num="1">
            <w:col w:w="9019"/>
          </w:cols>
          <w:pgMar w:left="1440" w:top="125" w:right="1440" w:bottom="0" w:gutter="0" w:footer="0" w:header="0"/>
        </w:sectPr>
      </w:pPr>
    </w:p>
    <w:bookmarkStart w:id="9" w:name="page10"/>
    <w:bookmarkEnd w:id="9"/>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08" w:lineRule="exact"/>
        <w:rPr>
          <w:sz w:val="20"/>
          <w:szCs w:val="20"/>
          <w:color w:val="auto"/>
        </w:rPr>
      </w:pPr>
    </w:p>
    <w:p>
      <w:pPr>
        <w:jc w:val="both"/>
        <w:ind w:left="100" w:right="720"/>
        <w:spacing w:after="0" w:line="258" w:lineRule="auto"/>
        <w:rPr>
          <w:sz w:val="20"/>
          <w:szCs w:val="20"/>
          <w:color w:val="auto"/>
        </w:rPr>
      </w:pPr>
      <w:r>
        <w:rPr>
          <w:rFonts w:ascii="Times New Roman" w:cs="Times New Roman" w:eastAsia="Times New Roman" w:hAnsi="Times New Roman"/>
          <w:sz w:val="18"/>
          <w:szCs w:val="18"/>
          <w:color w:val="auto"/>
        </w:rPr>
        <w:t>Certain legal proceedings in which the Company is involved are more fully described in the Company’s Annual Report on Form 10-K for the year ended August 30, 2003, as such description may be updated in subsequently filed quarterly reports for material developments, if any, concerning such legal proceedings since the end of the prior fiscal quarter and should be read in conjunction with such earlier Annual Report or subsequently filed quarterly reports.</w:t>
      </w:r>
    </w:p>
    <w:p>
      <w:pPr>
        <w:spacing w:after="0" w:line="190" w:lineRule="exact"/>
        <w:rPr>
          <w:sz w:val="20"/>
          <w:szCs w:val="20"/>
          <w:color w:val="auto"/>
        </w:rPr>
      </w:pPr>
    </w:p>
    <w:p>
      <w:pPr>
        <w:ind w:left="100" w:right="74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which are ordinary routine litigation to this business, some of which are covered in whole or in part by insurance. While it is impossible to estimate with certainty the ultimate legal and financial liability which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The Company has settled all claims raised in a lawsuit titled </w:t>
      </w:r>
      <w:r>
        <w:rPr>
          <w:rFonts w:ascii="Times New Roman" w:cs="Times New Roman" w:eastAsia="Times New Roman" w:hAnsi="Times New Roman"/>
          <w:sz w:val="18"/>
          <w:szCs w:val="18"/>
          <w:u w:val="single" w:color="auto"/>
          <w:color w:val="auto"/>
        </w:rPr>
        <w:t>Sanft, et al vs. Winnebago Industries, Inc., et al</w:t>
      </w:r>
      <w:r>
        <w:rPr>
          <w:rFonts w:ascii="Times New Roman" w:cs="Times New Roman" w:eastAsia="Times New Roman" w:hAnsi="Times New Roman"/>
          <w:sz w:val="18"/>
          <w:szCs w:val="18"/>
          <w:color w:val="auto"/>
        </w:rPr>
        <w:t xml:space="preserve"> involving 21</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participants in the Winnebago Industries, Inc. Deferred Compensation Plan and the Winnebago Industries, Inc. Deferred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Incentive Formula Bonus Plan (the “Plans”). The Plaintiffs were seeking to negate certain amendments made to the Plans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1994 which reduced the benefits which some participants would receive under the Plans. The settlement will result in 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partial reinstatement of the alleged lost benefits and will have a present value cost to the Company of approximately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$5,300,000. Additionally, the Company has voluntarily decided to provide the same benefits to an additional 22 non-plaintiff</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participants in the Plans and this will create an additional present value cost to the Company of approximately $2,040,000.</w:t>
      </w:r>
    </w:p>
    <w:p>
      <w:pPr>
        <w:spacing w:after="0" w:line="213" w:lineRule="exact"/>
        <w:rPr>
          <w:sz w:val="20"/>
          <w:szCs w:val="20"/>
          <w:color w:val="auto"/>
        </w:rPr>
      </w:pPr>
    </w:p>
    <w:p>
      <w:pPr>
        <w:ind w:left="100" w:right="720"/>
        <w:spacing w:after="0" w:line="258" w:lineRule="auto"/>
        <w:rPr>
          <w:sz w:val="20"/>
          <w:szCs w:val="20"/>
          <w:color w:val="auto"/>
        </w:rPr>
      </w:pPr>
      <w:r>
        <w:rPr>
          <w:rFonts w:ascii="Times New Roman" w:cs="Times New Roman" w:eastAsia="Times New Roman" w:hAnsi="Times New Roman"/>
          <w:sz w:val="18"/>
          <w:szCs w:val="18"/>
          <w:color w:val="auto"/>
        </w:rPr>
        <w:t>The total pre-tax charge recorded in the third quarter of the Company’s 2004 fiscal year was $7,340,000, which on an after tax basis equated to approximately $4,590,000, or approximately 13 cents per diluted share. The Company believes that approximately $1,300,000 will be paid out in the Company’s fourth fiscal quarter with the balance of the settlement to be paid out in monthly increments over a 15-year period.</w:t>
      </w:r>
    </w:p>
    <w:p>
      <w:pPr>
        <w:spacing w:after="0" w:line="2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8:  Supplemental Cash Flow Disclosure</w:t>
      </w:r>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periods indicated, the Company paid cash for the following (dollars in thousands):</w:t>
      </w:r>
    </w:p>
    <w:p>
      <w:pPr>
        <w:spacing w:after="0" w:line="250" w:lineRule="exact"/>
        <w:rPr>
          <w:sz w:val="20"/>
          <w:szCs w:val="20"/>
          <w:color w:val="auto"/>
        </w:rPr>
      </w:pPr>
    </w:p>
    <w:tbl>
      <w:tblPr>
        <w:tblLayout w:type="fixed"/>
        <w:tblInd w:w="182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95"/>
        </w:trPr>
        <w:tc>
          <w:tcPr>
            <w:tcW w:w="3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33"/>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w w:val="95"/>
              </w:rPr>
              <w:t>May 29,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5"/>
              </w:rPr>
              <w:t>May 31,</w:t>
            </w:r>
          </w:p>
        </w:tc>
      </w:tr>
      <w:tr>
        <w:trPr>
          <w:trHeight w:val="178"/>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95"/>
        </w:trPr>
        <w:tc>
          <w:tcPr>
            <w:tcW w:w="3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30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r>
    </w:tbl>
    <w:p>
      <w:pPr>
        <w:spacing w:after="0" w:line="200" w:lineRule="exact"/>
        <w:rPr>
          <w:sz w:val="20"/>
          <w:szCs w:val="20"/>
          <w:color w:val="auto"/>
        </w:rPr>
      </w:pPr>
    </w:p>
    <w:p>
      <w:pPr>
        <w:spacing w:after="0" w:line="3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9:  Stock Split Effected and Dividend Declared</w:t>
      </w:r>
    </w:p>
    <w:p>
      <w:pPr>
        <w:spacing w:after="0" w:line="308"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8"/>
          <w:szCs w:val="18"/>
          <w:color w:val="auto"/>
        </w:rPr>
        <w:t>On January 14, 2004, the Board of Directors approved a 2 for 1 split of the Company’s common stock effective on March 5, 2004 to shareholders of record on February 20, 2004. The stock split was effected in the form of a 100 percent stock dividend. On March 18, 2004, the Board of Directors declared a cash dividend of $.05 per common share payable July 6, 2004 to shareholders of record on June 4, 2004.</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10:  Repurchase of Outstanding Stock</w:t>
      </w:r>
    </w:p>
    <w:p>
      <w:pPr>
        <w:spacing w:after="0" w:line="308" w:lineRule="exact"/>
        <w:rPr>
          <w:sz w:val="20"/>
          <w:szCs w:val="20"/>
          <w:color w:val="auto"/>
        </w:rPr>
      </w:pPr>
    </w:p>
    <w:p>
      <w:pPr>
        <w:ind w:left="580" w:right="40"/>
        <w:spacing w:after="0" w:line="262" w:lineRule="auto"/>
        <w:rPr>
          <w:sz w:val="20"/>
          <w:szCs w:val="20"/>
          <w:color w:val="auto"/>
        </w:rPr>
      </w:pPr>
      <w:r>
        <w:rPr>
          <w:rFonts w:ascii="Times New Roman" w:cs="Times New Roman" w:eastAsia="Times New Roman" w:hAnsi="Times New Roman"/>
          <w:sz w:val="18"/>
          <w:szCs w:val="18"/>
          <w:color w:val="auto"/>
        </w:rPr>
        <w:t>On March 19, 2003, the Board of Directors authorized the repurchase of outstanding shares of the Company’s common stock, depending on market conditions, for an aggregate purchase price of up to $20 million. As of May 29, 2004, 730,432 shares (384,533 shares during fiscal 2004) had been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80" w:right="560"/>
        <w:spacing w:after="0" w:line="275" w:lineRule="auto"/>
        <w:rPr>
          <w:sz w:val="20"/>
          <w:szCs w:val="20"/>
          <w:color w:val="auto"/>
        </w:rPr>
      </w:pPr>
      <w:r>
        <w:rPr>
          <w:rFonts w:ascii="Times New Roman" w:cs="Times New Roman" w:eastAsia="Times New Roman" w:hAnsi="Times New Roman"/>
          <w:sz w:val="18"/>
          <w:szCs w:val="18"/>
          <w:color w:val="auto"/>
        </w:rPr>
        <w:t>repurchased for an aggregate consideration of approximately $19,989,000 ($10,289,000 during fiscal 2004) under this authorization. This authorization was terminated as of May 29, 2004.</w:t>
      </w:r>
    </w:p>
    <w:p>
      <w:pPr>
        <w:spacing w:after="0" w:line="201" w:lineRule="exact"/>
        <w:rPr>
          <w:sz w:val="20"/>
          <w:szCs w:val="20"/>
          <w:color w:val="auto"/>
        </w:rPr>
      </w:pPr>
    </w:p>
    <w:p>
      <w:pPr>
        <w:ind w:left="580" w:right="300"/>
        <w:spacing w:after="0" w:line="262" w:lineRule="auto"/>
        <w:rPr>
          <w:sz w:val="20"/>
          <w:szCs w:val="20"/>
          <w:color w:val="auto"/>
        </w:rPr>
      </w:pPr>
      <w:r>
        <w:rPr>
          <w:rFonts w:ascii="Times New Roman" w:cs="Times New Roman" w:eastAsia="Times New Roman" w:hAnsi="Times New Roman"/>
          <w:sz w:val="18"/>
          <w:szCs w:val="18"/>
          <w:color w:val="auto"/>
        </w:rPr>
        <w:t>In October 2003, pursuant to an authorization of the Board of Directors, the Company repurchased 2,900,000 shares of its common stock from Hanson Capital Partners, LLC. The shares were repurchased for an aggregate purchase price of approximately $63,979,000.</w:t>
      </w:r>
    </w:p>
    <w:p>
      <w:pPr>
        <w:sectPr>
          <w:pgSz w:w="11900" w:h="16838" w:orient="portrait"/>
          <w:cols w:equalWidth="0" w:num="1">
            <w:col w:w="9440"/>
          </w:cols>
          <w:pgMar w:left="1440" w:top="584" w:right="1019" w:bottom="0" w:gutter="0" w:footer="0" w:header="0"/>
        </w:sectPr>
      </w:pPr>
    </w:p>
    <w:bookmarkStart w:id="10" w:name="page11"/>
    <w:bookmarkEnd w:id="10"/>
    <w:p>
      <w:pPr>
        <w:spacing w:after="0" w:line="92" w:lineRule="exact"/>
        <w:rPr>
          <w:sz w:val="20"/>
          <w:szCs w:val="20"/>
          <w:color w:val="auto"/>
        </w:rPr>
      </w:pPr>
    </w:p>
    <w:p>
      <w:pPr>
        <w:ind w:left="580" w:right="280"/>
        <w:spacing w:after="0" w:line="275" w:lineRule="auto"/>
        <w:rPr>
          <w:sz w:val="20"/>
          <w:szCs w:val="20"/>
          <w:color w:val="auto"/>
        </w:rPr>
      </w:pPr>
      <w:r>
        <w:rPr>
          <w:rFonts w:ascii="Times New Roman" w:cs="Times New Roman" w:eastAsia="Times New Roman" w:hAnsi="Times New Roman"/>
          <w:sz w:val="18"/>
          <w:szCs w:val="18"/>
          <w:color w:val="auto"/>
        </w:rPr>
        <w:t>On June 16, 2004, the Board of Directors authorized the repurchase of outstanding shares of the Company’s common stock, depending on market conditions, for an aggregate of up to $30 million.</w:t>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11:  Income Per Share</w:t>
      </w:r>
    </w:p>
    <w:p>
      <w:pPr>
        <w:spacing w:after="0" w:line="295"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earnings per share for the 13 and 39 weeks ended May 29, 2004 and May 31, 2003.</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166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5"/>
              </w:rPr>
              <w:t>Thirty-Nine Weeks Ended</w:t>
            </w: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5"/>
              </w:rPr>
              <w:t>May 29,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5"/>
              </w:rPr>
              <w:t>May 31,</w:t>
            </w:r>
          </w:p>
        </w:tc>
        <w:tc>
          <w:tcPr>
            <w:tcW w:w="12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5"/>
              </w:rPr>
              <w:t>May 29,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5"/>
              </w:rPr>
              <w:t>May 31,</w:t>
            </w:r>
          </w:p>
        </w:tc>
        <w:tc>
          <w:tcPr>
            <w:tcW w:w="0" w:type="dxa"/>
            <w:vAlign w:val="bottom"/>
          </w:tcPr>
          <w:p>
            <w:pPr>
              <w:spacing w:after="0"/>
              <w:rPr>
                <w:sz w:val="1"/>
                <w:szCs w:val="1"/>
                <w:color w:val="auto"/>
              </w:rPr>
            </w:pPr>
          </w:p>
        </w:tc>
      </w:tr>
      <w:tr>
        <w:trPr>
          <w:trHeight w:val="178"/>
        </w:trPr>
        <w:tc>
          <w:tcPr>
            <w:tcW w:w="54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Earnings per share - basic</w:t>
            </w:r>
          </w:p>
        </w:tc>
        <w:tc>
          <w:tcPr>
            <w:tcW w:w="3580" w:type="dxa"/>
            <w:vAlign w:val="bottom"/>
            <w:gridSpan w:val="2"/>
            <w:vMerge w:val="restart"/>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820" w:type="dxa"/>
            <w:vAlign w:val="bottom"/>
            <w:tcBorders>
              <w:bottom w:val="single" w:sz="8" w:color="auto"/>
            </w:tcBorders>
            <w:vMerge w:val="continue"/>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of taxes)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36,514</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1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7"/>
              </w:rPr>
              <w:t>Earnings per share - assuming dilution</w:t>
            </w:r>
          </w:p>
        </w:tc>
        <w:tc>
          <w:tcPr>
            <w:tcW w:w="2680" w:type="dxa"/>
            <w:vAlign w:val="bottom"/>
            <w:vMerge w:val="restart"/>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720" w:type="dxa"/>
            <w:vAlign w:val="bottom"/>
            <w:tcBorders>
              <w:bottom w:val="single" w:sz="8" w:color="auto"/>
            </w:tcBorders>
            <w:gridSpan w:val="2"/>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of taxes)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36,514</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0" w:type="dxa"/>
            <w:vAlign w:val="bottom"/>
          </w:tcPr>
          <w:p>
            <w:pPr>
              <w:spacing w:after="0"/>
              <w:rPr>
                <w:sz w:val="1"/>
                <w:szCs w:val="1"/>
                <w:color w:val="auto"/>
              </w:rPr>
            </w:pPr>
          </w:p>
        </w:tc>
      </w:tr>
      <w:tr>
        <w:trPr>
          <w:trHeight w:val="22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Dilutive impact of options outstanding</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110"/>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&amp; potential</w:t>
            </w: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4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37,098</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assuming dilution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69850</wp:posOffset>
            </wp:positionV>
            <wp:extent cx="24612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7" w:lineRule="exact"/>
        <w:rPr>
          <w:sz w:val="20"/>
          <w:szCs w:val="20"/>
          <w:color w:val="auto"/>
        </w:rPr>
      </w:pPr>
    </w:p>
    <w:p>
      <w:pPr>
        <w:ind w:left="580" w:right="300"/>
        <w:spacing w:after="0" w:line="262" w:lineRule="auto"/>
        <w:rPr>
          <w:sz w:val="20"/>
          <w:szCs w:val="20"/>
          <w:color w:val="auto"/>
        </w:rPr>
      </w:pPr>
      <w:r>
        <w:rPr>
          <w:rFonts w:ascii="Times New Roman" w:cs="Times New Roman" w:eastAsia="Times New Roman" w:hAnsi="Times New Roman"/>
          <w:sz w:val="18"/>
          <w:szCs w:val="18"/>
          <w:color w:val="auto"/>
        </w:rPr>
        <w:t>There were options outstanding to purchase 44,000 shares of common stock at a price of $34.855 per share, which were not included in the computation of diluted earnings per share during the 13 weeks ended May 29, 2004 because the options’ exercise price was greater than the average market price of the common stock.</w:t>
      </w:r>
    </w:p>
    <w:p>
      <w:pPr>
        <w:spacing w:after="0" w:line="213" w:lineRule="exact"/>
        <w:rPr>
          <w:sz w:val="20"/>
          <w:szCs w:val="20"/>
          <w:color w:val="auto"/>
        </w:rPr>
      </w:pPr>
    </w:p>
    <w:p>
      <w:pPr>
        <w:ind w:left="580" w:right="40"/>
        <w:spacing w:after="0" w:line="258" w:lineRule="auto"/>
        <w:rPr>
          <w:sz w:val="20"/>
          <w:szCs w:val="20"/>
          <w:color w:val="auto"/>
        </w:rPr>
      </w:pPr>
      <w:r>
        <w:rPr>
          <w:rFonts w:ascii="Times New Roman" w:cs="Times New Roman" w:eastAsia="Times New Roman" w:hAnsi="Times New Roman"/>
          <w:sz w:val="18"/>
          <w:szCs w:val="18"/>
          <w:color w:val="auto"/>
        </w:rPr>
        <w:t>For the 13 weeks ended May 31, 2003, there were options outstanding to purchase 28,000 shares of common stock at a price of $19.7375 per share, 369,600 shares of common stock at a purchase price of $18.25 per share and 28,000 shares of common stock at a purchase price of $18.8425, which were not included in the computation of diluted earnings per share because the options’ exercise price was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FORWARD LOOKING INFORMATION</w:t>
      </w:r>
    </w:p>
    <w:p>
      <w:pPr>
        <w:spacing w:after="0" w:line="308" w:lineRule="exact"/>
        <w:rPr>
          <w:sz w:val="20"/>
          <w:szCs w:val="20"/>
          <w:color w:val="auto"/>
        </w:rPr>
      </w:pPr>
    </w:p>
    <w:p>
      <w:pPr>
        <w:ind w:left="100" w:right="8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statements which may constitute “forward-looking statements” as defined in the Private Securities Litigation Reform Act of 1995. Forward-looking statements regarding future events and the future performance of the Company involve risks and uncertainties that could cause actual results to differ materially. These risks and uncertainties include, without limitation, reactions to actual or threatened terrorist attacks, the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95" w:lineRule="exact"/>
        <w:rPr>
          <w:sz w:val="20"/>
          <w:szCs w:val="20"/>
          <w:color w:val="auto"/>
        </w:rPr>
      </w:pPr>
    </w:p>
    <w:p>
      <w:pPr>
        <w:ind w:left="100" w:right="820"/>
        <w:spacing w:after="0" w:line="339" w:lineRule="auto"/>
        <w:rPr>
          <w:sz w:val="20"/>
          <w:szCs w:val="20"/>
          <w:color w:val="auto"/>
        </w:rPr>
      </w:pPr>
      <w:r>
        <w:rPr>
          <w:rFonts w:ascii="Times New Roman" w:cs="Times New Roman" w:eastAsia="Times New Roman" w:hAnsi="Times New Roman"/>
          <w:sz w:val="16"/>
          <w:szCs w:val="16"/>
          <w:color w:val="auto"/>
        </w:rPr>
        <w:t>Although management believes that the expectations reflected in the forward-looking statements are reasonable, we cannot guarantee future results, levels of activity, performance or achievements. Undue reliance should not be placed on these</w:t>
      </w:r>
    </w:p>
    <w:p>
      <w:pPr>
        <w:sectPr>
          <w:pgSz w:w="11900" w:h="16930" w:orient="portrait"/>
          <w:cols w:equalWidth="0" w:num="1">
            <w:col w:w="9560"/>
          </w:cols>
          <w:pgMar w:left="1440" w:top="125" w:right="899" w:bottom="0" w:gutter="0" w:footer="0" w:header="0"/>
        </w:sectPr>
      </w:pPr>
    </w:p>
    <w:bookmarkStart w:id="11" w:name="page12"/>
    <w:bookmarkEnd w:id="11"/>
    <w:p>
      <w:pPr>
        <w:jc w:val="both"/>
        <w:ind w:left="100" w:right="159"/>
        <w:spacing w:after="0" w:line="262" w:lineRule="auto"/>
        <w:rPr>
          <w:sz w:val="20"/>
          <w:szCs w:val="20"/>
          <w:color w:val="auto"/>
        </w:rPr>
      </w:pPr>
      <w:r>
        <w:rPr>
          <w:rFonts w:ascii="Times New Roman" w:cs="Times New Roman" w:eastAsia="Times New Roman" w:hAnsi="Times New Roman"/>
          <w:sz w:val="18"/>
          <w:szCs w:val="18"/>
          <w:color w:val="auto"/>
        </w:rPr>
        <w:t>forward-looking statements, which speak only as of the date of this report. Winnebago Industries undertakes no obligation to publicly update or revise any forward-looking statements whether as a result of new information, future events or otherwise, except as required by law or the rules of the New York Stock Exchange.</w:t>
      </w:r>
    </w:p>
    <w:p>
      <w:pPr>
        <w:spacing w:after="0" w:line="186" w:lineRule="exact"/>
        <w:rPr>
          <w:sz w:val="20"/>
          <w:szCs w:val="20"/>
          <w:color w:val="auto"/>
        </w:rPr>
      </w:pPr>
    </w:p>
    <w:p>
      <w:pPr>
        <w:ind w:left="100" w:right="399"/>
        <w:spacing w:after="0" w:line="275" w:lineRule="auto"/>
        <w:rPr>
          <w:sz w:val="20"/>
          <w:szCs w:val="20"/>
          <w:color w:val="auto"/>
        </w:rPr>
      </w:pPr>
      <w:r>
        <w:rPr>
          <w:rFonts w:ascii="Times New Roman" w:cs="Times New Roman" w:eastAsia="Times New Roman" w:hAnsi="Times New Roman"/>
          <w:sz w:val="18"/>
          <w:szCs w:val="18"/>
          <w:color w:val="auto"/>
        </w:rPr>
        <w:t>It is suggested that this management’s discussion be read in conjunction with the Management’s Discussion and Analysis included in the Company’s Annual Report to Shareholders for the year ended August 30, 2003.</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308" w:lineRule="exact"/>
        <w:rPr>
          <w:sz w:val="20"/>
          <w:szCs w:val="20"/>
          <w:color w:val="auto"/>
        </w:rPr>
      </w:pPr>
    </w:p>
    <w:p>
      <w:pPr>
        <w:jc w:val="both"/>
        <w:ind w:left="100" w:right="219"/>
        <w:spacing w:after="0" w:line="301" w:lineRule="auto"/>
        <w:rPr>
          <w:sz w:val="20"/>
          <w:szCs w:val="20"/>
          <w:color w:val="auto"/>
        </w:rPr>
      </w:pPr>
      <w:r>
        <w:rPr>
          <w:rFonts w:ascii="Times New Roman" w:cs="Times New Roman" w:eastAsia="Times New Roman" w:hAnsi="Times New Roman"/>
          <w:sz w:val="16"/>
          <w:szCs w:val="16"/>
          <w:color w:val="auto"/>
        </w:rPr>
        <w:t>Winnebago Industries, Inc., headquartered in Forest City, Iowa, is the leading United States (U.S.) manufacturer of motor homes, self-contained recreation vehicles used primarily in leisure travel and outdoor recreation activities. The Company’s products are subjected to what the Company believes is the most rigorous testing in the RV Industry. The Company markets its recreation vehicles on a wholesale basis to approximately 310 dealer locations as of May 29, 2004 and May 31, 2003.</w:t>
      </w:r>
    </w:p>
    <w:p>
      <w:pPr>
        <w:spacing w:after="0" w:line="157" w:lineRule="exact"/>
        <w:rPr>
          <w:sz w:val="20"/>
          <w:szCs w:val="20"/>
          <w:color w:val="auto"/>
        </w:rPr>
      </w:pPr>
    </w:p>
    <w:p>
      <w:pPr>
        <w:ind w:left="100" w:right="379"/>
        <w:spacing w:after="0" w:line="310" w:lineRule="auto"/>
        <w:rPr>
          <w:sz w:val="20"/>
          <w:szCs w:val="20"/>
          <w:color w:val="auto"/>
        </w:rPr>
      </w:pPr>
      <w:r>
        <w:rPr>
          <w:rFonts w:ascii="Times New Roman" w:cs="Times New Roman" w:eastAsia="Times New Roman" w:hAnsi="Times New Roman"/>
          <w:sz w:val="16"/>
          <w:szCs w:val="16"/>
          <w:color w:val="auto"/>
        </w:rPr>
        <w:t>For the calendar years ended December 31, 2003 and December 31, 2002, the Company’s dealers sold 10,725 and 10,753 Winnebago Industries’ motor homes, respectively. These retail sales accounted for approximately 19.0 percent and 20.4 percent share, respectively, of the total U.S. motor home retail registrations, according to Statistical Survey data.</w:t>
      </w:r>
    </w:p>
    <w:p>
      <w:pPr>
        <w:spacing w:after="0" w:line="151" w:lineRule="exact"/>
        <w:rPr>
          <w:sz w:val="20"/>
          <w:szCs w:val="20"/>
          <w:color w:val="auto"/>
        </w:rPr>
      </w:pPr>
    </w:p>
    <w:p>
      <w:pPr>
        <w:ind w:left="100" w:right="399"/>
        <w:spacing w:after="0" w:line="275" w:lineRule="auto"/>
        <w:rPr>
          <w:sz w:val="20"/>
          <w:szCs w:val="20"/>
          <w:color w:val="auto"/>
        </w:rPr>
      </w:pPr>
      <w:r>
        <w:rPr>
          <w:rFonts w:ascii="Times New Roman" w:cs="Times New Roman" w:eastAsia="Times New Roman" w:hAnsi="Times New Roman"/>
          <w:sz w:val="18"/>
          <w:szCs w:val="18"/>
          <w:color w:val="auto"/>
        </w:rPr>
        <w:t>Winnebago Industries was incorporated under the laws of the state of Iowa on February 12, 1958, and adopted its present name on February 28, 1961.</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308" w:lineRule="exact"/>
        <w:rPr>
          <w:sz w:val="20"/>
          <w:szCs w:val="20"/>
          <w:color w:val="auto"/>
        </w:rPr>
      </w:pPr>
    </w:p>
    <w:p>
      <w:pPr>
        <w:ind w:left="100" w:right="259"/>
        <w:spacing w:after="0" w:line="254" w:lineRule="auto"/>
        <w:rPr>
          <w:sz w:val="20"/>
          <w:szCs w:val="20"/>
          <w:color w:val="auto"/>
        </w:rPr>
      </w:pPr>
      <w:r>
        <w:rPr>
          <w:rFonts w:ascii="Times New Roman" w:cs="Times New Roman" w:eastAsia="Times New Roman" w:hAnsi="Times New Roman"/>
          <w:sz w:val="18"/>
          <w:szCs w:val="18"/>
          <w:color w:val="auto"/>
        </w:rPr>
        <w:t>The Company considers the accounting policies used in preparing its financial statements to be critical accounting policies when they are both important to the portrayal of its financial condition and results of operation and require the Company to make difficult, subjective, or complex judgments. Critical accounting policies normally result from the need to make estimates about the effect of matters that are inherently uncertain. In each of the areas that were identified as critical accounting policies, the Company’s judgments, estimates, and assumptions are impacted by conditions that change over time. As a result, in the future there could be changes in Winnebago Industries’ assets and liabilities, increases or decreases in its expenses, and additional losses or gains that are material to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right="279"/>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16"/>
          <w:szCs w:val="16"/>
          <w:color w:val="auto"/>
        </w:rPr>
        <w:t>Generally, revenues for manufacturing operations are recorded when all of the following conditions are met: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order for a product has been received from a dealer; written or verbal approval for payment has been received from the dealer’s floor plan financing institution; and the product is delivered to the dealer who placed the order. Sales are generally made to dealers who finance their purchases under floorplan financing arrangements with banks or finance companies.</w:t>
      </w:r>
    </w:p>
    <w:p>
      <w:pPr>
        <w:spacing w:after="0" w:line="156" w:lineRule="exact"/>
        <w:rPr>
          <w:sz w:val="20"/>
          <w:szCs w:val="20"/>
          <w:color w:val="auto"/>
        </w:rPr>
      </w:pPr>
    </w:p>
    <w:p>
      <w:pPr>
        <w:jc w:val="both"/>
        <w:ind w:left="100" w:right="159"/>
        <w:spacing w:after="0" w:line="262" w:lineRule="auto"/>
        <w:rPr>
          <w:sz w:val="20"/>
          <w:szCs w:val="20"/>
          <w:color w:val="auto"/>
        </w:rPr>
      </w:pPr>
      <w:r>
        <w:rPr>
          <w:rFonts w:ascii="Times New Roman" w:cs="Times New Roman" w:eastAsia="Times New Roman" w:hAnsi="Times New Roman"/>
          <w:sz w:val="18"/>
          <w:szCs w:val="18"/>
          <w:color w:val="auto"/>
        </w:rPr>
        <w:t>Revenues for the Company’s original equipment manufacturing (OEM) components and recreation vehicles related parts are recorded as the products are shipped from the Company’s location. The title of ownership transfers on these products as they leave the Company’s location due to the freight terms of F.O.B. — Forest City, Iowa.</w:t>
      </w:r>
    </w:p>
    <w:p>
      <w:pPr>
        <w:spacing w:after="0" w:line="184" w:lineRule="exact"/>
        <w:rPr>
          <w:sz w:val="20"/>
          <w:szCs w:val="20"/>
          <w:color w:val="auto"/>
        </w:rPr>
      </w:pPr>
    </w:p>
    <w:p>
      <w:pPr>
        <w:ind w:left="100" w:right="119"/>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Repurchase Commitments. </w:t>
      </w:r>
      <w:r>
        <w:rPr>
          <w:rFonts w:ascii="Times New Roman" w:cs="Times New Roman" w:eastAsia="Times New Roman" w:hAnsi="Times New Roman"/>
          <w:sz w:val="16"/>
          <w:szCs w:val="16"/>
          <w:color w:val="auto"/>
        </w:rPr>
        <w:t>Companies in the recreation vehicle industry enter into repurchase agreements with lending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institutions which have provided wholesale floor plan financing to dealers. These agreements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contingent obligation under these repurchase 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The Company records an estimated expense and loss reserve in each accounting period based upon its extensive history and experience of its repurchase agreements with the lenders of the Company’s dealers. (See Note 7 of the Unaudited Condensed Notes to Condensed Consolidated Financial Statements.)</w:t>
      </w:r>
    </w:p>
    <w:p>
      <w:pPr>
        <w:spacing w:after="0" w:line="389" w:lineRule="exact"/>
        <w:rPr>
          <w:sz w:val="20"/>
          <w:szCs w:val="20"/>
          <w:color w:val="auto"/>
        </w:rPr>
      </w:pPr>
    </w:p>
    <w:p>
      <w:pPr>
        <w:ind w:left="100" w:right="279"/>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Warranty. </w:t>
      </w:r>
      <w:r>
        <w:rPr>
          <w:rFonts w:ascii="Times New Roman" w:cs="Times New Roman" w:eastAsia="Times New Roman" w:hAnsi="Times New Roman"/>
          <w:sz w:val="16"/>
          <w:szCs w:val="16"/>
          <w:color w:val="auto"/>
        </w:rPr>
        <w:t>The Company offers to its customers a variety of warranties on its products ranging from one to three years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length. Estimated costs related to product warranty are 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5 of the Unaudited Condensed Notes to Condensed Consolidated Financial Statements.)</w:t>
      </w:r>
    </w:p>
    <w:p>
      <w:pPr>
        <w:spacing w:after="0" w:line="165" w:lineRule="exact"/>
        <w:rPr>
          <w:sz w:val="20"/>
          <w:szCs w:val="20"/>
          <w:color w:val="auto"/>
        </w:rPr>
      </w:pPr>
    </w:p>
    <w:p>
      <w:pPr>
        <w:ind w:left="100" w:right="1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The Company has reserves for other loss exposures, such as litigation, taxes, product liability,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employee medical claims, 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ectPr>
          <w:pgSz w:w="11900" w:h="16838" w:orient="portrait"/>
          <w:cols w:equalWidth="0" w:num="1">
            <w:col w:w="9019"/>
          </w:cols>
          <w:pgMar w:left="1440" w:top="125" w:right="1440" w:bottom="65" w:gutter="0" w:footer="0" w:header="0"/>
        </w:sectPr>
      </w:pPr>
    </w:p>
    <w:bookmarkStart w:id="12" w:name="page13"/>
    <w:bookmarkEnd w:id="12"/>
    <w:p>
      <w:pPr>
        <w:spacing w:after="0" w:line="36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20"/>
          </w:cols>
          <w:pgMar w:left="1440" w:top="1440" w:right="939"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INCOME DATA</w:t>
      </w:r>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Current Quarter Compared to Same Quarter Last Year</w:t>
      </w:r>
    </w:p>
    <w:p>
      <w:pPr>
        <w:spacing w:after="0" w:line="225" w:lineRule="exact"/>
        <w:rPr>
          <w:sz w:val="20"/>
          <w:szCs w:val="20"/>
          <w:color w:val="auto"/>
        </w:rPr>
      </w:pPr>
    </w:p>
    <w:p>
      <w:pPr>
        <w:ind w:left="100" w:right="1020"/>
        <w:spacing w:after="0" w:line="275"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consolidated statements of income for the 13-week period ended May 29, 2004 compared to the 13-week period ended May 31, 2003.</w:t>
      </w:r>
    </w:p>
    <w:p>
      <w:pPr>
        <w:sectPr>
          <w:pgSz w:w="11900" w:h="16838" w:orient="portrait"/>
          <w:cols w:equalWidth="0" w:num="1">
            <w:col w:w="9520"/>
          </w:cols>
          <w:pgMar w:left="1440" w:top="1440" w:right="939" w:bottom="1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6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Comparison of</w:t>
            </w: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2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Thirteen Weeks Ended</w:t>
            </w:r>
          </w:p>
        </w:tc>
        <w:tc>
          <w:tcPr>
            <w:tcW w:w="7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7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20" w:type="dxa"/>
            <w:vAlign w:val="bottom"/>
          </w:tcPr>
          <w:p>
            <w:pPr>
              <w:jc w:val="center"/>
              <w:ind w:left="5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29, 2004 to</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May 29,</w:t>
            </w:r>
          </w:p>
        </w:tc>
        <w:tc>
          <w:tcPr>
            <w:tcW w:w="4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May 31,</w:t>
            </w:r>
          </w:p>
        </w:tc>
        <w:tc>
          <w:tcPr>
            <w:tcW w:w="0" w:type="dxa"/>
            <w:vAlign w:val="bottom"/>
          </w:tcPr>
          <w:p>
            <w:pPr>
              <w:spacing w:after="0"/>
              <w:rPr>
                <w:sz w:val="1"/>
                <w:szCs w:val="1"/>
                <w:color w:val="auto"/>
              </w:rPr>
            </w:pPr>
          </w:p>
        </w:tc>
      </w:tr>
      <w:tr>
        <w:trPr>
          <w:trHeight w:val="178"/>
        </w:trPr>
        <w:tc>
          <w:tcPr>
            <w:tcW w:w="16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7"/>
              </w:rPr>
              <w:t>May 31, 2003</w:t>
            </w: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1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620" w:type="dxa"/>
            <w:vAlign w:val="bottom"/>
          </w:tcPr>
          <w:p>
            <w:pPr>
              <w:jc w:val="center"/>
              <w:ind w:right="532"/>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20" w:type="dxa"/>
            <w:vAlign w:val="bottom"/>
          </w:tcPr>
          <w:p>
            <w:pPr>
              <w:jc w:val="center"/>
              <w:ind w:right="532"/>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1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7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 of Net 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8816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4680"/>
          </w:cols>
          <w:pgMar w:left="1440" w:top="1440" w:right="939" w:bottom="135" w:gutter="0" w:footer="0" w:header="0"/>
          <w:type w:val="continuous"/>
        </w:sectPr>
      </w:pP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109,975</w:t>
            </w:r>
          </w:p>
        </w:tc>
        <w:tc>
          <w:tcPr>
            <w:tcW w:w="4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54.9%</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87,102</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r>
      <w:tr>
        <w:trPr>
          <w:trHeight w:val="110"/>
        </w:trPr>
        <w:tc>
          <w:tcPr>
            <w:tcW w:w="4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110"/>
        </w:trPr>
        <w:tc>
          <w:tcPr>
            <w:tcW w:w="4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110"/>
        </w:trPr>
        <w:tc>
          <w:tcPr>
            <w:tcW w:w="4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disc. operations</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(334)</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110"/>
        </w:trPr>
        <w:tc>
          <w:tcPr>
            <w:tcW w:w="4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46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89.8%</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20"/>
        </w:trPr>
        <w:tc>
          <w:tcPr>
            <w:tcW w:w="47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31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6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104.0%</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0"/>
        </w:trPr>
        <w:tc>
          <w:tcPr>
            <w:tcW w:w="47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-306070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-306070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-306070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-306070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-306070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4806950</wp:posOffset>
            </wp:positionH>
            <wp:positionV relativeFrom="paragraph">
              <wp:posOffset>-306070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-306070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-306070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00" w:right="680"/>
        <w:spacing w:after="0" w:line="275" w:lineRule="auto"/>
        <w:rPr>
          <w:sz w:val="20"/>
          <w:szCs w:val="20"/>
          <w:color w:val="auto"/>
        </w:rPr>
      </w:pPr>
      <w:r>
        <w:rPr>
          <w:rFonts w:ascii="Times New Roman" w:cs="Times New Roman" w:eastAsia="Times New Roman" w:hAnsi="Times New Roman"/>
          <w:sz w:val="18"/>
          <w:szCs w:val="18"/>
          <w:color w:val="auto"/>
        </w:rPr>
        <w:t>Net revenues for the 13 weeks ended May 29, 2004 increased 54.9 percent to $310.2 million compared to $200.2 million for the quarter ended May 31, 2003. Unit deliveries consisted of the following:</w:t>
      </w:r>
    </w:p>
    <w:p>
      <w:pPr>
        <w:spacing w:after="0" w:line="15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Thirteen Weeks Ended</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Thirteen Weeks Ended</w:t>
            </w:r>
          </w:p>
        </w:tc>
        <w:tc>
          <w:tcPr>
            <w:tcW w:w="700" w:type="dxa"/>
            <w:vAlign w:val="bottom"/>
          </w:tcPr>
          <w:p>
            <w:pPr>
              <w:spacing w:after="0"/>
              <w:rPr>
                <w:sz w:val="13"/>
                <w:szCs w:val="13"/>
                <w:color w:val="auto"/>
              </w:rPr>
            </w:pPr>
          </w:p>
        </w:tc>
        <w:tc>
          <w:tcPr>
            <w:tcW w:w="10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r>
      <w:tr>
        <w:trPr>
          <w:trHeight w:val="178"/>
        </w:trPr>
        <w:tc>
          <w:tcPr>
            <w:tcW w:w="4240" w:type="dxa"/>
            <w:vAlign w:val="bottom"/>
          </w:tcPr>
          <w:p>
            <w:pPr>
              <w:spacing w:after="0"/>
              <w:rPr>
                <w:sz w:val="15"/>
                <w:szCs w:val="15"/>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May 29, 2004</w:t>
            </w: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May 31, 2003</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95"/>
        </w:trPr>
        <w:tc>
          <w:tcPr>
            <w:tcW w:w="42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(gas)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20" w:type="dxa"/>
            <w:vAlign w:val="bottom"/>
          </w:tcPr>
          <w:p>
            <w:pPr>
              <w:spacing w:after="0"/>
              <w:rPr>
                <w:sz w:val="24"/>
                <w:szCs w:val="24"/>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(diesel)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Class C motor homes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2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10"/>
        </w:trPr>
        <w:tc>
          <w:tcPr>
            <w:tcW w:w="42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16"/>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deliveries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320" w:type="dxa"/>
            <w:vAlign w:val="bottom"/>
          </w:tcPr>
          <w:p>
            <w:pPr>
              <w:spacing w:after="0"/>
              <w:rPr>
                <w:sz w:val="24"/>
                <w:szCs w:val="24"/>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120"/>
        </w:trPr>
        <w:tc>
          <w:tcPr>
            <w:tcW w:w="424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00" w:right="840"/>
        <w:spacing w:after="0" w:line="258" w:lineRule="auto"/>
        <w:rPr>
          <w:sz w:val="20"/>
          <w:szCs w:val="20"/>
          <w:color w:val="auto"/>
        </w:rPr>
      </w:pPr>
      <w:r>
        <w:rPr>
          <w:rFonts w:ascii="Times New Roman" w:cs="Times New Roman" w:eastAsia="Times New Roman" w:hAnsi="Times New Roman"/>
          <w:sz w:val="18"/>
          <w:szCs w:val="18"/>
          <w:color w:val="auto"/>
        </w:rPr>
        <w:t>Revenues increased 54.9 percent during the 13 weeks ended May 29, 2004, but unit deliveries increased only 32.4 percent due primarily to a mix change which included a 126.7 percent increase in Class A diesel unit deliveries. This increase in diesel deliveries as well as the overall increase in total motor home volume contributed to the increased revenues experienced by the Company during the thirteen weeks ended May 29, 2004.</w:t>
      </w:r>
    </w:p>
    <w:p>
      <w:pPr>
        <w:spacing w:after="0" w:line="190" w:lineRule="exact"/>
        <w:rPr>
          <w:sz w:val="20"/>
          <w:szCs w:val="20"/>
          <w:color w:val="auto"/>
        </w:rPr>
      </w:pPr>
    </w:p>
    <w:p>
      <w:pPr>
        <w:ind w:left="100" w:right="620"/>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revenues was higher during the 13 weeks ended May 29, 2004 (14.8%) when compared to the 13 weeks ended May 31, 2003 (11.6%). Favorably impacting gross profit in the period ended May 29, 2004 was a 39.9% increase in production volume which resulted in improved manufacturing efficiencies and lower fixed costs per unit of production.</w:t>
      </w:r>
    </w:p>
    <w:p>
      <w:pPr>
        <w:spacing w:after="0" w:line="190" w:lineRule="exact"/>
        <w:rPr>
          <w:sz w:val="20"/>
          <w:szCs w:val="20"/>
          <w:color w:val="auto"/>
        </w:rPr>
      </w:pPr>
    </w:p>
    <w:p>
      <w:pPr>
        <w:ind w:left="100" w:right="6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210.2 percent in the third quarter of fiscal 2004 to $13.2 million compared to $4.3 million for the quarter ended May 31, 2003. The increases in percentage and dollar amount were due primarily to a $7.3 million lawsuit settlement (See Part II, Item 1 of this Quarterly Report on Form 10-Q) and an increase of approximately $1.3 million in management incentive programs, which increases were partially offset by a $.5 million decrease in stock-based incentive compensation expense.</w:t>
      </w:r>
    </w:p>
    <w:p>
      <w:pPr>
        <w:sectPr>
          <w:pgSz w:w="11900" w:h="16838" w:orient="portrait"/>
          <w:cols w:equalWidth="0" w:num="1">
            <w:col w:w="9520"/>
          </w:cols>
          <w:pgMar w:left="1440" w:top="1440" w:right="939" w:bottom="135" w:gutter="0" w:footer="0" w:header="0"/>
          <w:type w:val="continuous"/>
        </w:sectPr>
      </w:pPr>
    </w:p>
    <w:bookmarkStart w:id="13" w:name="page14"/>
    <w:bookmarkEnd w:id="13"/>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1460"/>
        <w:spacing w:after="0" w:line="262" w:lineRule="auto"/>
        <w:rPr>
          <w:sz w:val="20"/>
          <w:szCs w:val="20"/>
          <w:color w:val="auto"/>
        </w:rPr>
      </w:pPr>
      <w:r>
        <w:rPr>
          <w:rFonts w:ascii="Times New Roman" w:cs="Times New Roman" w:eastAsia="Times New Roman" w:hAnsi="Times New Roman"/>
          <w:sz w:val="18"/>
          <w:szCs w:val="18"/>
          <w:color w:val="auto"/>
        </w:rPr>
        <w:t>The overall effective income tax rate decreased to 37.8 percent for the third quarter of fiscal 2004 from 38.2 percent during the third quarter of fiscal 2003. The decrease was primarily due to a decrease in non-deductible losses in the Winnebago Health Care Management Company.</w:t>
      </w:r>
    </w:p>
    <w:p>
      <w:pPr>
        <w:spacing w:after="0" w:line="186" w:lineRule="exact"/>
        <w:rPr>
          <w:sz w:val="20"/>
          <w:szCs w:val="20"/>
          <w:color w:val="auto"/>
        </w:rPr>
      </w:pPr>
    </w:p>
    <w:p>
      <w:pPr>
        <w:ind w:left="1300" w:right="1380"/>
        <w:spacing w:after="0" w:line="256" w:lineRule="auto"/>
        <w:rPr>
          <w:sz w:val="20"/>
          <w:szCs w:val="20"/>
          <w:color w:val="auto"/>
        </w:rPr>
      </w:pPr>
      <w:r>
        <w:rPr>
          <w:rFonts w:ascii="Times New Roman" w:cs="Times New Roman" w:eastAsia="Times New Roman" w:hAnsi="Times New Roman"/>
          <w:sz w:val="18"/>
          <w:szCs w:val="18"/>
          <w:color w:val="auto"/>
        </w:rPr>
        <w:t>Net income and earnings per diluted share increased by 89.8 percent and 104.0 percent, respectively when comparing the third quarter of fiscal 2004 to the third quarter of fiscal 2003. The difference in percentages was primarily due to a lower number of outstanding shares of the Company’s common stock during the 13 weeks ended May 29, 2004 as a result of common stock repurchased by the Company. Reference is made to Part II, Item 2 of this Quarterly Report on Form 10-Q for a summary of purchases by the Company of shares of its common stock in the third quarter of fiscal 2004.</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Current Year-to-Date Compared to Same Period Last Year</w:t>
      </w:r>
    </w:p>
    <w:p>
      <w:pPr>
        <w:spacing w:after="0" w:line="225" w:lineRule="exact"/>
        <w:rPr>
          <w:sz w:val="20"/>
          <w:szCs w:val="20"/>
          <w:color w:val="auto"/>
        </w:rPr>
      </w:pPr>
    </w:p>
    <w:p>
      <w:pPr>
        <w:ind w:left="1300" w:right="1720"/>
        <w:spacing w:after="0" w:line="275"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consolidated statements of income for the 39-week period ended May 29, 2004 compared to the 39-week period ended May 31, 2003.</w:t>
      </w:r>
    </w:p>
    <w:p>
      <w:pPr>
        <w:sectPr>
          <w:pgSz w:w="11900" w:h="1694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6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Comparison of</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84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Thirty-Nine Weeks Ended</w:t>
            </w:r>
          </w:p>
        </w:tc>
        <w:tc>
          <w:tcPr>
            <w:tcW w:w="7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8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20" w:type="dxa"/>
            <w:vAlign w:val="bottom"/>
          </w:tcPr>
          <w:p>
            <w:pPr>
              <w:jc w:val="center"/>
              <w:ind w:left="5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May 29, 2004 to</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May 29,</w:t>
            </w:r>
          </w:p>
        </w:tc>
        <w:tc>
          <w:tcPr>
            <w:tcW w:w="4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May 31,</w:t>
            </w:r>
          </w:p>
        </w:tc>
        <w:tc>
          <w:tcPr>
            <w:tcW w:w="0" w:type="dxa"/>
            <w:vAlign w:val="bottom"/>
          </w:tcPr>
          <w:p>
            <w:pPr>
              <w:spacing w:after="0"/>
              <w:rPr>
                <w:sz w:val="1"/>
                <w:szCs w:val="1"/>
                <w:color w:val="auto"/>
              </w:rPr>
            </w:pPr>
          </w:p>
        </w:tc>
      </w:tr>
      <w:tr>
        <w:trPr>
          <w:trHeight w:val="178"/>
        </w:trPr>
        <w:tc>
          <w:tcPr>
            <w:tcW w:w="16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7"/>
              </w:rPr>
              <w:t>May 31, 2003</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1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620" w:type="dxa"/>
            <w:vAlign w:val="bottom"/>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20" w:type="dxa"/>
            <w:vAlign w:val="bottom"/>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12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7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 of Net 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2941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ectPr>
          <w:pgSz w:w="11900" w:h="16944" w:orient="portrait"/>
          <w:cols w:equalWidth="0" w:num="2">
            <w:col w:w="5220" w:space="720"/>
            <w:col w:w="5480"/>
          </w:cols>
          <w:pgMar w:left="240" w:top="125" w:right="239" w:bottom="0" w:gutter="0" w:footer="0" w:header="0"/>
          <w:type w:val="continuous"/>
        </w:sectPr>
      </w:pPr>
    </w:p>
    <w:p>
      <w:pPr>
        <w:spacing w:after="0" w:line="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211,636</w:t>
            </w:r>
          </w:p>
        </w:tc>
        <w:tc>
          <w:tcPr>
            <w:tcW w:w="4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175,709</w:t>
            </w:r>
          </w:p>
        </w:tc>
        <w:tc>
          <w:tcPr>
            <w:tcW w:w="46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w:t>
            </w:r>
          </w:p>
        </w:tc>
      </w:tr>
      <w:tr>
        <w:trPr>
          <w:trHeight w:val="110"/>
        </w:trPr>
        <w:tc>
          <w:tcPr>
            <w:tcW w:w="4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35,927</w:t>
            </w:r>
          </w:p>
        </w:tc>
        <w:tc>
          <w:tcPr>
            <w:tcW w:w="46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46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110"/>
        </w:trPr>
        <w:tc>
          <w:tcPr>
            <w:tcW w:w="4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46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38.8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46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34.3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r>
      <w:tr>
        <w:trPr>
          <w:trHeight w:val="110"/>
        </w:trPr>
        <w:tc>
          <w:tcPr>
            <w:tcW w:w="4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disc. operations</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46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(1,152)</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110"/>
        </w:trPr>
        <w:tc>
          <w:tcPr>
            <w:tcW w:w="4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46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20"/>
        </w:trPr>
        <w:tc>
          <w:tcPr>
            <w:tcW w:w="46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31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6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48.0%</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0"/>
        </w:trPr>
        <w:tc>
          <w:tcPr>
            <w:tcW w:w="46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-306070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-306070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-306070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-306070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-306070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-306070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-306070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-306070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300" w:right="1380"/>
        <w:spacing w:after="0" w:line="275" w:lineRule="auto"/>
        <w:rPr>
          <w:sz w:val="20"/>
          <w:szCs w:val="20"/>
          <w:color w:val="auto"/>
        </w:rPr>
      </w:pPr>
      <w:r>
        <w:rPr>
          <w:rFonts w:ascii="Times New Roman" w:cs="Times New Roman" w:eastAsia="Times New Roman" w:hAnsi="Times New Roman"/>
          <w:sz w:val="18"/>
          <w:szCs w:val="18"/>
          <w:color w:val="auto"/>
        </w:rPr>
        <w:t>Net revenues for the 39 weeks ended May 29, 2004 increased 34.2 percent to $831.2 million compared to $619.5 million for the 39 weeks ended May 31, 2003. Unit deliveries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Thirty-Nine Weeks Ended</w:t>
            </w: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Thirty-Nine Weeks Ended</w:t>
            </w:r>
          </w:p>
        </w:tc>
        <w:tc>
          <w:tcPr>
            <w:tcW w:w="700" w:type="dxa"/>
            <w:vAlign w:val="bottom"/>
          </w:tcPr>
          <w:p>
            <w:pPr>
              <w:spacing w:after="0"/>
              <w:rPr>
                <w:sz w:val="13"/>
                <w:szCs w:val="13"/>
                <w:color w:val="auto"/>
              </w:rPr>
            </w:pPr>
          </w:p>
        </w:tc>
        <w:tc>
          <w:tcPr>
            <w:tcW w:w="9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3"/>
                <w:szCs w:val="13"/>
                <w:color w:val="auto"/>
              </w:rPr>
            </w:pPr>
          </w:p>
        </w:tc>
      </w:tr>
      <w:tr>
        <w:trPr>
          <w:trHeight w:val="178"/>
        </w:trPr>
        <w:tc>
          <w:tcPr>
            <w:tcW w:w="5200" w:type="dxa"/>
            <w:vAlign w:val="bottom"/>
          </w:tcPr>
          <w:p>
            <w:pPr>
              <w:spacing w:after="0"/>
              <w:rPr>
                <w:sz w:val="15"/>
                <w:szCs w:val="15"/>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May 29, 2004</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May 31, 2003</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60" w:type="dxa"/>
            <w:vAlign w:val="bottom"/>
          </w:tcPr>
          <w:p>
            <w:pPr>
              <w:spacing w:after="0"/>
              <w:rPr>
                <w:sz w:val="15"/>
                <w:szCs w:val="15"/>
                <w:color w:val="auto"/>
              </w:rPr>
            </w:pPr>
          </w:p>
        </w:tc>
        <w:tc>
          <w:tcPr>
            <w:tcW w:w="140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5"/>
              </w:rPr>
              <w:t>Change</w:t>
            </w:r>
          </w:p>
        </w:tc>
      </w:tr>
      <w:tr>
        <w:trPr>
          <w:trHeight w:val="95"/>
        </w:trPr>
        <w:tc>
          <w:tcPr>
            <w:tcW w:w="5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r>
      <w:tr>
        <w:trPr>
          <w:trHeight w:val="303"/>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Class A motor homes (gas)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36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7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Class A motor homes (diesel)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360" w:type="dxa"/>
            <w:vAlign w:val="bottom"/>
          </w:tcPr>
          <w:p>
            <w:pPr>
              <w:spacing w:after="0"/>
              <w:rPr>
                <w:sz w:val="18"/>
                <w:szCs w:val="18"/>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7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83.3%</w:t>
            </w:r>
          </w:p>
        </w:tc>
      </w:tr>
      <w:tr>
        <w:trPr>
          <w:trHeight w:val="228"/>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Class C motor homes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360" w:type="dxa"/>
            <w:vAlign w:val="bottom"/>
          </w:tcPr>
          <w:p>
            <w:pPr>
              <w:spacing w:after="0"/>
              <w:rPr>
                <w:sz w:val="19"/>
                <w:szCs w:val="19"/>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7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14.8%</w:t>
            </w:r>
          </w:p>
        </w:tc>
      </w:tr>
      <w:tr>
        <w:trPr>
          <w:trHeight w:val="110"/>
        </w:trPr>
        <w:tc>
          <w:tcPr>
            <w:tcW w:w="5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r>
      <w:tr>
        <w:trPr>
          <w:trHeight w:val="316"/>
        </w:trPr>
        <w:tc>
          <w:tcPr>
            <w:tcW w:w="52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Total deliveries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36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7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21.1%</w:t>
            </w:r>
          </w:p>
        </w:tc>
      </w:tr>
      <w:tr>
        <w:trPr>
          <w:trHeight w:val="120"/>
        </w:trPr>
        <w:tc>
          <w:tcPr>
            <w:tcW w:w="520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778"/>
        </w:trPr>
        <w:tc>
          <w:tcPr>
            <w:tcW w:w="5200" w:type="dxa"/>
            <w:vAlign w:val="bottom"/>
          </w:tcPr>
          <w:p>
            <w:pPr>
              <w:spacing w:after="0"/>
              <w:rPr>
                <w:sz w:val="24"/>
                <w:szCs w:val="24"/>
                <w:color w:val="auto"/>
              </w:rPr>
            </w:pPr>
          </w:p>
        </w:tc>
        <w:tc>
          <w:tcPr>
            <w:tcW w:w="15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2"/>
        </w:trPr>
        <w:tc>
          <w:tcPr>
            <w:tcW w:w="5200" w:type="dxa"/>
            <w:vAlign w:val="bottom"/>
            <w:tcBorders>
              <w:bottom w:val="single" w:sz="8" w:color="808080"/>
            </w:tcBorders>
          </w:tcPr>
          <w:p>
            <w:pPr>
              <w:spacing w:after="0"/>
              <w:rPr>
                <w:sz w:val="21"/>
                <w:szCs w:val="21"/>
                <w:color w:val="auto"/>
              </w:rPr>
            </w:pPr>
          </w:p>
        </w:tc>
        <w:tc>
          <w:tcPr>
            <w:tcW w:w="15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5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-674370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-674370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-674370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-674370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-674370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-674370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-674370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-674370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300" w:right="1540"/>
        <w:spacing w:after="0" w:line="258" w:lineRule="auto"/>
        <w:rPr>
          <w:sz w:val="20"/>
          <w:szCs w:val="20"/>
          <w:color w:val="auto"/>
        </w:rPr>
      </w:pPr>
      <w:r>
        <w:rPr>
          <w:rFonts w:ascii="Times New Roman" w:cs="Times New Roman" w:eastAsia="Times New Roman" w:hAnsi="Times New Roman"/>
          <w:sz w:val="18"/>
          <w:szCs w:val="18"/>
          <w:color w:val="auto"/>
        </w:rPr>
        <w:t>Revenues increased 34.2 percent during the 39 weeks ended May 29, 2004, but unit deliveries increased only 21.1 percent due primarily to a mix change which included an 83.3 percent increase in Class A diesel unit deliveries. This increase in diesel deliveries as well as the overall increase in total motor home volume contributed to the increased revenues experienced by the Company during the 39 weeks ended May 29, 2004.</w:t>
      </w:r>
    </w:p>
    <w:p>
      <w:pPr>
        <w:spacing w:after="0" w:line="190" w:lineRule="exact"/>
        <w:rPr>
          <w:sz w:val="20"/>
          <w:szCs w:val="20"/>
          <w:color w:val="auto"/>
        </w:rPr>
      </w:pPr>
    </w:p>
    <w:p>
      <w:pPr>
        <w:ind w:left="1300" w:right="1320"/>
        <w:spacing w:after="0" w:line="289" w:lineRule="auto"/>
        <w:rPr>
          <w:sz w:val="20"/>
          <w:szCs w:val="20"/>
          <w:color w:val="auto"/>
        </w:rPr>
      </w:pPr>
      <w:r>
        <w:rPr>
          <w:rFonts w:ascii="Times New Roman" w:cs="Times New Roman" w:eastAsia="Times New Roman" w:hAnsi="Times New Roman"/>
          <w:sz w:val="16"/>
          <w:szCs w:val="16"/>
          <w:color w:val="auto"/>
        </w:rPr>
        <w:t>Gross profit as a percentage of net revenues was higher during the 39 weeks ended May 29, 2004 (14.5%) when compared to the 39 weeks ended May 31, 2003 (13.7%). Favorably impacting gross profit in the period ended May 29, 2004 was the</w:t>
      </w:r>
    </w:p>
    <w:p>
      <w:pPr>
        <w:spacing w:after="0" w:line="1" w:lineRule="exact"/>
        <w:rPr>
          <w:sz w:val="20"/>
          <w:szCs w:val="20"/>
          <w:color w:val="auto"/>
        </w:rPr>
      </w:pPr>
    </w:p>
    <w:p>
      <w:pPr>
        <w:ind w:left="1300" w:right="1480"/>
        <w:spacing w:after="0" w:line="261" w:lineRule="auto"/>
        <w:rPr>
          <w:sz w:val="20"/>
          <w:szCs w:val="20"/>
          <w:color w:val="auto"/>
        </w:rPr>
      </w:pPr>
      <w:r>
        <w:rPr>
          <w:rFonts w:ascii="Times New Roman" w:cs="Times New Roman" w:eastAsia="Times New Roman" w:hAnsi="Times New Roman"/>
          <w:sz w:val="18"/>
          <w:szCs w:val="18"/>
          <w:color w:val="auto"/>
        </w:rPr>
        <w:t>23.0% increase in production volume which resulted in improved manufacturing efficiencies and lower fixed costs per unit of production.</w:t>
      </w:r>
    </w:p>
    <w:p>
      <w:pPr>
        <w:spacing w:after="0" w:line="186" w:lineRule="exact"/>
        <w:rPr>
          <w:sz w:val="20"/>
          <w:szCs w:val="20"/>
          <w:color w:val="auto"/>
        </w:rPr>
      </w:pPr>
    </w:p>
    <w:p>
      <w:pPr>
        <w:ind w:left="1300" w:right="1440"/>
        <w:spacing w:after="0" w:line="339" w:lineRule="auto"/>
        <w:rPr>
          <w:sz w:val="20"/>
          <w:szCs w:val="20"/>
          <w:color w:val="auto"/>
        </w:rPr>
      </w:pPr>
      <w:r>
        <w:rPr>
          <w:rFonts w:ascii="Times New Roman" w:cs="Times New Roman" w:eastAsia="Times New Roman" w:hAnsi="Times New Roman"/>
          <w:sz w:val="16"/>
          <w:szCs w:val="16"/>
          <w:color w:val="auto"/>
        </w:rPr>
        <w:t>General and administrative expenses increased 103.2 percent during the 39 weeks ended May 29, 2004 to $25.0 million compared to $12.3 million for the 39 weeks ended May 31, 2003. The increases in percentage and dollar amount during the</w:t>
      </w:r>
    </w:p>
    <w:p>
      <w:pPr>
        <w:sectPr>
          <w:pgSz w:w="11900" w:h="16944" w:orient="portrait"/>
          <w:cols w:equalWidth="0" w:num="1">
            <w:col w:w="11420"/>
          </w:cols>
          <w:pgMar w:left="240" w:top="125" w:right="239" w:bottom="0" w:gutter="0" w:footer="0" w:header="0"/>
          <w:type w:val="continuous"/>
        </w:sectPr>
      </w:pPr>
    </w:p>
    <w:bookmarkStart w:id="14" w:name="page15"/>
    <w:bookmarkEnd w:id="14"/>
    <w:p>
      <w:pPr>
        <w:ind w:left="1300" w:right="1440"/>
        <w:spacing w:after="0" w:line="310" w:lineRule="auto"/>
        <w:rPr>
          <w:sz w:val="20"/>
          <w:szCs w:val="20"/>
          <w:color w:val="auto"/>
        </w:rPr>
      </w:pPr>
      <w:r>
        <w:rPr>
          <w:rFonts w:ascii="Times New Roman" w:cs="Times New Roman" w:eastAsia="Times New Roman" w:hAnsi="Times New Roman"/>
          <w:sz w:val="16"/>
          <w:szCs w:val="16"/>
          <w:color w:val="auto"/>
        </w:rPr>
        <w:t>39 weeks ended May 29, 2004 when compared to the 39 weeks ended May 31, 2003 were due primarily to the previously referred to $7.3 million lawsuit settlement, an increase of approximately $2.2 million in management incentive programs in fiscal 2004 and an approximate $.6 million increase in stock-based incentive compensation expense in fiscal 2004.</w:t>
      </w:r>
    </w:p>
    <w:p>
      <w:pPr>
        <w:spacing w:after="0" w:line="151" w:lineRule="exact"/>
        <w:rPr>
          <w:sz w:val="20"/>
          <w:szCs w:val="20"/>
          <w:color w:val="auto"/>
        </w:rPr>
      </w:pPr>
    </w:p>
    <w:p>
      <w:pPr>
        <w:ind w:left="1300" w:right="1420"/>
        <w:spacing w:after="0" w:line="262" w:lineRule="auto"/>
        <w:rPr>
          <w:sz w:val="20"/>
          <w:szCs w:val="20"/>
          <w:color w:val="auto"/>
        </w:rPr>
      </w:pPr>
      <w:r>
        <w:rPr>
          <w:rFonts w:ascii="Times New Roman" w:cs="Times New Roman" w:eastAsia="Times New Roman" w:hAnsi="Times New Roman"/>
          <w:sz w:val="18"/>
          <w:szCs w:val="18"/>
          <w:color w:val="auto"/>
        </w:rPr>
        <w:t>The overall effective income tax rate decreased to 37.6 percent for the 39 weeks of fiscal 2004 from 38.6 percent during the 39 weeks of fiscal 2003. The decrease was primarily due to a decrease in non-deductible losses in the Winnebago Health Care Management Company.</w:t>
      </w:r>
    </w:p>
    <w:p>
      <w:pPr>
        <w:spacing w:after="0" w:line="186" w:lineRule="exact"/>
        <w:rPr>
          <w:sz w:val="20"/>
          <w:szCs w:val="20"/>
          <w:color w:val="auto"/>
        </w:rPr>
      </w:pPr>
    </w:p>
    <w:p>
      <w:pPr>
        <w:ind w:left="1300" w:right="1340"/>
        <w:spacing w:after="0" w:line="258" w:lineRule="auto"/>
        <w:rPr>
          <w:sz w:val="20"/>
          <w:szCs w:val="20"/>
          <w:color w:val="auto"/>
        </w:rPr>
      </w:pPr>
      <w:r>
        <w:rPr>
          <w:rFonts w:ascii="Times New Roman" w:cs="Times New Roman" w:eastAsia="Times New Roman" w:hAnsi="Times New Roman"/>
          <w:sz w:val="18"/>
          <w:szCs w:val="18"/>
          <w:color w:val="auto"/>
        </w:rPr>
        <w:t>Net income and earnings per diluted share increased by 36.2 percent and 48.0 percent, respectively when comparing the first three quarters of fiscal 2004 to the first three quarters of fiscal 2003. The difference in percentages was primarily due to a lower number of outstanding shares of the Company’s common stock during the 39 weeks ended May 29, 2004 as a result of common stock repurchases by the Company.</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308" w:lineRule="exact"/>
        <w:rPr>
          <w:sz w:val="20"/>
          <w:szCs w:val="20"/>
          <w:color w:val="auto"/>
        </w:rPr>
      </w:pPr>
    </w:p>
    <w:p>
      <w:pPr>
        <w:ind w:left="1300" w:right="1400"/>
        <w:spacing w:after="0" w:line="262" w:lineRule="auto"/>
        <w:rPr>
          <w:sz w:val="20"/>
          <w:szCs w:val="20"/>
          <w:color w:val="auto"/>
        </w:rPr>
      </w:pPr>
      <w:r>
        <w:rPr>
          <w:rFonts w:ascii="Times New Roman" w:cs="Times New Roman" w:eastAsia="Times New Roman" w:hAnsi="Times New Roman"/>
          <w:sz w:val="18"/>
          <w:szCs w:val="18"/>
          <w:color w:val="auto"/>
        </w:rPr>
        <w:t>The Company meets its working capital, capital equipment and other cash requirements with funds generated from operations. The Company’s capital equipment requirements for the 39-week periods ended May 29, 2004 and May 31, 2003 were $7.7 million and $21.5 million, respectively.</w:t>
      </w:r>
    </w:p>
    <w:p>
      <w:pPr>
        <w:spacing w:after="0" w:line="186" w:lineRule="exact"/>
        <w:rPr>
          <w:sz w:val="20"/>
          <w:szCs w:val="20"/>
          <w:color w:val="auto"/>
        </w:rPr>
      </w:pPr>
    </w:p>
    <w:p>
      <w:pPr>
        <w:ind w:left="1300" w:right="1380"/>
        <w:spacing w:after="0" w:line="262" w:lineRule="auto"/>
        <w:rPr>
          <w:sz w:val="20"/>
          <w:szCs w:val="20"/>
          <w:color w:val="auto"/>
        </w:rPr>
      </w:pPr>
      <w:r>
        <w:rPr>
          <w:rFonts w:ascii="Times New Roman" w:cs="Times New Roman" w:eastAsia="Times New Roman" w:hAnsi="Times New Roman"/>
          <w:sz w:val="18"/>
          <w:szCs w:val="18"/>
          <w:color w:val="auto"/>
        </w:rPr>
        <w:t>During the thirty-nine weeks ended May 29, 2004, the Company’s working capital decreased by $14,197,000. The primary causes of the decrease were the repurchase of shares of the Company’s common stock, purchases of property and equipment and payment of cash dividends partially offset by cash generated by the Company’s operations.</w:t>
      </w:r>
    </w:p>
    <w:p>
      <w:pPr>
        <w:spacing w:after="0" w:line="186" w:lineRule="exact"/>
        <w:rPr>
          <w:sz w:val="20"/>
          <w:szCs w:val="20"/>
          <w:color w:val="auto"/>
        </w:rPr>
      </w:pPr>
    </w:p>
    <w:p>
      <w:pPr>
        <w:jc w:val="both"/>
        <w:ind w:left="1300" w:right="1440"/>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for the 39 weeks ended May 29, 2004 was $78,894,000 compared to $54,897,000 for the 39 weeks ended May 31, 2003. During the 39-week period ended May 29, 2004, the major items affecting operating activities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Cash provided by:</w:t>
            </w:r>
          </w:p>
        </w:tc>
        <w:tc>
          <w:tcPr>
            <w:tcW w:w="6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51,651,000</w:t>
            </w:r>
          </w:p>
        </w:tc>
      </w:tr>
      <w:tr>
        <w:trPr>
          <w:trHeight w:val="216"/>
        </w:trPr>
        <w:tc>
          <w:tcPr>
            <w:tcW w:w="68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Larger accounts payable balances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14,820,000</w:t>
            </w:r>
          </w:p>
        </w:tc>
      </w:tr>
      <w:tr>
        <w:trPr>
          <w:trHeight w:val="216"/>
        </w:trPr>
        <w:tc>
          <w:tcPr>
            <w:tcW w:w="684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(primarily due to recent inventory purchases)</w:t>
            </w:r>
          </w:p>
        </w:tc>
        <w:tc>
          <w:tcPr>
            <w:tcW w:w="6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4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Cash used by:</w:t>
            </w:r>
          </w:p>
        </w:tc>
        <w:tc>
          <w:tcPr>
            <w:tcW w:w="6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Finished goods inventory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12,991,000)</w:t>
            </w:r>
          </w:p>
        </w:tc>
      </w:tr>
      <w:tr>
        <w:trPr>
          <w:trHeight w:val="216"/>
        </w:trPr>
        <w:tc>
          <w:tcPr>
            <w:tcW w:w="684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(due to higher production levels to meet</w:t>
            </w:r>
          </w:p>
        </w:tc>
        <w:tc>
          <w:tcPr>
            <w:tcW w:w="6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28"/>
        </w:trPr>
        <w:tc>
          <w:tcPr>
            <w:tcW w:w="684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motor home delivery demands)</w:t>
            </w:r>
          </w:p>
        </w:tc>
        <w:tc>
          <w:tcPr>
            <w:tcW w:w="68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675"/>
        </w:trPr>
        <w:tc>
          <w:tcPr>
            <w:tcW w:w="68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42"/>
        </w:trPr>
        <w:tc>
          <w:tcPr>
            <w:tcW w:w="68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39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1300" w:right="1340"/>
        <w:spacing w:after="0" w:line="262" w:lineRule="auto"/>
        <w:rPr>
          <w:sz w:val="20"/>
          <w:szCs w:val="20"/>
          <w:color w:val="auto"/>
        </w:rPr>
      </w:pPr>
      <w:r>
        <w:rPr>
          <w:rFonts w:ascii="Times New Roman" w:cs="Times New Roman" w:eastAsia="Times New Roman" w:hAnsi="Times New Roman"/>
          <w:sz w:val="18"/>
          <w:szCs w:val="18"/>
          <w:color w:val="auto"/>
        </w:rPr>
        <w:t>The primary uses of cash for investing activities were for capital equipment requirements. Property and equipment purchases decreased $13,883,000 from last year due to the completion of the production assembly facility in Charles City, Iowa during fiscal 2003.</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Repurchases of the Company’s common stock for $74,268,000 and payments of $5,217,000 in quarterly dividends, were the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primary uses of cash in financing activities for the period ended May 29, 2004. Company common stock repurchases of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$20,221,000 and the $1,887,000 payment of semiannual dividends were the primary uses of cash in financing activities for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period ended May 31, 2003.</w:t>
      </w:r>
    </w:p>
    <w:p>
      <w:pPr>
        <w:spacing w:after="0" w:line="213" w:lineRule="exact"/>
        <w:rPr>
          <w:sz w:val="20"/>
          <w:szCs w:val="20"/>
          <w:color w:val="auto"/>
        </w:rPr>
      </w:pPr>
    </w:p>
    <w:p>
      <w:pPr>
        <w:ind w:left="1300" w:right="1360"/>
        <w:spacing w:after="0" w:line="275" w:lineRule="auto"/>
        <w:rPr>
          <w:sz w:val="20"/>
          <w:szCs w:val="20"/>
          <w:color w:val="auto"/>
        </w:rPr>
      </w:pPr>
      <w:r>
        <w:rPr>
          <w:rFonts w:ascii="Times New Roman" w:cs="Times New Roman" w:eastAsia="Times New Roman" w:hAnsi="Times New Roman"/>
          <w:sz w:val="18"/>
          <w:szCs w:val="18"/>
          <w:color w:val="auto"/>
        </w:rPr>
        <w:t>More complete disclosure of the Company’s sources and uses of cash during the 39 weeks ended May 29, 2004, are set forth in the unaudited consolidated condensed statement of cash flows for that period.</w:t>
      </w:r>
    </w:p>
    <w:p>
      <w:pPr>
        <w:spacing w:after="0" w:line="174" w:lineRule="exact"/>
        <w:rPr>
          <w:sz w:val="20"/>
          <w:szCs w:val="20"/>
          <w:color w:val="auto"/>
        </w:rPr>
      </w:pPr>
    </w:p>
    <w:p>
      <w:pPr>
        <w:ind w:left="1300" w:right="1460"/>
        <w:spacing w:after="0" w:line="258" w:lineRule="auto"/>
        <w:rPr>
          <w:sz w:val="20"/>
          <w:szCs w:val="20"/>
          <w:color w:val="auto"/>
        </w:rPr>
      </w:pPr>
      <w:r>
        <w:rPr>
          <w:rFonts w:ascii="Times New Roman" w:cs="Times New Roman" w:eastAsia="Times New Roman" w:hAnsi="Times New Roman"/>
          <w:sz w:val="18"/>
          <w:szCs w:val="18"/>
          <w:color w:val="auto"/>
        </w:rPr>
        <w:t>On May 29, 2004 the Company’s cash and cash equivalents balance was $95,521,000. Estimated demands at May 29, 2004 on the Company’s liquid assets for the remainder of fiscal 2004 include capital expenditures of approximately $2,900,000, primarily for production equipment, and approximately $1,700,000 for the payment of the previously declared cash dividends on July 6, 2004.</w:t>
      </w:r>
    </w:p>
    <w:p>
      <w:pPr>
        <w:spacing w:after="0" w:line="190" w:lineRule="exact"/>
        <w:rPr>
          <w:sz w:val="20"/>
          <w:szCs w:val="20"/>
          <w:color w:val="auto"/>
        </w:rPr>
      </w:pPr>
    </w:p>
    <w:p>
      <w:pPr>
        <w:ind w:left="1300" w:right="1340"/>
        <w:spacing w:after="0" w:line="296" w:lineRule="auto"/>
        <w:rPr>
          <w:sz w:val="20"/>
          <w:szCs w:val="20"/>
          <w:color w:val="auto"/>
        </w:rPr>
      </w:pPr>
      <w:r>
        <w:rPr>
          <w:rFonts w:ascii="Times New Roman" w:cs="Times New Roman" w:eastAsia="Times New Roman" w:hAnsi="Times New Roman"/>
          <w:sz w:val="16"/>
          <w:szCs w:val="16"/>
          <w:color w:val="auto"/>
        </w:rPr>
        <w:t>During the third quarter ended May 29, 2004, the Company completed the stock repurchase authorized by the Company’s Board of Directors on March 19, 2003, which allowed for the repurchase of up to $20 million of the Company’s common stock. As of May 29, 2004, 1,076,331 shares had been repurchased under this authorization for an aggregate consideration of approximately $19,990,000. On June 16, 2004, the Board of Directors authorized the repurchase of outstanding shares of the Company’s common stock, depending on market conditions, for an aggregate of up to $30 million.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COMPANY OUTLOOK</w:t>
      </w:r>
    </w:p>
    <w:p>
      <w:pPr>
        <w:spacing w:after="0" w:line="308" w:lineRule="exact"/>
        <w:rPr>
          <w:sz w:val="20"/>
          <w:szCs w:val="20"/>
          <w:color w:val="auto"/>
        </w:rPr>
      </w:pPr>
    </w:p>
    <w:p>
      <w:pPr>
        <w:ind w:left="1300" w:right="1380"/>
        <w:spacing w:after="0" w:line="255" w:lineRule="auto"/>
        <w:rPr>
          <w:sz w:val="20"/>
          <w:szCs w:val="20"/>
          <w:color w:val="auto"/>
        </w:rPr>
      </w:pPr>
      <w:r>
        <w:rPr>
          <w:rFonts w:ascii="Times New Roman" w:cs="Times New Roman" w:eastAsia="Times New Roman" w:hAnsi="Times New Roman"/>
          <w:sz w:val="18"/>
          <w:szCs w:val="18"/>
          <w:color w:val="auto"/>
        </w:rPr>
        <w:t>Long-term growth demographics appear to be favorable for the Company as its target market of consumers age 50 and older is expected to increase for the next 30 years. In addition to growth in the target market due to the aging of the baby boom generation, a study conducted in 2001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Order backlog for the Company’s motor homes is as follows:</w:t>
      </w:r>
    </w:p>
    <w:p>
      <w:pPr>
        <w:sectPr>
          <w:pgSz w:w="11900" w:h="16838" w:orient="portrait"/>
          <w:cols w:equalWidth="0" w:num="1">
            <w:col w:w="11420"/>
          </w:cols>
          <w:pgMar w:left="240" w:top="125" w:right="239" w:bottom="0" w:gutter="0" w:footer="0" w:header="0"/>
        </w:sectPr>
      </w:pPr>
    </w:p>
    <w:bookmarkStart w:id="15" w:name="page16"/>
    <w:bookmarkEnd w:id="15"/>
    <w:tbl>
      <w:tblPr>
        <w:tblLayout w:type="fixed"/>
        <w:tblInd w:w="182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May</w:t>
            </w:r>
          </w:p>
        </w:tc>
        <w:tc>
          <w:tcPr>
            <w:tcW w:w="220" w:type="dxa"/>
            <w:vAlign w:val="bottom"/>
          </w:tcPr>
          <w:p>
            <w:pPr>
              <w:spacing w:after="0"/>
              <w:rPr>
                <w:sz w:val="13"/>
                <w:szCs w:val="13"/>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May</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2760" w:type="dxa"/>
            <w:vAlign w:val="bottom"/>
          </w:tcPr>
          <w:p>
            <w:pPr>
              <w:spacing w:after="0"/>
              <w:rPr>
                <w:sz w:val="12"/>
                <w:szCs w:val="12"/>
                <w:color w:val="auto"/>
              </w:rPr>
            </w:pPr>
          </w:p>
        </w:tc>
        <w:tc>
          <w:tcPr>
            <w:tcW w:w="460" w:type="dxa"/>
            <w:vAlign w:val="bottom"/>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29,</w:t>
            </w:r>
          </w:p>
        </w:tc>
        <w:tc>
          <w:tcPr>
            <w:tcW w:w="6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r>
      <w:tr>
        <w:trPr>
          <w:trHeight w:val="178"/>
        </w:trPr>
        <w:tc>
          <w:tcPr>
            <w:tcW w:w="2760" w:type="dxa"/>
            <w:vAlign w:val="bottom"/>
          </w:tcPr>
          <w:p>
            <w:pPr>
              <w:spacing w:after="0"/>
              <w:rPr>
                <w:sz w:val="15"/>
                <w:szCs w:val="15"/>
                <w:color w:val="auto"/>
              </w:rPr>
            </w:pP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Change</w:t>
            </w:r>
          </w:p>
        </w:tc>
      </w:tr>
      <w:tr>
        <w:trPr>
          <w:trHeight w:val="95"/>
        </w:trPr>
        <w:tc>
          <w:tcPr>
            <w:tcW w:w="27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(gas)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(diesel)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Class C motor homes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110"/>
        </w:trPr>
        <w:tc>
          <w:tcPr>
            <w:tcW w:w="27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backlog</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120"/>
        </w:trPr>
        <w:tc>
          <w:tcPr>
            <w:tcW w:w="27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00" w:right="159"/>
        <w:spacing w:after="0" w:line="262" w:lineRule="auto"/>
        <w:rPr>
          <w:sz w:val="20"/>
          <w:szCs w:val="20"/>
          <w:color w:val="auto"/>
        </w:rPr>
      </w:pPr>
      <w:r>
        <w:rPr>
          <w:rFonts w:ascii="Times New Roman" w:cs="Times New Roman" w:eastAsia="Times New Roman" w:hAnsi="Times New Roman"/>
          <w:sz w:val="18"/>
          <w:szCs w:val="18"/>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08" w:lineRule="exact"/>
        <w:rPr>
          <w:sz w:val="20"/>
          <w:szCs w:val="20"/>
          <w:color w:val="auto"/>
        </w:rPr>
      </w:pPr>
    </w:p>
    <w:p>
      <w:pPr>
        <w:ind w:left="100" w:right="159"/>
        <w:spacing w:after="0" w:line="256" w:lineRule="auto"/>
        <w:rPr>
          <w:sz w:val="20"/>
          <w:szCs w:val="20"/>
          <w:color w:val="auto"/>
        </w:rPr>
      </w:pPr>
      <w:r>
        <w:rPr>
          <w:rFonts w:ascii="Times New Roman" w:cs="Times New Roman" w:eastAsia="Times New Roman" w:hAnsi="Times New Roman"/>
          <w:sz w:val="18"/>
          <w:szCs w:val="18"/>
          <w:color w:val="auto"/>
        </w:rPr>
        <w:t>As of May 29, 2004, the Company had an investment portfolio of short-term investments, which are classified as cash and cash equivalents of $95,521,000, of which $90,851,000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08" w:lineRule="exact"/>
        <w:rPr>
          <w:sz w:val="20"/>
          <w:szCs w:val="20"/>
          <w:color w:val="auto"/>
        </w:rPr>
      </w:pPr>
    </w:p>
    <w:p>
      <w:pPr>
        <w:jc w:val="both"/>
        <w:ind w:left="100" w:right="219"/>
        <w:spacing w:after="0" w:line="310" w:lineRule="auto"/>
        <w:rPr>
          <w:sz w:val="20"/>
          <w:szCs w:val="20"/>
          <w:color w:val="auto"/>
        </w:rPr>
      </w:pPr>
      <w:r>
        <w:rPr>
          <w:rFonts w:ascii="Times New Roman" w:cs="Times New Roman" w:eastAsia="Times New Roman" w:hAnsi="Times New Roman"/>
          <w:sz w:val="16"/>
          <w:szCs w:val="16"/>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pacing w:after="0" w:line="151" w:lineRule="exact"/>
        <w:rPr>
          <w:sz w:val="20"/>
          <w:szCs w:val="20"/>
          <w:color w:val="auto"/>
        </w:rPr>
      </w:pPr>
    </w:p>
    <w:p>
      <w:pPr>
        <w:ind w:left="100" w:right="599"/>
        <w:spacing w:after="0" w:line="310" w:lineRule="auto"/>
        <w:rPr>
          <w:sz w:val="20"/>
          <w:szCs w:val="20"/>
          <w:color w:val="auto"/>
        </w:rPr>
      </w:pPr>
      <w:r>
        <w:rPr>
          <w:rFonts w:ascii="Times New Roman" w:cs="Times New Roman" w:eastAsia="Times New Roman" w:hAnsi="Times New Roman"/>
          <w:sz w:val="16"/>
          <w:szCs w:val="16"/>
          <w:color w:val="auto"/>
        </w:rPr>
        <w:t>Our Chief Executive Officer and our Chief Financial Officer evaluated the effectiveness of our disclosure controls and procedures as of the end of the period covered by this Form 10-Q. Based on their evaluation, they concluded that our disclosure controls and procedures were effective in achieving the objectives for which they were designed.</w:t>
      </w:r>
    </w:p>
    <w:p>
      <w:pPr>
        <w:spacing w:after="0" w:line="151" w:lineRule="exact"/>
        <w:rPr>
          <w:sz w:val="20"/>
          <w:szCs w:val="20"/>
          <w:color w:val="auto"/>
        </w:rPr>
      </w:pPr>
    </w:p>
    <w:p>
      <w:pPr>
        <w:jc w:val="both"/>
        <w:ind w:left="100" w:right="199"/>
        <w:spacing w:after="0" w:line="262" w:lineRule="auto"/>
        <w:rPr>
          <w:sz w:val="20"/>
          <w:szCs w:val="20"/>
          <w:color w:val="auto"/>
        </w:rPr>
      </w:pPr>
      <w:r>
        <w:rPr>
          <w:rFonts w:ascii="Times New Roman" w:cs="Times New Roman" w:eastAsia="Times New Roman" w:hAnsi="Times New Roman"/>
          <w:sz w:val="18"/>
          <w:szCs w:val="18"/>
          <w:color w:val="auto"/>
        </w:rPr>
        <w:t>Furthermore, there have been no changes in our internal control over financial reporting during the fiscal quarter covered by this Form 10-Q that have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13" w:lineRule="exact"/>
        <w:rPr>
          <w:sz w:val="20"/>
          <w:szCs w:val="20"/>
          <w:color w:val="auto"/>
        </w:rPr>
      </w:pPr>
    </w:p>
    <w:p>
      <w:pPr>
        <w:ind w:left="100" w:right="219"/>
        <w:spacing w:after="0" w:line="339" w:lineRule="auto"/>
        <w:rPr>
          <w:sz w:val="20"/>
          <w:szCs w:val="20"/>
          <w:color w:val="auto"/>
        </w:rPr>
      </w:pPr>
      <w:r>
        <w:rPr>
          <w:rFonts w:ascii="Times New Roman" w:cs="Times New Roman" w:eastAsia="Times New Roman" w:hAnsi="Times New Roman"/>
          <w:sz w:val="16"/>
          <w:szCs w:val="16"/>
          <w:color w:val="auto"/>
        </w:rPr>
        <w:t>We have reviewed the accompanying consolidated balance sheet of Winnebago Industries, Inc. and subsidiaries (the Company) as of May 29, 2004, and the related consolidated statements of income for the 13-week and 39-week periods and</w:t>
      </w:r>
    </w:p>
    <w:p>
      <w:pPr>
        <w:sectPr>
          <w:pgSz w:w="11900" w:h="16838" w:orient="portrait"/>
          <w:cols w:equalWidth="0" w:num="1">
            <w:col w:w="9019"/>
          </w:cols>
          <w:pgMar w:left="1440" w:top="110" w:right="1440" w:bottom="0" w:gutter="0" w:footer="0" w:header="0"/>
        </w:sectPr>
      </w:pPr>
    </w:p>
    <w:bookmarkStart w:id="16" w:name="page17"/>
    <w:bookmarkEnd w:id="16"/>
    <w:p>
      <w:pPr>
        <w:ind w:left="100" w:right="1200"/>
        <w:spacing w:after="0" w:line="275" w:lineRule="auto"/>
        <w:rPr>
          <w:sz w:val="20"/>
          <w:szCs w:val="20"/>
          <w:color w:val="auto"/>
        </w:rPr>
      </w:pPr>
      <w:r>
        <w:rPr>
          <w:rFonts w:ascii="Times New Roman" w:cs="Times New Roman" w:eastAsia="Times New Roman" w:hAnsi="Times New Roman"/>
          <w:sz w:val="18"/>
          <w:szCs w:val="18"/>
          <w:color w:val="auto"/>
        </w:rPr>
        <w:t>the condensed consolidated statements of cash flows for the 39-week periods ended May 29, 2004 and May 31, 2003, respectively. These interim financial statements are the responsibility of the Company’s management.</w:t>
      </w:r>
    </w:p>
    <w:p>
      <w:pPr>
        <w:spacing w:after="0" w:line="174" w:lineRule="exact"/>
        <w:rPr>
          <w:sz w:val="20"/>
          <w:szCs w:val="20"/>
          <w:color w:val="auto"/>
        </w:rPr>
      </w:pPr>
    </w:p>
    <w:p>
      <w:pPr>
        <w:ind w:left="100" w:right="640"/>
        <w:spacing w:after="0" w:line="255" w:lineRule="auto"/>
        <w:rPr>
          <w:sz w:val="20"/>
          <w:szCs w:val="20"/>
          <w:color w:val="auto"/>
        </w:rPr>
      </w:pPr>
      <w:r>
        <w:rPr>
          <w:rFonts w:ascii="Times New Roman" w:cs="Times New Roman" w:eastAsia="Times New Roman" w:hAnsi="Times New Roman"/>
          <w:sz w:val="18"/>
          <w:szCs w:val="18"/>
          <w:color w:val="auto"/>
        </w:rPr>
        <w:t>We conducted our review in accordance with standards established by the Public Company Accounting Oversight Board (United States). A review of interim financial information consists principally of applying analytical procedures to financial data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93" w:lineRule="exact"/>
        <w:rPr>
          <w:sz w:val="20"/>
          <w:szCs w:val="20"/>
          <w:color w:val="auto"/>
        </w:rPr>
      </w:pPr>
    </w:p>
    <w:p>
      <w:pPr>
        <w:ind w:left="100" w:right="780"/>
        <w:spacing w:after="0" w:line="262" w:lineRule="auto"/>
        <w:rPr>
          <w:sz w:val="20"/>
          <w:szCs w:val="20"/>
          <w:color w:val="auto"/>
        </w:rPr>
      </w:pPr>
      <w:r>
        <w:rPr>
          <w:rFonts w:ascii="Times New Roman" w:cs="Times New Roman" w:eastAsia="Times New Roman" w:hAnsi="Times New Roman"/>
          <w:sz w:val="18"/>
          <w:szCs w:val="18"/>
          <w:color w:val="auto"/>
        </w:rPr>
        <w:t>Based on our review,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left="100" w:right="880"/>
        <w:spacing w:after="0" w:line="255" w:lineRule="auto"/>
        <w:rPr>
          <w:sz w:val="20"/>
          <w:szCs w:val="20"/>
          <w:color w:val="auto"/>
        </w:rPr>
      </w:pPr>
      <w:r>
        <w:rPr>
          <w:rFonts w:ascii="Times New Roman" w:cs="Times New Roman" w:eastAsia="Times New Roman" w:hAnsi="Times New Roman"/>
          <w:sz w:val="18"/>
          <w:szCs w:val="18"/>
          <w:color w:val="auto"/>
        </w:rPr>
        <w:t>We have previously audited, in accordance with standards of the Public Company Accounting Oversight Board (United States), the consolidated balance sheet of the Company as of August 30, 2003, and the related consolidated statements of income, stockholders’ equity, and cash flows for the year then ended (not presented herein); and in our report dated November 21, 2003, we expressed an unqualified opinion on those consolidated financial statements. In our opinion, the information set forth in the accompanying consolidated balance sheet as of August 30, 2003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30,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225" w:lineRule="exact"/>
        <w:rPr>
          <w:sz w:val="20"/>
          <w:szCs w:val="20"/>
          <w:color w:val="auto"/>
        </w:rPr>
      </w:pPr>
    </w:p>
    <w:p>
      <w:pPr>
        <w:ind w:left="580"/>
        <w:spacing w:after="0" w:line="253" w:lineRule="auto"/>
        <w:rPr>
          <w:sz w:val="20"/>
          <w:szCs w:val="20"/>
          <w:color w:val="auto"/>
        </w:rPr>
      </w:pPr>
      <w:r>
        <w:rPr>
          <w:rFonts w:ascii="Times New Roman" w:cs="Times New Roman" w:eastAsia="Times New Roman" w:hAnsi="Times New Roman"/>
          <w:sz w:val="18"/>
          <w:szCs w:val="18"/>
          <w:color w:val="auto"/>
        </w:rPr>
        <w:t xml:space="preserve">Reference is made to Item 3 (Legal Proceedings) in the Company’s Annual Report on Form 10-K for the year ended August 30, 2003, for a description of certain litigation entitled </w:t>
      </w:r>
      <w:r>
        <w:rPr>
          <w:rFonts w:ascii="Times New Roman" w:cs="Times New Roman" w:eastAsia="Times New Roman" w:hAnsi="Times New Roman"/>
          <w:sz w:val="18"/>
          <w:szCs w:val="18"/>
          <w:u w:val="single" w:color="auto"/>
          <w:color w:val="auto"/>
        </w:rPr>
        <w:t>Sanft, et al vs. Winnebago Industries, Inc., et al</w:t>
      </w:r>
      <w:r>
        <w:rPr>
          <w:rFonts w:ascii="Times New Roman" w:cs="Times New Roman" w:eastAsia="Times New Roman" w:hAnsi="Times New Roman"/>
          <w:sz w:val="18"/>
          <w:szCs w:val="18"/>
          <w:color w:val="auto"/>
        </w:rPr>
        <w:t>. The Company has settled all claims raised in this lawsuit involving 21 participants in the Winnebago Industries, Inc. Deferred Compensation Plan and the Winnebago Industries, Inc. Deferred Incentive Formula Bonus Plan (the “Plans”). The Plaintiffs were seeking to negate certain amendments made to the Plans in 1994 which reduced the benefits which some participants would receive under the Plans. The settlement will result in a partial reinstatement of the alleged lost benefits and will have a present value cost to the Company of approximately $5,300,000. Additionally, the Company has voluntarily decided to provide the same benefit to an additional 22 non-plaintiff participants in the Plans and this will create an additional present value cost to the Company of approximately $2,040,000.</w:t>
      </w:r>
    </w:p>
    <w:p>
      <w:pPr>
        <w:spacing w:after="0" w:line="22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18"/>
          <w:szCs w:val="18"/>
          <w:color w:val="auto"/>
        </w:rPr>
        <w:t>The total pre-tax charge recorded in the third quarter of the Company’s 2004 fiscal year was $7,340,000, which on an after tax basis equates to approximately $4,590,000, or approximately 13 cents per diluted share. The Company believes that approximately $1,300,000 will be paid in the Company’s fourth quarter with the balance of the settlement to be paid out in monthly increments over a 15-year period.</w:t>
      </w:r>
    </w:p>
    <w:p>
      <w:pPr>
        <w:spacing w:after="0" w:line="217" w:lineRule="exact"/>
        <w:rPr>
          <w:sz w:val="20"/>
          <w:szCs w:val="20"/>
          <w:color w:val="auto"/>
        </w:rPr>
      </w:pPr>
    </w:p>
    <w:p>
      <w:pPr>
        <w:ind w:left="580" w:right="480"/>
        <w:spacing w:after="0" w:line="339" w:lineRule="auto"/>
        <w:rPr>
          <w:sz w:val="20"/>
          <w:szCs w:val="20"/>
          <w:color w:val="auto"/>
        </w:rPr>
      </w:pPr>
      <w:r>
        <w:rPr>
          <w:rFonts w:ascii="Times New Roman" w:cs="Times New Roman" w:eastAsia="Times New Roman" w:hAnsi="Times New Roman"/>
          <w:sz w:val="16"/>
          <w:szCs w:val="16"/>
          <w:color w:val="auto"/>
        </w:rPr>
        <w:t xml:space="preserve">Reference is also made to Item 3 (Legal Proceedings) in the Company’s Annual Report on Form 10-K for the year ended August 30, 2003 for a description of certain litigation entitled </w:t>
      </w:r>
      <w:r>
        <w:rPr>
          <w:rFonts w:ascii="Times New Roman" w:cs="Times New Roman" w:eastAsia="Times New Roman" w:hAnsi="Times New Roman"/>
          <w:sz w:val="16"/>
          <w:szCs w:val="16"/>
          <w:u w:val="single" w:color="auto"/>
          <w:color w:val="auto"/>
        </w:rPr>
        <w:t>Jody Bartleson, et al vs. Winnebago Industries, Inc., et al</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580" w:right="120"/>
        <w:spacing w:after="0" w:line="255" w:lineRule="auto"/>
        <w:rPr>
          <w:sz w:val="20"/>
          <w:szCs w:val="20"/>
          <w:color w:val="auto"/>
        </w:rPr>
      </w:pPr>
      <w:r>
        <w:rPr>
          <w:rFonts w:ascii="Times New Roman" w:cs="Times New Roman" w:eastAsia="Times New Roman" w:hAnsi="Times New Roman"/>
          <w:sz w:val="18"/>
          <w:szCs w:val="18"/>
          <w:color w:val="auto"/>
        </w:rPr>
        <w:t>The Company is also involved in various other legal proceedings which are ordinary routine litigation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ectPr>
          <w:pgSz w:w="11900" w:h="16838" w:orient="portrait"/>
          <w:cols w:equalWidth="0" w:num="1">
            <w:col w:w="9560"/>
          </w:cols>
          <w:pgMar w:left="1440" w:top="125" w:right="899" w:bottom="473" w:gutter="0" w:footer="0" w:header="0"/>
        </w:sectPr>
      </w:pPr>
    </w:p>
    <w:bookmarkStart w:id="17" w:name="page18"/>
    <w:bookmarkEnd w:id="17"/>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Item 2. Changes in Securities, Use of Proceeds and Issuer Purchases of Equity Securities</w:t>
      </w:r>
    </w:p>
    <w:p>
      <w:pPr>
        <w:spacing w:after="0" w:line="225" w:lineRule="exact"/>
        <w:rPr>
          <w:sz w:val="20"/>
          <w:szCs w:val="20"/>
          <w:color w:val="auto"/>
        </w:rPr>
      </w:pPr>
    </w:p>
    <w:p>
      <w:pPr>
        <w:ind w:left="100" w:right="780"/>
        <w:spacing w:after="0" w:line="275" w:lineRule="auto"/>
        <w:rPr>
          <w:sz w:val="20"/>
          <w:szCs w:val="20"/>
          <w:color w:val="auto"/>
        </w:rPr>
      </w:pPr>
      <w:r>
        <w:rPr>
          <w:rFonts w:ascii="Times New Roman" w:cs="Times New Roman" w:eastAsia="Times New Roman" w:hAnsi="Times New Roman"/>
          <w:sz w:val="18"/>
          <w:szCs w:val="18"/>
          <w:color w:val="auto"/>
        </w:rPr>
        <w:t>This table provides information with respect to purchases by the Company of shares of its common stock during each fiscal month of the third quarter of fiscal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187960</wp:posOffset>
            </wp:positionV>
            <wp:extent cx="60032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2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6"/>
              </w:rPr>
              <w:t>Maximum Number (or</w:t>
            </w:r>
          </w:p>
        </w:tc>
      </w:tr>
      <w:tr>
        <w:trPr>
          <w:trHeight w:val="149"/>
        </w:trPr>
        <w:tc>
          <w:tcPr>
            <w:tcW w:w="2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620" w:type="dxa"/>
            <w:vAlign w:val="bottom"/>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 Dollar</w:t>
            </w:r>
          </w:p>
        </w:tc>
      </w:tr>
      <w:tr>
        <w:trPr>
          <w:trHeight w:val="149"/>
        </w:trPr>
        <w:tc>
          <w:tcPr>
            <w:tcW w:w="2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Purchased as Part</w:t>
            </w:r>
          </w:p>
        </w:tc>
        <w:tc>
          <w:tcPr>
            <w:tcW w:w="162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 Shares</w:t>
            </w:r>
          </w:p>
        </w:tc>
      </w:tr>
      <w:tr>
        <w:trPr>
          <w:trHeight w:val="149"/>
        </w:trPr>
        <w:tc>
          <w:tcPr>
            <w:tcW w:w="2440" w:type="dxa"/>
            <w:vAlign w:val="bottom"/>
          </w:tcPr>
          <w:p>
            <w:pPr>
              <w:spacing w:after="0"/>
              <w:rPr>
                <w:sz w:val="12"/>
                <w:szCs w:val="12"/>
                <w:color w:val="auto"/>
              </w:rPr>
            </w:pPr>
          </w:p>
        </w:tc>
        <w:tc>
          <w:tcPr>
            <w:tcW w:w="190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w:t>
            </w:r>
          </w:p>
        </w:tc>
        <w:tc>
          <w:tcPr>
            <w:tcW w:w="16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Publicly</w:t>
            </w:r>
          </w:p>
        </w:tc>
        <w:tc>
          <w:tcPr>
            <w:tcW w:w="162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That May Yet Be</w:t>
            </w:r>
          </w:p>
        </w:tc>
      </w:tr>
      <w:tr>
        <w:trPr>
          <w:trHeight w:val="149"/>
        </w:trPr>
        <w:tc>
          <w:tcPr>
            <w:tcW w:w="2440" w:type="dxa"/>
            <w:vAlign w:val="bottom"/>
          </w:tcPr>
          <w:p>
            <w:pPr>
              <w:spacing w:after="0"/>
              <w:rPr>
                <w:sz w:val="12"/>
                <w:szCs w:val="12"/>
                <w:color w:val="auto"/>
              </w:rPr>
            </w:pPr>
          </w:p>
        </w:tc>
        <w:tc>
          <w:tcPr>
            <w:tcW w:w="190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Announced Plans or</w:t>
            </w:r>
          </w:p>
        </w:tc>
        <w:tc>
          <w:tcPr>
            <w:tcW w:w="162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Under the</w:t>
            </w:r>
          </w:p>
        </w:tc>
      </w:tr>
      <w:tr>
        <w:trPr>
          <w:trHeight w:val="178"/>
        </w:trPr>
        <w:tc>
          <w:tcPr>
            <w:tcW w:w="2440" w:type="dxa"/>
            <w:vAlign w:val="bottom"/>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162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6"/>
              </w:rPr>
              <w:t>Plans or Programs</w:t>
            </w:r>
          </w:p>
        </w:tc>
      </w:tr>
      <w:tr>
        <w:trPr>
          <w:trHeight w:val="95"/>
        </w:trPr>
        <w:tc>
          <w:tcPr>
            <w:tcW w:w="24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r>
      <w:tr>
        <w:trPr>
          <w:trHeight w:val="316"/>
        </w:trPr>
        <w:tc>
          <w:tcPr>
            <w:tcW w:w="24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2/29/04 - 4/03/04</w:t>
            </w:r>
          </w:p>
        </w:tc>
        <w:tc>
          <w:tcPr>
            <w:tcW w:w="1900" w:type="dxa"/>
            <w:vAlign w:val="bottom"/>
          </w:tcPr>
          <w:p>
            <w:pPr>
              <w:jc w:val="center"/>
              <w:ind w:left="121"/>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ind w:left="224"/>
              <w:spacing w:after="0"/>
              <w:rPr>
                <w:sz w:val="20"/>
                <w:szCs w:val="20"/>
                <w:color w:val="auto"/>
              </w:rPr>
            </w:pPr>
            <w:r>
              <w:rPr>
                <w:rFonts w:ascii="Times New Roman" w:cs="Times New Roman" w:eastAsia="Times New Roman" w:hAnsi="Times New Roman"/>
                <w:sz w:val="18"/>
                <w:szCs w:val="18"/>
                <w:color w:val="auto"/>
                <w:w w:val="97"/>
              </w:rPr>
              <w:t>$10,300,000</w:t>
            </w:r>
          </w:p>
        </w:tc>
      </w:tr>
      <w:tr>
        <w:trPr>
          <w:trHeight w:val="110"/>
        </w:trPr>
        <w:tc>
          <w:tcPr>
            <w:tcW w:w="24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316"/>
        </w:trPr>
        <w:tc>
          <w:tcPr>
            <w:tcW w:w="24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4/04/04 - 5/01/04</w:t>
            </w:r>
          </w:p>
        </w:tc>
        <w:tc>
          <w:tcPr>
            <w:tcW w:w="1900" w:type="dxa"/>
            <w:vAlign w:val="bottom"/>
          </w:tcPr>
          <w:p>
            <w:pPr>
              <w:jc w:val="center"/>
              <w:ind w:left="121"/>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ind w:left="224"/>
              <w:spacing w:after="0"/>
              <w:rPr>
                <w:sz w:val="20"/>
                <w:szCs w:val="20"/>
                <w:color w:val="auto"/>
              </w:rPr>
            </w:pPr>
            <w:r>
              <w:rPr>
                <w:rFonts w:ascii="Times New Roman" w:cs="Times New Roman" w:eastAsia="Times New Roman" w:hAnsi="Times New Roman"/>
                <w:sz w:val="18"/>
                <w:szCs w:val="18"/>
                <w:color w:val="auto"/>
                <w:w w:val="97"/>
              </w:rPr>
              <w:t>$10,300,000</w:t>
            </w:r>
          </w:p>
        </w:tc>
      </w:tr>
      <w:tr>
        <w:trPr>
          <w:trHeight w:val="110"/>
        </w:trPr>
        <w:tc>
          <w:tcPr>
            <w:tcW w:w="24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316"/>
        </w:trPr>
        <w:tc>
          <w:tcPr>
            <w:tcW w:w="24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5/02/04 - 5/29/04</w:t>
            </w:r>
          </w:p>
        </w:tc>
        <w:tc>
          <w:tcPr>
            <w:tcW w:w="190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w w:val="95"/>
              </w:rPr>
              <w:t>384,533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$26.76</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384,533</w:t>
            </w:r>
          </w:p>
        </w:tc>
        <w:tc>
          <w:tcPr>
            <w:tcW w:w="1620" w:type="dxa"/>
            <w:vAlign w:val="bottom"/>
          </w:tcPr>
          <w:p>
            <w:pPr>
              <w:jc w:val="center"/>
              <w:ind w:left="224"/>
              <w:spacing w:after="0"/>
              <w:rPr>
                <w:sz w:val="20"/>
                <w:szCs w:val="20"/>
                <w:color w:val="auto"/>
              </w:rPr>
            </w:pPr>
            <w:r>
              <w:rPr>
                <w:rFonts w:ascii="Times New Roman" w:cs="Times New Roman" w:eastAsia="Times New Roman" w:hAnsi="Times New Roman"/>
                <w:sz w:val="18"/>
                <w:szCs w:val="18"/>
                <w:color w:val="auto"/>
                <w:w w:val="95"/>
              </w:rPr>
              <w:t>$10,910</w:t>
            </w:r>
          </w:p>
        </w:tc>
      </w:tr>
      <w:tr>
        <w:trPr>
          <w:trHeight w:val="110"/>
        </w:trPr>
        <w:tc>
          <w:tcPr>
            <w:tcW w:w="24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316"/>
        </w:trPr>
        <w:tc>
          <w:tcPr>
            <w:tcW w:w="2440" w:type="dxa"/>
            <w:vAlign w:val="bottom"/>
          </w:tcPr>
          <w:p>
            <w:pPr>
              <w:jc w:val="right"/>
              <w:ind w:right="1636"/>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w w:val="95"/>
              </w:rPr>
              <w:t>384,533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$26.76</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384,533</w:t>
            </w:r>
          </w:p>
        </w:tc>
        <w:tc>
          <w:tcPr>
            <w:tcW w:w="1620" w:type="dxa"/>
            <w:vAlign w:val="bottom"/>
          </w:tcPr>
          <w:p>
            <w:pPr>
              <w:jc w:val="center"/>
              <w:ind w:left="204"/>
              <w:spacing w:after="0"/>
              <w:rPr>
                <w:sz w:val="20"/>
                <w:szCs w:val="20"/>
                <w:color w:val="auto"/>
              </w:rPr>
            </w:pPr>
            <w:r>
              <w:rPr>
                <w:rFonts w:ascii="Times New Roman" w:cs="Times New Roman" w:eastAsia="Times New Roman" w:hAnsi="Times New Roman"/>
                <w:sz w:val="18"/>
                <w:szCs w:val="18"/>
                <w:color w:val="auto"/>
                <w:w w:val="99"/>
              </w:rPr>
              <w:t>—</w:t>
            </w:r>
          </w:p>
        </w:tc>
      </w:tr>
      <w:tr>
        <w:trPr>
          <w:trHeight w:val="110"/>
        </w:trPr>
        <w:tc>
          <w:tcPr>
            <w:tcW w:w="24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bl>
    <w:p>
      <w:pPr>
        <w:spacing w:after="0" w:line="337" w:lineRule="exact"/>
        <w:rPr>
          <w:sz w:val="20"/>
          <w:szCs w:val="20"/>
          <w:color w:val="auto"/>
        </w:rPr>
      </w:pPr>
    </w:p>
    <w:p>
      <w:pPr>
        <w:ind w:left="580" w:right="60"/>
        <w:spacing w:after="0" w:line="262" w:lineRule="auto"/>
        <w:rPr>
          <w:sz w:val="20"/>
          <w:szCs w:val="20"/>
          <w:color w:val="auto"/>
        </w:rPr>
      </w:pPr>
      <w:r>
        <w:rPr>
          <w:rFonts w:ascii="Times New Roman" w:cs="Times New Roman" w:eastAsia="Times New Roman" w:hAnsi="Times New Roman"/>
          <w:sz w:val="18"/>
          <w:szCs w:val="18"/>
          <w:color w:val="auto"/>
        </w:rPr>
        <w:t>The Company’s Board of Directors, on March 19, 2003, authorized the repurchase of outstanding shares of the Company’s common stock, depending on market conditions, for an aggregate price of up to $20 million. This authorization was terminated as of May 29, 2004.</w:t>
      </w:r>
    </w:p>
    <w:p>
      <w:pPr>
        <w:spacing w:after="0" w:line="213" w:lineRule="exact"/>
        <w:rPr>
          <w:sz w:val="20"/>
          <w:szCs w:val="20"/>
          <w:color w:val="auto"/>
        </w:rPr>
      </w:pPr>
    </w:p>
    <w:p>
      <w:pPr>
        <w:ind w:left="580" w:right="420"/>
        <w:spacing w:after="0" w:line="262" w:lineRule="auto"/>
        <w:rPr>
          <w:sz w:val="20"/>
          <w:szCs w:val="20"/>
          <w:color w:val="auto"/>
        </w:rPr>
      </w:pPr>
      <w:r>
        <w:rPr>
          <w:rFonts w:ascii="Times New Roman" w:cs="Times New Roman" w:eastAsia="Times New Roman" w:hAnsi="Times New Roman"/>
          <w:sz w:val="18"/>
          <w:szCs w:val="18"/>
          <w:color w:val="auto"/>
        </w:rPr>
        <w:t>On June 16, 2004, the Company’s Board of Directors authorized the repurchase of outstanding shares of the Company’s common stock, depending on market conditions, for an aggregate of up to $30 million. There is no time restriction on this authorization.</w:t>
      </w: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Item 6. Exhibits and Reports on Form 8-K</w:t>
      </w:r>
    </w:p>
    <w:p>
      <w:pPr>
        <w:spacing w:after="0" w:line="225" w:lineRule="exact"/>
        <w:rPr>
          <w:sz w:val="20"/>
          <w:szCs w:val="20"/>
          <w:color w:val="auto"/>
        </w:rPr>
      </w:pPr>
    </w:p>
    <w:p>
      <w:pPr>
        <w:ind w:left="1100" w:hanging="536"/>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See Exhibit Index on page 23.</w:t>
      </w:r>
    </w:p>
    <w:p>
      <w:pPr>
        <w:spacing w:after="0" w:line="252" w:lineRule="exact"/>
        <w:rPr>
          <w:rFonts w:ascii="Times New Roman" w:cs="Times New Roman" w:eastAsia="Times New Roman" w:hAnsi="Times New Roman"/>
          <w:sz w:val="18"/>
          <w:szCs w:val="18"/>
          <w:color w:val="auto"/>
        </w:rPr>
      </w:pPr>
    </w:p>
    <w:p>
      <w:pPr>
        <w:ind w:left="1100" w:hanging="536"/>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8-K filings during quarter ended May 29, 2004.</w:t>
      </w:r>
    </w:p>
    <w:p>
      <w:pPr>
        <w:spacing w:after="0" w:line="252" w:lineRule="exact"/>
        <w:rPr>
          <w:sz w:val="20"/>
          <w:szCs w:val="20"/>
          <w:color w:val="auto"/>
        </w:rPr>
      </w:pPr>
    </w:p>
    <w:p>
      <w:pPr>
        <w:ind w:left="1060" w:right="500"/>
        <w:spacing w:after="0" w:line="275" w:lineRule="auto"/>
        <w:rPr>
          <w:sz w:val="20"/>
          <w:szCs w:val="20"/>
          <w:color w:val="auto"/>
        </w:rPr>
      </w:pPr>
      <w:r>
        <w:rPr>
          <w:rFonts w:ascii="Times New Roman" w:cs="Times New Roman" w:eastAsia="Times New Roman" w:hAnsi="Times New Roman"/>
          <w:sz w:val="18"/>
          <w:szCs w:val="18"/>
          <w:color w:val="auto"/>
        </w:rPr>
        <w:t>On March 15, 2004, the Company filed a report on Form 8-K relating to a press release issued by the Company to announce the anticipated date of its second quarter fiscal 2004 earnings announcement.</w:t>
      </w:r>
    </w:p>
    <w:p>
      <w:pPr>
        <w:spacing w:after="0" w:line="201" w:lineRule="exact"/>
        <w:rPr>
          <w:sz w:val="20"/>
          <w:szCs w:val="20"/>
          <w:color w:val="auto"/>
        </w:rPr>
      </w:pPr>
    </w:p>
    <w:p>
      <w:pPr>
        <w:ind w:left="1060" w:right="500"/>
        <w:spacing w:after="0" w:line="275" w:lineRule="auto"/>
        <w:rPr>
          <w:sz w:val="20"/>
          <w:szCs w:val="20"/>
          <w:color w:val="auto"/>
        </w:rPr>
      </w:pPr>
      <w:r>
        <w:rPr>
          <w:rFonts w:ascii="Times New Roman" w:cs="Times New Roman" w:eastAsia="Times New Roman" w:hAnsi="Times New Roman"/>
          <w:sz w:val="18"/>
          <w:szCs w:val="18"/>
          <w:color w:val="auto"/>
        </w:rPr>
        <w:t>On March 18, 2004, the Company filed a report on Form 8-K relating to a press release issued by the Company to announce its second quarter fiscal 2004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04" w:lineRule="exact"/>
        <w:rPr>
          <w:sz w:val="20"/>
          <w:szCs w:val="20"/>
          <w:color w:val="auto"/>
        </w:rPr>
      </w:pPr>
    </w:p>
    <w:p>
      <w:pPr>
        <w:ind w:left="100" w:right="8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83820</wp:posOffset>
            </wp:positionV>
            <wp:extent cx="22726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9560"/>
          </w:cols>
          <w:pgMar w:left="1440" w:top="1440" w:right="899" w:bottom="0" w:gutter="0" w:footer="0" w:header="0"/>
        </w:sectPr>
      </w:pPr>
    </w:p>
    <w:bookmarkStart w:id="18" w:name="page19"/>
    <w:bookmarkEnd w:id="18"/>
    <w:p>
      <w:pPr>
        <w:ind w:left="100"/>
        <w:spacing w:after="0"/>
        <w:tabs>
          <w:tab w:leader="none" w:pos="1020" w:val="left"/>
          <w:tab w:leader="none" w:pos="5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2004</w:t>
      </w:r>
      <w:r>
        <w:rPr>
          <w:sz w:val="20"/>
          <w:szCs w:val="20"/>
          <w:color w:val="auto"/>
        </w:rPr>
        <w:tab/>
      </w:r>
      <w:r>
        <w:rPr>
          <w:rFonts w:ascii="Times New Roman" w:cs="Times New Roman" w:eastAsia="Times New Roman" w:hAnsi="Times New Roman"/>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83820</wp:posOffset>
            </wp:positionV>
            <wp:extent cx="1191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83820</wp:posOffset>
            </wp:positionV>
            <wp:extent cx="22726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Bruce D. Hertzke</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Chairman of the Board,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and President</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1020" w:val="left"/>
          <w:tab w:leader="none" w:pos="5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2004</w:t>
      </w:r>
      <w:r>
        <w:rPr>
          <w:sz w:val="20"/>
          <w:szCs w:val="20"/>
          <w:color w:val="auto"/>
        </w:rPr>
        <w:tab/>
      </w:r>
      <w:r>
        <w:rPr>
          <w:rFonts w:ascii="Times New Roman" w:cs="Times New Roman" w:eastAsia="Times New Roman" w:hAnsi="Times New Roman"/>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83820</wp:posOffset>
            </wp:positionV>
            <wp:extent cx="1191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83820</wp:posOffset>
            </wp:positionV>
            <wp:extent cx="22726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Edwin F. Barker</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304" w:lineRule="exact"/>
        <w:rPr>
          <w:sz w:val="20"/>
          <w:szCs w:val="20"/>
          <w:color w:val="auto"/>
        </w:rPr>
      </w:pPr>
    </w:p>
    <w:p>
      <w:pPr>
        <w:ind w:left="1100" w:hanging="53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regarding Unaudited Interim Financial Statement.</w:t>
      </w:r>
    </w:p>
    <w:p>
      <w:pPr>
        <w:spacing w:after="0" w:line="252"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by the Chief Executive Officer pursuant to Section 302 of the Sarbanes-Oxley Act of 2002 dated July 2,</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2004.</w:t>
      </w:r>
    </w:p>
    <w:p>
      <w:pPr>
        <w:spacing w:after="0" w:line="240"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by the Chief Financial Officer pursuant to Section 302 of the Sarbanes-Oxley Act of 2002 dated July 2,</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2004.</w:t>
      </w:r>
    </w:p>
    <w:p>
      <w:pPr>
        <w:spacing w:after="0" w:line="240" w:lineRule="exact"/>
        <w:rPr>
          <w:sz w:val="20"/>
          <w:szCs w:val="20"/>
          <w:color w:val="auto"/>
        </w:rPr>
      </w:pPr>
    </w:p>
    <w:p>
      <w:pPr>
        <w:ind w:left="1100" w:right="360" w:hanging="526"/>
        <w:spacing w:after="0" w:line="275" w:lineRule="auto"/>
        <w:tabs>
          <w:tab w:leader="none" w:pos="1080" w:val="left"/>
        </w:tabs>
        <w:rPr>
          <w:sz w:val="20"/>
          <w:szCs w:val="20"/>
          <w:color w:val="auto"/>
        </w:rPr>
      </w:pPr>
      <w:r>
        <w:rPr>
          <w:rFonts w:ascii="Times New Roman" w:cs="Times New Roman" w:eastAsia="Times New Roman" w:hAnsi="Times New Roman"/>
          <w:sz w:val="18"/>
          <w:szCs w:val="18"/>
          <w:color w:val="auto"/>
        </w:rPr>
        <w:t>32.1</w:t>
        <w:tab/>
        <w:t>Certification by the Chief Executive Officer pursuant to Section 1350, as adopted pursuant to Section 906 of the Sarbanes-Oxley Act of 2002 dated July 2, 2004.</w:t>
      </w:r>
    </w:p>
    <w:p>
      <w:pPr>
        <w:spacing w:after="0" w:line="201" w:lineRule="exact"/>
        <w:rPr>
          <w:sz w:val="20"/>
          <w:szCs w:val="20"/>
          <w:color w:val="auto"/>
        </w:rPr>
      </w:pPr>
    </w:p>
    <w:p>
      <w:pPr>
        <w:ind w:left="1100" w:right="400" w:hanging="526"/>
        <w:spacing w:after="0" w:line="275" w:lineRule="auto"/>
        <w:tabs>
          <w:tab w:leader="none" w:pos="1080" w:val="left"/>
        </w:tabs>
        <w:rPr>
          <w:sz w:val="20"/>
          <w:szCs w:val="20"/>
          <w:color w:val="auto"/>
        </w:rPr>
      </w:pPr>
      <w:r>
        <w:rPr>
          <w:rFonts w:ascii="Times New Roman" w:cs="Times New Roman" w:eastAsia="Times New Roman" w:hAnsi="Times New Roman"/>
          <w:sz w:val="18"/>
          <w:szCs w:val="18"/>
          <w:color w:val="auto"/>
        </w:rPr>
        <w:t>32.2.</w:t>
        <w:tab/>
        <w:t>Certification by the Chief Financial Officer pursuant to Section 1350, as adopted pursuant to Section 906 of the Sarbanes-Oxley Act of 2002 dated July 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320"/>
          </w:cols>
          <w:pgMar w:left="1440" w:top="557" w:right="11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Exhibit 15</w:t>
      </w:r>
    </w:p>
    <w:p>
      <w:pPr>
        <w:spacing w:after="0" w:line="2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13" w:lineRule="exact"/>
        <w:rPr>
          <w:sz w:val="20"/>
          <w:szCs w:val="20"/>
          <w:color w:val="auto"/>
        </w:rPr>
      </w:pPr>
    </w:p>
    <w:p>
      <w:pPr>
        <w:ind w:left="100" w:right="299"/>
        <w:spacing w:after="0" w:line="258" w:lineRule="auto"/>
        <w:rPr>
          <w:sz w:val="20"/>
          <w:szCs w:val="20"/>
          <w:color w:val="auto"/>
        </w:rPr>
      </w:pPr>
      <w:r>
        <w:rPr>
          <w:rFonts w:ascii="Times New Roman" w:cs="Times New Roman" w:eastAsia="Times New Roman" w:hAnsi="Times New Roman"/>
          <w:sz w:val="18"/>
          <w:szCs w:val="18"/>
          <w:color w:val="auto"/>
        </w:rPr>
        <w:t>We have performed a review, in accordance with standards of the Public Company Accounting Oversight Board (United States), of the unaudited interim financial information of Winnebago Industries, Inc. and subsidiaries for the periods ended May 29, 2004 and May 31, 2003 as indicated in our report dated June 30, 2004; because we did not perform an audit, we express no opinion on that information.</w:t>
      </w:r>
    </w:p>
    <w:p>
      <w:pPr>
        <w:spacing w:after="0" w:line="190" w:lineRule="exact"/>
        <w:rPr>
          <w:sz w:val="20"/>
          <w:szCs w:val="20"/>
          <w:color w:val="auto"/>
        </w:rPr>
      </w:pPr>
    </w:p>
    <w:p>
      <w:pPr>
        <w:ind w:left="100" w:right="199"/>
        <w:spacing w:after="0" w:line="262" w:lineRule="auto"/>
        <w:rPr>
          <w:sz w:val="20"/>
          <w:szCs w:val="20"/>
          <w:color w:val="auto"/>
        </w:rPr>
      </w:pPr>
      <w:r>
        <w:rPr>
          <w:rFonts w:ascii="Times New Roman" w:cs="Times New Roman" w:eastAsia="Times New Roman" w:hAnsi="Times New Roman"/>
          <w:sz w:val="18"/>
          <w:szCs w:val="18"/>
          <w:color w:val="auto"/>
        </w:rPr>
        <w:t>We are aware that our report referred to above, which is included in your Quarterly Report on Form 10-Q for the quarter ended May 29, 2004, is incorporated by reference in Registration Statements No. 2-40316, No. 2-82109, No. 33-21757, No. 33-59930, and No. 333-31595 on Form S-8.</w:t>
      </w:r>
    </w:p>
    <w:p>
      <w:pPr>
        <w:spacing w:after="0" w:line="186" w:lineRule="exact"/>
        <w:rPr>
          <w:sz w:val="20"/>
          <w:szCs w:val="20"/>
          <w:color w:val="auto"/>
        </w:rPr>
      </w:pPr>
    </w:p>
    <w:p>
      <w:pPr>
        <w:ind w:left="100" w:right="119"/>
        <w:spacing w:after="0" w:line="262" w:lineRule="auto"/>
        <w:rPr>
          <w:sz w:val="20"/>
          <w:szCs w:val="20"/>
          <w:color w:val="auto"/>
        </w:rPr>
      </w:pPr>
      <w:r>
        <w:rPr>
          <w:rFonts w:ascii="Times New Roman" w:cs="Times New Roman" w:eastAsia="Times New Roman" w:hAnsi="Times New Roman"/>
          <w:sz w:val="18"/>
          <w:szCs w:val="18"/>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1291590</wp:posOffset>
            </wp:positionV>
            <wp:extent cx="725043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CERTIFICATION BY CHIEF EXECUTIVE OFFICER</w:t>
      </w:r>
    </w:p>
    <w:p>
      <w:pPr>
        <w:jc w:val="center"/>
        <w:ind w:right="600"/>
        <w:spacing w:after="0" w:line="230" w:lineRule="auto"/>
        <w:rPr>
          <w:sz w:val="20"/>
          <w:szCs w:val="20"/>
          <w:color w:val="auto"/>
        </w:rPr>
      </w:pPr>
      <w:r>
        <w:rPr>
          <w:rFonts w:ascii="Times New Roman" w:cs="Times New Roman" w:eastAsia="Times New Roman" w:hAnsi="Times New Roman"/>
          <w:sz w:val="22"/>
          <w:szCs w:val="22"/>
          <w:b w:val="1"/>
          <w:bCs w:val="1"/>
          <w:color w:val="auto"/>
        </w:rPr>
        <w:t>PURSUANT TO 18 U.S.C. SECTION 1350,</w:t>
      </w:r>
    </w:p>
    <w:p>
      <w:pPr>
        <w:jc w:val="center"/>
        <w:ind w:right="600"/>
        <w:spacing w:after="0" w:line="231" w:lineRule="auto"/>
        <w:rPr>
          <w:sz w:val="20"/>
          <w:szCs w:val="20"/>
          <w:color w:val="auto"/>
        </w:rPr>
      </w:pPr>
      <w:r>
        <w:rPr>
          <w:rFonts w:ascii="Times New Roman" w:cs="Times New Roman" w:eastAsia="Times New Roman" w:hAnsi="Times New Roman"/>
          <w:sz w:val="22"/>
          <w:szCs w:val="22"/>
          <w:b w:val="1"/>
          <w:bCs w:val="1"/>
          <w:color w:val="auto"/>
        </w:rPr>
        <w:t>AS ADOPTED PURSUANT TO SECTION 302</w:t>
      </w: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Bruce D. Hertzke, Chief Executive Officer of Winnebago Industries, Inc., certify that:</w:t>
      </w:r>
    </w:p>
    <w:p>
      <w:pPr>
        <w:spacing w:after="0" w:line="225" w:lineRule="exact"/>
        <w:rPr>
          <w:sz w:val="20"/>
          <w:szCs w:val="20"/>
          <w:color w:val="auto"/>
        </w:rPr>
      </w:pPr>
    </w:p>
    <w:p>
      <w:pPr>
        <w:ind w:left="1100" w:hanging="536"/>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Winnebago Industries, Inc. (the “Registrant”);</w:t>
      </w:r>
    </w:p>
    <w:p>
      <w:pPr>
        <w:spacing w:after="0" w:line="252" w:lineRule="exact"/>
        <w:rPr>
          <w:rFonts w:ascii="Times New Roman" w:cs="Times New Roman" w:eastAsia="Times New Roman" w:hAnsi="Times New Roman"/>
          <w:sz w:val="18"/>
          <w:szCs w:val="18"/>
          <w:color w:val="auto"/>
        </w:rPr>
      </w:pPr>
    </w:p>
    <w:p>
      <w:pPr>
        <w:jc w:val="both"/>
        <w:ind w:left="1100" w:right="120" w:hanging="536"/>
        <w:spacing w:after="0" w:line="26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Times New Roman" w:cs="Times New Roman" w:eastAsia="Times New Roman" w:hAnsi="Times New Roman"/>
          <w:sz w:val="18"/>
          <w:szCs w:val="18"/>
          <w:color w:val="auto"/>
        </w:rPr>
      </w:pPr>
    </w:p>
    <w:p>
      <w:pPr>
        <w:ind w:left="1100" w:hanging="536"/>
        <w:spacing w:after="0" w:line="26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3" w:lineRule="exact"/>
        <w:rPr>
          <w:rFonts w:ascii="Times New Roman" w:cs="Times New Roman" w:eastAsia="Times New Roman" w:hAnsi="Times New Roman"/>
          <w:sz w:val="18"/>
          <w:szCs w:val="18"/>
          <w:color w:val="auto"/>
        </w:rPr>
      </w:pPr>
    </w:p>
    <w:p>
      <w:pPr>
        <w:ind w:left="1100" w:right="200" w:hanging="536"/>
        <w:spacing w:after="0" w:line="275"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Times New Roman" w:cs="Times New Roman" w:eastAsia="Times New Roman" w:hAnsi="Times New Roman"/>
          <w:sz w:val="18"/>
          <w:szCs w:val="18"/>
          <w:color w:val="auto"/>
        </w:rPr>
      </w:pPr>
    </w:p>
    <w:p>
      <w:pPr>
        <w:ind w:left="1560" w:right="220" w:hanging="524"/>
        <w:spacing w:after="0" w:line="258" w:lineRule="auto"/>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7" w:lineRule="exact"/>
        <w:rPr>
          <w:rFonts w:ascii="Times New Roman" w:cs="Times New Roman" w:eastAsia="Times New Roman" w:hAnsi="Times New Roman"/>
          <w:sz w:val="18"/>
          <w:szCs w:val="18"/>
          <w:color w:val="auto"/>
        </w:rPr>
      </w:pPr>
    </w:p>
    <w:p>
      <w:pPr>
        <w:ind w:left="1560" w:right="120" w:hanging="524"/>
        <w:spacing w:after="0" w:line="262" w:lineRule="auto"/>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13" w:lineRule="exact"/>
        <w:rPr>
          <w:rFonts w:ascii="Times New Roman" w:cs="Times New Roman" w:eastAsia="Times New Roman" w:hAnsi="Times New Roman"/>
          <w:sz w:val="18"/>
          <w:szCs w:val="18"/>
          <w:color w:val="auto"/>
        </w:rPr>
      </w:pPr>
    </w:p>
    <w:p>
      <w:pPr>
        <w:ind w:left="1560" w:right="140" w:hanging="524"/>
        <w:spacing w:after="0" w:line="262" w:lineRule="auto"/>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213" w:lineRule="exact"/>
        <w:rPr>
          <w:rFonts w:ascii="Times New Roman" w:cs="Times New Roman" w:eastAsia="Times New Roman" w:hAnsi="Times New Roman"/>
          <w:sz w:val="18"/>
          <w:szCs w:val="18"/>
          <w:color w:val="auto"/>
        </w:rPr>
      </w:pPr>
    </w:p>
    <w:p>
      <w:pPr>
        <w:ind w:left="1100" w:right="280" w:hanging="536"/>
        <w:spacing w:after="0" w:line="339" w:lineRule="auto"/>
        <w:tabs>
          <w:tab w:leader="none" w:pos="11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55" w:lineRule="exact"/>
        <w:rPr>
          <w:rFonts w:ascii="Times New Roman" w:cs="Times New Roman" w:eastAsia="Times New Roman" w:hAnsi="Times New Roman"/>
          <w:sz w:val="16"/>
          <w:szCs w:val="16"/>
          <w:color w:val="auto"/>
        </w:rPr>
      </w:pPr>
    </w:p>
    <w:p>
      <w:pPr>
        <w:jc w:val="both"/>
        <w:ind w:left="1560" w:right="220" w:hanging="524"/>
        <w:spacing w:after="0" w:line="262" w:lineRule="auto"/>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18"/>
          <w:szCs w:val="18"/>
          <w:color w:val="auto"/>
        </w:rPr>
      </w:pPr>
    </w:p>
    <w:p>
      <w:pPr>
        <w:ind w:left="1560" w:right="160" w:hanging="524"/>
        <w:spacing w:after="0" w:line="275" w:lineRule="auto"/>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83820</wp:posOffset>
            </wp:positionV>
            <wp:extent cx="9175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83820</wp:posOffset>
            </wp:positionV>
            <wp:extent cx="23069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Bruce D. Hertzke</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60"/>
          </w:cols>
          <w:pgMar w:left="1440" w:top="108" w:right="899" w:bottom="1440" w:gutter="0" w:footer="0" w:header="0"/>
        </w:sectPr>
      </w:pPr>
    </w:p>
    <w:bookmarkStart w:id="21" w:name="page22"/>
    <w:bookmarkEnd w:id="21"/>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CERTIFICATION BY CHIEF FINANCIAL OFFICER</w:t>
      </w:r>
    </w:p>
    <w:p>
      <w:pPr>
        <w:jc w:val="center"/>
        <w:ind w:right="600"/>
        <w:spacing w:after="0" w:line="230" w:lineRule="auto"/>
        <w:rPr>
          <w:sz w:val="20"/>
          <w:szCs w:val="20"/>
          <w:color w:val="auto"/>
        </w:rPr>
      </w:pPr>
      <w:r>
        <w:rPr>
          <w:rFonts w:ascii="Times New Roman" w:cs="Times New Roman" w:eastAsia="Times New Roman" w:hAnsi="Times New Roman"/>
          <w:sz w:val="22"/>
          <w:szCs w:val="22"/>
          <w:b w:val="1"/>
          <w:bCs w:val="1"/>
          <w:color w:val="auto"/>
        </w:rPr>
        <w:t>PURSUANT TO 18 U.S.C. SECTION 1350,</w:t>
      </w:r>
    </w:p>
    <w:p>
      <w:pPr>
        <w:jc w:val="center"/>
        <w:ind w:right="600"/>
        <w:spacing w:after="0" w:line="231" w:lineRule="auto"/>
        <w:rPr>
          <w:sz w:val="20"/>
          <w:szCs w:val="20"/>
          <w:color w:val="auto"/>
        </w:rPr>
      </w:pPr>
      <w:r>
        <w:rPr>
          <w:rFonts w:ascii="Times New Roman" w:cs="Times New Roman" w:eastAsia="Times New Roman" w:hAnsi="Times New Roman"/>
          <w:sz w:val="22"/>
          <w:szCs w:val="22"/>
          <w:b w:val="1"/>
          <w:bCs w:val="1"/>
          <w:color w:val="auto"/>
        </w:rPr>
        <w:t>AS ADOPTED PURSUANT TO SECTION 302</w:t>
      </w: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Edwin F. Barker, Chief Financial Officer of Winnebago Industries, Inc., certify that:</w:t>
      </w:r>
    </w:p>
    <w:p>
      <w:pPr>
        <w:spacing w:after="0" w:line="225" w:lineRule="exact"/>
        <w:rPr>
          <w:sz w:val="20"/>
          <w:szCs w:val="20"/>
          <w:color w:val="auto"/>
        </w:rPr>
      </w:pPr>
    </w:p>
    <w:p>
      <w:pPr>
        <w:ind w:left="1100" w:hanging="536"/>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Winnebago Industries, Inc. (“the Registrant”);</w:t>
      </w:r>
    </w:p>
    <w:p>
      <w:pPr>
        <w:spacing w:after="0" w:line="252" w:lineRule="exact"/>
        <w:rPr>
          <w:rFonts w:ascii="Times New Roman" w:cs="Times New Roman" w:eastAsia="Times New Roman" w:hAnsi="Times New Roman"/>
          <w:sz w:val="18"/>
          <w:szCs w:val="18"/>
          <w:color w:val="auto"/>
        </w:rPr>
      </w:pPr>
    </w:p>
    <w:p>
      <w:pPr>
        <w:jc w:val="both"/>
        <w:ind w:left="1100" w:right="120" w:hanging="536"/>
        <w:spacing w:after="0" w:line="26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Times New Roman" w:cs="Times New Roman" w:eastAsia="Times New Roman" w:hAnsi="Times New Roman"/>
          <w:sz w:val="18"/>
          <w:szCs w:val="18"/>
          <w:color w:val="auto"/>
        </w:rPr>
      </w:pPr>
    </w:p>
    <w:p>
      <w:pPr>
        <w:ind w:left="1100" w:hanging="536"/>
        <w:spacing w:after="0" w:line="26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cash flows of the Registrant as of, and for, the periods presented in this Quarterly Report</w:t>
      </w:r>
    </w:p>
    <w:p>
      <w:pPr>
        <w:spacing w:after="0" w:line="213" w:lineRule="exact"/>
        <w:rPr>
          <w:rFonts w:ascii="Times New Roman" w:cs="Times New Roman" w:eastAsia="Times New Roman" w:hAnsi="Times New Roman"/>
          <w:sz w:val="18"/>
          <w:szCs w:val="18"/>
          <w:color w:val="auto"/>
        </w:rPr>
      </w:pPr>
    </w:p>
    <w:p>
      <w:pPr>
        <w:ind w:left="1100" w:right="200" w:hanging="536"/>
        <w:spacing w:after="0" w:line="275"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 defined in Exchange Act Rules 13a-15(e) and 15d-15(e)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200" w:lineRule="exact"/>
        <w:rPr>
          <w:rFonts w:ascii="Times New Roman" w:cs="Times New Roman" w:eastAsia="Times New Roman" w:hAnsi="Times New Roman"/>
          <w:sz w:val="18"/>
          <w:szCs w:val="18"/>
          <w:color w:val="auto"/>
        </w:rPr>
      </w:pPr>
    </w:p>
    <w:p>
      <w:pPr>
        <w:ind w:left="1560" w:right="220" w:hanging="524"/>
        <w:spacing w:after="0" w:line="258" w:lineRule="auto"/>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7" w:lineRule="exact"/>
        <w:rPr>
          <w:rFonts w:ascii="Times New Roman" w:cs="Times New Roman" w:eastAsia="Times New Roman" w:hAnsi="Times New Roman"/>
          <w:sz w:val="18"/>
          <w:szCs w:val="18"/>
          <w:color w:val="auto"/>
        </w:rPr>
      </w:pPr>
    </w:p>
    <w:p>
      <w:pPr>
        <w:ind w:left="1560" w:right="120" w:hanging="524"/>
        <w:spacing w:after="0" w:line="262" w:lineRule="auto"/>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13" w:lineRule="exact"/>
        <w:rPr>
          <w:rFonts w:ascii="Times New Roman" w:cs="Times New Roman" w:eastAsia="Times New Roman" w:hAnsi="Times New Roman"/>
          <w:sz w:val="18"/>
          <w:szCs w:val="18"/>
          <w:color w:val="auto"/>
        </w:rPr>
      </w:pPr>
    </w:p>
    <w:p>
      <w:pPr>
        <w:ind w:left="1560" w:right="140" w:hanging="524"/>
        <w:spacing w:after="0" w:line="262" w:lineRule="auto"/>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213" w:lineRule="exact"/>
        <w:rPr>
          <w:rFonts w:ascii="Times New Roman" w:cs="Times New Roman" w:eastAsia="Times New Roman" w:hAnsi="Times New Roman"/>
          <w:sz w:val="18"/>
          <w:szCs w:val="18"/>
          <w:color w:val="auto"/>
        </w:rPr>
      </w:pPr>
    </w:p>
    <w:p>
      <w:pPr>
        <w:ind w:left="1100" w:right="280" w:hanging="536"/>
        <w:spacing w:after="0" w:line="339" w:lineRule="auto"/>
        <w:tabs>
          <w:tab w:leader="none" w:pos="1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55" w:lineRule="exact"/>
        <w:rPr>
          <w:rFonts w:ascii="Times New Roman" w:cs="Times New Roman" w:eastAsia="Times New Roman" w:hAnsi="Times New Roman"/>
          <w:sz w:val="16"/>
          <w:szCs w:val="16"/>
          <w:color w:val="auto"/>
        </w:rPr>
      </w:pPr>
    </w:p>
    <w:p>
      <w:pPr>
        <w:jc w:val="both"/>
        <w:ind w:left="1560" w:right="220" w:hanging="524"/>
        <w:spacing w:after="0" w:line="262" w:lineRule="auto"/>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18"/>
          <w:szCs w:val="18"/>
          <w:color w:val="auto"/>
        </w:rPr>
      </w:pPr>
    </w:p>
    <w:p>
      <w:pPr>
        <w:ind w:left="1560" w:right="160" w:hanging="524"/>
        <w:spacing w:after="0" w:line="275" w:lineRule="auto"/>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83820</wp:posOffset>
            </wp:positionV>
            <wp:extent cx="9175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83820</wp:posOffset>
            </wp:positionV>
            <wp:extent cx="23069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Edwin F. Barker</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60"/>
          </w:cols>
          <w:pgMar w:left="1440" w:top="108" w:right="899" w:bottom="1440" w:gutter="0" w:footer="0" w:header="0"/>
        </w:sectPr>
      </w:pPr>
    </w:p>
    <w:bookmarkStart w:id="22" w:name="page23"/>
    <w:bookmarkEnd w:id="22"/>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74" w:lineRule="exact"/>
        <w:rPr>
          <w:sz w:val="20"/>
          <w:szCs w:val="20"/>
          <w:color w:val="auto"/>
        </w:rPr>
      </w:pPr>
    </w:p>
    <w:p>
      <w:pPr>
        <w:jc w:val="center"/>
        <w:ind w:left="100" w:right="520"/>
        <w:spacing w:after="0" w:line="246" w:lineRule="auto"/>
        <w:rPr>
          <w:sz w:val="20"/>
          <w:szCs w:val="20"/>
          <w:color w:val="auto"/>
        </w:rPr>
      </w:pPr>
      <w:r>
        <w:rPr>
          <w:rFonts w:ascii="Times New Roman" w:cs="Times New Roman" w:eastAsia="Times New Roman" w:hAnsi="Times New Roman"/>
          <w:sz w:val="22"/>
          <w:szCs w:val="22"/>
          <w:b w:val="1"/>
          <w:bCs w:val="1"/>
          <w:color w:val="auto"/>
        </w:rPr>
        <w:t>CERTIFICATION PURSUANT TO SECTION 906 OF THIS SARBANES-OXLEY ACT OF 2002 (18 U.S.C. SECTION 1350)</w:t>
      </w:r>
    </w:p>
    <w:p>
      <w:pPr>
        <w:spacing w:after="0" w:line="266" w:lineRule="exact"/>
        <w:rPr>
          <w:sz w:val="20"/>
          <w:szCs w:val="20"/>
          <w:color w:val="auto"/>
        </w:rPr>
      </w:pPr>
    </w:p>
    <w:p>
      <w:pPr>
        <w:ind w:left="100" w:right="660"/>
        <w:spacing w:after="0" w:line="275" w:lineRule="auto"/>
        <w:rPr>
          <w:sz w:val="20"/>
          <w:szCs w:val="20"/>
          <w:color w:val="auto"/>
        </w:rPr>
      </w:pPr>
      <w:r>
        <w:rPr>
          <w:rFonts w:ascii="Times New Roman" w:cs="Times New Roman" w:eastAsia="Times New Roman" w:hAnsi="Times New Roman"/>
          <w:sz w:val="18"/>
          <w:szCs w:val="18"/>
          <w:color w:val="auto"/>
        </w:rPr>
        <w:t>Bruce D. Hertzke, Chief Executive Officer and President, certifies that pursuant to 18 U.S.C. §1350 as adopted pursuant to §906 of the Sarbanes-Oxley Act of 2002, that:</w:t>
      </w:r>
    </w:p>
    <w:p>
      <w:pPr>
        <w:spacing w:after="0" w:line="174" w:lineRule="exact"/>
        <w:rPr>
          <w:sz w:val="20"/>
          <w:szCs w:val="20"/>
          <w:color w:val="auto"/>
        </w:rPr>
      </w:pPr>
    </w:p>
    <w:p>
      <w:pPr>
        <w:ind w:left="1100" w:hanging="536"/>
        <w:spacing w:after="0" w:line="258"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Report on Form 10-Q (“periodic report”) of Winnebago Industries, Inc. (the “issuer”), for the quarter ended May 29, 2004 as filed with the Securities and Exchange Commission on the date of this certificate, which this statement accompanies,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1100" w:right="120" w:hanging="536"/>
        <w:spacing w:after="0" w:line="275"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83820</wp:posOffset>
            </wp:positionV>
            <wp:extent cx="9175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83820</wp:posOffset>
            </wp:positionV>
            <wp:extent cx="23069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Bruce D. Hertzke</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400"/>
          </w:cols>
          <w:pgMar w:left="1440" w:top="108" w:right="1059" w:bottom="1440" w:gutter="0" w:footer="0" w:header="0"/>
        </w:sectPr>
      </w:pPr>
    </w:p>
    <w:bookmarkStart w:id="23" w:name="page24"/>
    <w:bookmarkEnd w:id="23"/>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74" w:lineRule="exact"/>
        <w:rPr>
          <w:sz w:val="20"/>
          <w:szCs w:val="20"/>
          <w:color w:val="auto"/>
        </w:rPr>
      </w:pPr>
    </w:p>
    <w:p>
      <w:pPr>
        <w:jc w:val="center"/>
        <w:ind w:left="100" w:right="520"/>
        <w:spacing w:after="0" w:line="246" w:lineRule="auto"/>
        <w:rPr>
          <w:sz w:val="20"/>
          <w:szCs w:val="20"/>
          <w:color w:val="auto"/>
        </w:rPr>
      </w:pPr>
      <w:r>
        <w:rPr>
          <w:rFonts w:ascii="Times New Roman" w:cs="Times New Roman" w:eastAsia="Times New Roman" w:hAnsi="Times New Roman"/>
          <w:sz w:val="22"/>
          <w:szCs w:val="22"/>
          <w:b w:val="1"/>
          <w:bCs w:val="1"/>
          <w:color w:val="auto"/>
        </w:rPr>
        <w:t>CERTIFICATION PURSUANT TO SECTION 906 OF THIS SARBANES-OXLEY ACT OF 2002 (18 U.S.C. SECTION 1350)</w:t>
      </w: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Edwin F. Barker, Chief Financial Officer, certifies that pursuant to 18 U.S.C. §1350 as adopted pursuant to §906 of the</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13" w:lineRule="exact"/>
        <w:rPr>
          <w:sz w:val="20"/>
          <w:szCs w:val="20"/>
          <w:color w:val="auto"/>
        </w:rPr>
      </w:pPr>
    </w:p>
    <w:p>
      <w:pPr>
        <w:ind w:left="1100" w:hanging="536"/>
        <w:spacing w:after="0" w:line="258"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Report on Form 10-Q (“periodic report”) of Winnebago Industries, Inc. (the “issuer”), for the quarter ended May 29, 2004 as filed with the Securities and Exchange Commission on the date of this certificate, which this statement accompanies,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1100" w:right="120" w:hanging="536"/>
        <w:spacing w:after="0" w:line="275"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83820</wp:posOffset>
            </wp:positionV>
            <wp:extent cx="9175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83820</wp:posOffset>
            </wp:positionV>
            <wp:extent cx="23069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Edwin F. Barker</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400"/>
      </w:cols>
      <w:pgMar w:left="1440" w:top="108"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5"/>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2019-12-13T08:26:09Z</dcterms:created>
  <dcterms:modified xsi:type="dcterms:W3CDTF">2019-12-13T08:26:09Z</dcterms:modified>
</cp:coreProperties>
</file>