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Bhattacharya Ashis Nayan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152</w:t>
      </w:r>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FOREST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2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180"/>
              <w:spacing w:after="0" w:line="187" w:lineRule="exact"/>
              <w:rPr>
                <w:sz w:val="20"/>
                <w:szCs w:val="20"/>
                <w:color w:val="auto"/>
              </w:rPr>
            </w:pPr>
            <w:r>
              <w:rPr>
                <w:rFonts w:ascii="Times New Roman" w:cs="Times New Roman" w:eastAsia="Times New Roman" w:hAnsi="Times New Roman"/>
                <w:sz w:val="17"/>
                <w:szCs w:val="17"/>
                <w:color w:val="0000FF"/>
              </w:rPr>
              <w:t>SVP-Business Development</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12/17/2020</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0" w:type="dxa"/>
            <w:vAlign w:val="bottom"/>
            <w:tcBorders>
              <w:bottom w:val="single" w:sz="8" w:color="2C2C2C"/>
            </w:tcBorders>
          </w:tcPr>
          <w:p>
            <w:pPr>
              <w:spacing w:after="0"/>
              <w:rPr>
                <w:sz w:val="15"/>
                <w:szCs w:val="15"/>
                <w:color w:val="auto"/>
              </w:rPr>
            </w:pPr>
          </w:p>
        </w:tc>
        <w:tc>
          <w:tcPr>
            <w:tcW w:w="36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318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59.54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22,022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83</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59.54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21,939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12/17/2020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146 shares acquired through the Winnebago Industries, Inc. Employee Stock Purchase Program</w:t>
      </w:r>
    </w:p>
    <w:p>
      <w:pPr>
        <w:sectPr>
          <w:pgSz w:w="11900" w:h="16838" w:orient="portrait"/>
          <w:cols w:equalWidth="0" w:num="1">
            <w:col w:w="11080"/>
          </w:cols>
          <w:pgMar w:left="460" w:top="219" w:right="359" w:bottom="144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President,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00" w:space="1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74994"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2020-12-21T18:26:33Z</dcterms:created>
  <dcterms:modified xsi:type="dcterms:W3CDTF">2020-12-21T18:26:33Z</dcterms:modified>
</cp:coreProperties>
</file>