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852170</wp:posOffset>
            </wp:positionH>
            <wp:positionV relativeFrom="page">
              <wp:posOffset>637540</wp:posOffset>
            </wp:positionV>
            <wp:extent cx="58572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57240" cy="8890"/>
                    </a:xfrm>
                    <a:prstGeom prst="rect">
                      <a:avLst/>
                    </a:prstGeom>
                    <a:noFill/>
                  </pic:spPr>
                </pic:pic>
              </a:graphicData>
            </a:graphic>
          </wp:anchor>
        </w:drawing>
        <w:drawing>
          <wp:anchor simplePos="0" relativeHeight="251657728" behindDoc="1" locked="0" layoutInCell="0" allowOverlap="1">
            <wp:simplePos x="0" y="0"/>
            <wp:positionH relativeFrom="page">
              <wp:posOffset>852170</wp:posOffset>
            </wp:positionH>
            <wp:positionV relativeFrom="page">
              <wp:posOffset>534670</wp:posOffset>
            </wp:positionV>
            <wp:extent cx="585724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5724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207645</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CURRENT REPORT</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Date of report (Date of earliest event reported) March 14,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756920</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241935</wp:posOffset>
            </wp:positionV>
            <wp:extent cx="3129915" cy="4286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2991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26" w:lineRule="exact"/>
        <w:rPr>
          <w:sz w:val="24"/>
          <w:szCs w:val="24"/>
          <w:color w:val="auto"/>
        </w:rPr>
      </w:pPr>
    </w:p>
    <w:tbl>
      <w:tblPr>
        <w:tblLayout w:type="fixed"/>
        <w:tblInd w:w="1120" w:type="dxa"/>
        <w:tblCellMar>
          <w:top w:w="0" w:type="dxa"/>
          <w:left w:w="0" w:type="dxa"/>
          <w:bottom w:w="0" w:type="dxa"/>
          <w:right w:w="0" w:type="dxa"/>
        </w:tblCellMar>
      </w:tblPr>
      <w:tr>
        <w:trPr>
          <w:trHeight w:val="24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500" w:type="dxa"/>
            <w:vAlign w:val="bottom"/>
            <w:tcBorders>
              <w:bottom w:val="single" w:sz="8" w:color="auto"/>
            </w:tcBorders>
          </w:tcPr>
          <w:p>
            <w:pPr>
              <w:jc w:val="right"/>
              <w:ind w:right="734"/>
              <w:spacing w:after="0"/>
              <w:rPr>
                <w:sz w:val="20"/>
                <w:szCs w:val="20"/>
                <w:color w:val="auto"/>
              </w:rPr>
            </w:pPr>
            <w:r>
              <w:rPr>
                <w:rFonts w:ascii="Arial" w:cs="Arial" w:eastAsia="Arial" w:hAnsi="Arial"/>
                <w:sz w:val="18"/>
                <w:szCs w:val="18"/>
                <w:b w:val="1"/>
                <w:bCs w:val="1"/>
                <w:color w:val="auto"/>
              </w:rPr>
              <w:t>001-06403</w:t>
            </w:r>
          </w:p>
        </w:tc>
        <w:tc>
          <w:tcPr>
            <w:tcW w:w="10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tcPr>
          <w:p>
            <w:pPr>
              <w:jc w:val="right"/>
              <w:ind w:right="1116"/>
              <w:spacing w:after="0"/>
              <w:rPr>
                <w:sz w:val="20"/>
                <w:szCs w:val="20"/>
                <w:color w:val="auto"/>
              </w:rPr>
            </w:pPr>
            <w:r>
              <w:rPr>
                <w:rFonts w:ascii="Arial" w:cs="Arial" w:eastAsia="Arial" w:hAnsi="Arial"/>
                <w:sz w:val="18"/>
                <w:szCs w:val="18"/>
                <w:b w:val="1"/>
                <w:bCs w:val="1"/>
                <w:color w:val="auto"/>
              </w:rPr>
              <w:t>42-0802678</w:t>
            </w:r>
          </w:p>
        </w:tc>
      </w:tr>
      <w:tr>
        <w:trPr>
          <w:trHeight w:val="218"/>
        </w:trPr>
        <w:tc>
          <w:tcPr>
            <w:tcW w:w="3340" w:type="dxa"/>
            <w:vAlign w:val="bottom"/>
          </w:tcPr>
          <w:p>
            <w:pPr>
              <w:jc w:val="center"/>
              <w:spacing w:after="0"/>
              <w:rPr>
                <w:sz w:val="20"/>
                <w:szCs w:val="20"/>
                <w:color w:val="auto"/>
              </w:rPr>
            </w:pPr>
            <w:r>
              <w:rPr>
                <w:rFonts w:ascii="Arial" w:cs="Arial" w:eastAsia="Arial" w:hAnsi="Arial"/>
                <w:sz w:val="16"/>
                <w:szCs w:val="16"/>
                <w:color w:val="auto"/>
              </w:rPr>
              <w:t>(State or Other Jurisdiction</w:t>
            </w:r>
          </w:p>
        </w:tc>
        <w:tc>
          <w:tcPr>
            <w:tcW w:w="2600" w:type="dxa"/>
            <w:vAlign w:val="bottom"/>
            <w:gridSpan w:val="2"/>
          </w:tcPr>
          <w:p>
            <w:pPr>
              <w:jc w:val="center"/>
              <w:ind w:right="100"/>
              <w:spacing w:after="0"/>
              <w:rPr>
                <w:sz w:val="20"/>
                <w:szCs w:val="20"/>
                <w:color w:val="auto"/>
              </w:rPr>
            </w:pPr>
            <w:r>
              <w:rPr>
                <w:rFonts w:ascii="Arial" w:cs="Arial" w:eastAsia="Arial" w:hAnsi="Arial"/>
                <w:sz w:val="16"/>
                <w:szCs w:val="16"/>
                <w:color w:val="auto"/>
              </w:rPr>
              <w:t>(Commission File Number)</w:t>
            </w:r>
          </w:p>
        </w:tc>
        <w:tc>
          <w:tcPr>
            <w:tcW w:w="3260" w:type="dxa"/>
            <w:vAlign w:val="bottom"/>
          </w:tcPr>
          <w:p>
            <w:pPr>
              <w:jc w:val="center"/>
              <w:ind w:right="16"/>
              <w:spacing w:after="0"/>
              <w:rPr>
                <w:sz w:val="20"/>
                <w:szCs w:val="20"/>
                <w:color w:val="auto"/>
              </w:rPr>
            </w:pPr>
            <w:r>
              <w:rPr>
                <w:rFonts w:ascii="Arial" w:cs="Arial" w:eastAsia="Arial" w:hAnsi="Arial"/>
                <w:sz w:val="16"/>
                <w:szCs w:val="16"/>
                <w:color w:val="auto"/>
                <w:w w:val="99"/>
              </w:rPr>
              <w:t>(IRS Employer</w:t>
            </w:r>
          </w:p>
        </w:tc>
      </w:tr>
      <w:tr>
        <w:trPr>
          <w:trHeight w:val="195"/>
        </w:trPr>
        <w:tc>
          <w:tcPr>
            <w:tcW w:w="3340" w:type="dxa"/>
            <w:vAlign w:val="bottom"/>
          </w:tcPr>
          <w:p>
            <w:pPr>
              <w:jc w:val="center"/>
              <w:spacing w:after="0"/>
              <w:rPr>
                <w:sz w:val="20"/>
                <w:szCs w:val="20"/>
                <w:color w:val="auto"/>
              </w:rPr>
            </w:pPr>
            <w:r>
              <w:rPr>
                <w:rFonts w:ascii="Arial" w:cs="Arial" w:eastAsia="Arial" w:hAnsi="Arial"/>
                <w:sz w:val="16"/>
                <w:szCs w:val="16"/>
                <w:color w:val="auto"/>
              </w:rPr>
              <w:t>of Incorporation)</w:t>
            </w: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tcPr>
          <w:p>
            <w:pPr>
              <w:jc w:val="center"/>
              <w:ind w:right="36"/>
              <w:spacing w:after="0"/>
              <w:rPr>
                <w:sz w:val="20"/>
                <w:szCs w:val="20"/>
                <w:color w:val="auto"/>
              </w:rPr>
            </w:pPr>
            <w:r>
              <w:rPr>
                <w:rFonts w:ascii="Arial" w:cs="Arial" w:eastAsia="Arial" w:hAnsi="Arial"/>
                <w:sz w:val="16"/>
                <w:szCs w:val="16"/>
                <w:color w:val="auto"/>
              </w:rPr>
              <w:t>Identification No.)</w:t>
            </w:r>
          </w:p>
        </w:tc>
      </w:tr>
      <w:tr>
        <w:trPr>
          <w:trHeight w:val="526"/>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5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356"/>
              <w:spacing w:after="0"/>
              <w:rPr>
                <w:sz w:val="20"/>
                <w:szCs w:val="20"/>
                <w:color w:val="auto"/>
              </w:rPr>
            </w:pPr>
            <w:r>
              <w:rPr>
                <w:rFonts w:ascii="Arial" w:cs="Arial" w:eastAsia="Arial" w:hAnsi="Arial"/>
                <w:sz w:val="18"/>
                <w:szCs w:val="18"/>
                <w:b w:val="1"/>
                <w:bCs w:val="1"/>
                <w:color w:val="auto"/>
              </w:rPr>
              <w:t>50436</w:t>
            </w:r>
          </w:p>
        </w:tc>
      </w:tr>
      <w:tr>
        <w:trPr>
          <w:trHeight w:val="224"/>
        </w:trPr>
        <w:tc>
          <w:tcPr>
            <w:tcW w:w="3340" w:type="dxa"/>
            <w:vAlign w:val="bottom"/>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60" w:type="dxa"/>
            <w:vAlign w:val="bottom"/>
          </w:tcPr>
          <w:p>
            <w:pPr>
              <w:jc w:val="center"/>
              <w:ind w:right="16"/>
              <w:spacing w:after="0"/>
              <w:rPr>
                <w:sz w:val="20"/>
                <w:szCs w:val="20"/>
                <w:color w:val="auto"/>
              </w:rPr>
            </w:pPr>
            <w:r>
              <w:rPr>
                <w:rFonts w:ascii="Arial" w:cs="Arial" w:eastAsia="Arial" w:hAnsi="Arial"/>
                <w:sz w:val="16"/>
                <w:szCs w:val="16"/>
                <w:color w:val="auto"/>
              </w:rPr>
              <w:t>(Zip Code)</w:t>
            </w:r>
          </w:p>
        </w:tc>
      </w:tr>
      <w:tr>
        <w:trPr>
          <w:trHeight w:val="473"/>
        </w:trPr>
        <w:tc>
          <w:tcPr>
            <w:tcW w:w="5940" w:type="dxa"/>
            <w:vAlign w:val="bottom"/>
            <w:gridSpan w:val="3"/>
          </w:tcPr>
          <w:p>
            <w:pPr>
              <w:ind w:left="21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6"/>
              <w:spacing w:after="0"/>
              <w:rPr>
                <w:sz w:val="20"/>
                <w:szCs w:val="20"/>
                <w:color w:val="auto"/>
              </w:rPr>
            </w:pPr>
            <w:r>
              <w:rPr>
                <w:rFonts w:ascii="Arial" w:cs="Arial" w:eastAsia="Arial" w:hAnsi="Arial"/>
                <w:sz w:val="16"/>
                <w:szCs w:val="16"/>
                <w:b w:val="1"/>
                <w:bCs w:val="1"/>
                <w:color w:val="auto"/>
              </w:rPr>
              <w:t>641-585-3535</w:t>
            </w:r>
          </w:p>
        </w:tc>
      </w:tr>
    </w:tbl>
    <w:p>
      <w:pPr>
        <w:spacing w:after="0" w:line="183" w:lineRule="exact"/>
        <w:rPr>
          <w:sz w:val="24"/>
          <w:szCs w:val="24"/>
          <w:color w:val="auto"/>
        </w:rPr>
      </w:pPr>
    </w:p>
    <w:p>
      <w:pPr>
        <w:ind w:left="256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87630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390" w:lineRule="exact"/>
        <w:rPr>
          <w:sz w:val="24"/>
          <w:szCs w:val="24"/>
          <w:color w:val="auto"/>
        </w:rPr>
      </w:pPr>
    </w:p>
    <w:p>
      <w:pPr>
        <w:spacing w:after="0" w:line="260"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69" w:lineRule="exact"/>
        <w:rPr>
          <w:sz w:val="24"/>
          <w:szCs w:val="24"/>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4" w:lineRule="exact"/>
        <w:rPr>
          <w:sz w:val="24"/>
          <w:szCs w:val="24"/>
          <w:color w:val="auto"/>
        </w:rPr>
      </w:pPr>
    </w:p>
    <w:p>
      <w:pPr>
        <w:ind w:right="180"/>
        <w:spacing w:after="0" w:line="246"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Exchange Act of 1934 (§240.12b-2 of this chapter).</w:t>
      </w:r>
    </w:p>
    <w:p>
      <w:pPr>
        <w:spacing w:after="0" w:line="1" w:lineRule="exact"/>
        <w:rPr>
          <w:sz w:val="24"/>
          <w:szCs w:val="24"/>
          <w:color w:val="auto"/>
        </w:rPr>
      </w:pPr>
    </w:p>
    <w:p>
      <w:pPr>
        <w:ind w:left="6980"/>
        <w:spacing w:after="0"/>
        <w:rPr>
          <w:sz w:val="20"/>
          <w:szCs w:val="20"/>
          <w:color w:val="auto"/>
        </w:rPr>
      </w:pPr>
      <w:r>
        <w:rPr>
          <w:rFonts w:ascii="Arial" w:cs="Arial" w:eastAsia="Arial" w:hAnsi="Arial"/>
          <w:sz w:val="16"/>
          <w:szCs w:val="16"/>
          <w:color w:val="auto"/>
        </w:rPr>
        <w:t>Emerging growth company o</w:t>
      </w:r>
    </w:p>
    <w:p>
      <w:pPr>
        <w:spacing w:after="0" w:line="113" w:lineRule="exact"/>
        <w:rPr>
          <w:sz w:val="24"/>
          <w:szCs w:val="24"/>
          <w:color w:val="auto"/>
        </w:rPr>
      </w:pPr>
    </w:p>
    <w:p>
      <w:pPr>
        <w:ind w:right="300"/>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585724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5724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58572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ectPr>
          <w:pgSz w:w="11900" w:h="16838" w:orient="portrait"/>
          <w:cols w:equalWidth="0" w:num="1">
            <w:col w:w="11420"/>
          </w:cols>
          <w:pgMar w:left="240" w:top="1284"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 Item 8.01 Other Events</w:t>
      </w:r>
      <w:r>
        <w:rPr>
          <w:rFonts w:ascii="Arial" w:cs="Arial" w:eastAsia="Arial" w:hAnsi="Arial"/>
          <w:sz w:val="18"/>
          <w:szCs w:val="18"/>
          <w:color w:val="auto"/>
        </w:rPr>
        <w:t>.</w:t>
      </w:r>
    </w:p>
    <w:p>
      <w:pPr>
        <w:spacing w:after="0" w:line="250"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Company is filing herewith a press release issued on March 14, 2018, as Exhibit 99.1 which is included herein. The press release was issued to report that on March 14, 2018, the Board of Winnebago Industries, Inc. approved a quarterly cash dividend of $0.10 per share of common stock, payable on April 25, 2018 to shareholders of record at the close of business on April 11, 2018.</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Exhibit</w:t>
      </w:r>
    </w:p>
    <w:p>
      <w:pPr>
        <w:spacing w:after="0" w:line="25" w:lineRule="exact"/>
        <w:rPr>
          <w:sz w:val="20"/>
          <w:szCs w:val="20"/>
          <w:color w:val="auto"/>
        </w:rPr>
      </w:pPr>
    </w:p>
    <w:p>
      <w:pPr>
        <w:ind w:left="360"/>
        <w:spacing w:after="0"/>
        <w:tabs>
          <w:tab w:leader="none" w:pos="1140" w:val="left"/>
        </w:tabs>
        <w:rPr>
          <w:sz w:val="20"/>
          <w:szCs w:val="20"/>
          <w:color w:val="auto"/>
        </w:rPr>
      </w:pPr>
      <w:r>
        <w:rPr>
          <w:rFonts w:ascii="Arial" w:cs="Arial" w:eastAsia="Arial" w:hAnsi="Arial"/>
          <w:sz w:val="16"/>
          <w:szCs w:val="16"/>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19050</wp:posOffset>
            </wp:positionV>
            <wp:extent cx="3961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61765" cy="8890"/>
                    </a:xfrm>
                    <a:prstGeom prst="rect">
                      <a:avLst/>
                    </a:prstGeom>
                    <a:noFill/>
                  </pic:spPr>
                </pic:pic>
              </a:graphicData>
            </a:graphic>
          </wp:anchor>
        </w:drawing>
      </w:r>
    </w:p>
    <w:p>
      <w:pPr>
        <w:spacing w:after="0" w:line="66" w:lineRule="exact"/>
        <w:rPr>
          <w:sz w:val="20"/>
          <w:szCs w:val="20"/>
          <w:color w:val="auto"/>
        </w:rPr>
      </w:pPr>
    </w:p>
    <w:p>
      <w:pPr>
        <w:ind w:left="360"/>
        <w:spacing w:after="0"/>
        <w:tabs>
          <w:tab w:leader="none" w:pos="1140" w:val="left"/>
        </w:tabs>
        <w:rPr>
          <w:rFonts w:ascii="Arial" w:cs="Arial" w:eastAsia="Arial" w:hAnsi="Arial"/>
          <w:sz w:val="16"/>
          <w:szCs w:val="16"/>
          <w:color w:val="0000FF"/>
        </w:rPr>
      </w:pPr>
      <w:hyperlink w:anchor="page3">
        <w:r>
          <w:rPr>
            <w:rFonts w:ascii="Arial" w:cs="Arial" w:eastAsia="Arial" w:hAnsi="Arial"/>
            <w:sz w:val="16"/>
            <w:szCs w:val="16"/>
            <w:u w:val="single" w:color="auto"/>
            <w:color w:val="0000FF"/>
          </w:rPr>
          <w:t>99.1</w:t>
        </w:r>
      </w:hyperlink>
      <w:r>
        <w:rPr>
          <w:rFonts w:ascii="Arial" w:cs="Arial" w:eastAsia="Arial" w:hAnsi="Arial"/>
          <w:sz w:val="16"/>
          <w:szCs w:val="16"/>
          <w:color w:val="0000FF"/>
        </w:rPr>
        <w:tab/>
        <w:t>Press Release of Winnebago Industries, Inc. dated March 14,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SIGNATURE</w:t>
      </w:r>
    </w:p>
    <w:p>
      <w:pPr>
        <w:spacing w:after="0" w:line="178"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322"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2560" w:type="dxa"/>
            <w:vAlign w:val="bottom"/>
          </w:tcPr>
          <w:p>
            <w:pPr>
              <w:spacing w:after="0"/>
              <w:rPr>
                <w:sz w:val="22"/>
                <w:szCs w:val="22"/>
                <w:color w:val="auto"/>
              </w:rPr>
            </w:pPr>
          </w:p>
        </w:tc>
        <w:tc>
          <w:tcPr>
            <w:tcW w:w="5320" w:type="dxa"/>
            <w:vAlign w:val="bottom"/>
            <w:gridSpan w:val="2"/>
          </w:tcPr>
          <w:p>
            <w:pPr>
              <w:ind w:left="8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564"/>
        </w:trPr>
        <w:tc>
          <w:tcPr>
            <w:tcW w:w="2560" w:type="dxa"/>
            <w:vAlign w:val="bottom"/>
          </w:tcPr>
          <w:p>
            <w:pPr>
              <w:spacing w:after="0"/>
              <w:rPr>
                <w:sz w:val="20"/>
                <w:szCs w:val="20"/>
                <w:color w:val="auto"/>
              </w:rPr>
            </w:pPr>
            <w:r>
              <w:rPr>
                <w:rFonts w:ascii="Arial" w:cs="Arial" w:eastAsia="Arial" w:hAnsi="Arial"/>
                <w:sz w:val="16"/>
                <w:szCs w:val="16"/>
                <w:color w:val="auto"/>
              </w:rPr>
              <w:t>Date:   March 15, 2018</w:t>
            </w:r>
          </w:p>
        </w:tc>
        <w:tc>
          <w:tcPr>
            <w:tcW w:w="1500" w:type="dxa"/>
            <w:vAlign w:val="bottom"/>
          </w:tcPr>
          <w:p>
            <w:pPr>
              <w:ind w:left="860"/>
              <w:spacing w:after="0"/>
              <w:rPr>
                <w:sz w:val="20"/>
                <w:szCs w:val="20"/>
                <w:color w:val="auto"/>
              </w:rPr>
            </w:pPr>
            <w:r>
              <w:rPr>
                <w:rFonts w:ascii="Arial" w:cs="Arial" w:eastAsia="Arial" w:hAnsi="Arial"/>
                <w:sz w:val="16"/>
                <w:szCs w:val="16"/>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Bryan L. Hughes</w:t>
            </w:r>
          </w:p>
        </w:tc>
      </w:tr>
      <w:tr>
        <w:trPr>
          <w:trHeight w:val="237"/>
        </w:trPr>
        <w:tc>
          <w:tcPr>
            <w:tcW w:w="2560" w:type="dxa"/>
            <w:vAlign w:val="bottom"/>
          </w:tcPr>
          <w:p>
            <w:pPr>
              <w:spacing w:after="0"/>
              <w:rPr>
                <w:sz w:val="20"/>
                <w:szCs w:val="20"/>
                <w:color w:val="auto"/>
              </w:rPr>
            </w:pPr>
          </w:p>
        </w:tc>
        <w:tc>
          <w:tcPr>
            <w:tcW w:w="1500" w:type="dxa"/>
            <w:vAlign w:val="bottom"/>
          </w:tcPr>
          <w:p>
            <w:pPr>
              <w:ind w:left="860"/>
              <w:spacing w:after="0"/>
              <w:rPr>
                <w:sz w:val="20"/>
                <w:szCs w:val="20"/>
                <w:color w:val="auto"/>
              </w:rPr>
            </w:pPr>
            <w:r>
              <w:rPr>
                <w:rFonts w:ascii="Arial" w:cs="Arial" w:eastAsia="Arial" w:hAnsi="Arial"/>
                <w:sz w:val="16"/>
                <w:szCs w:val="16"/>
                <w:color w:val="auto"/>
              </w:rPr>
              <w:t>Name:</w:t>
            </w:r>
          </w:p>
        </w:tc>
        <w:tc>
          <w:tcPr>
            <w:tcW w:w="3820" w:type="dxa"/>
            <w:vAlign w:val="bottom"/>
          </w:tcPr>
          <w:p>
            <w:pPr>
              <w:ind w:left="20"/>
              <w:spacing w:after="0"/>
              <w:rPr>
                <w:sz w:val="20"/>
                <w:szCs w:val="20"/>
                <w:color w:val="auto"/>
              </w:rPr>
            </w:pPr>
            <w:r>
              <w:rPr>
                <w:rFonts w:ascii="Arial" w:cs="Arial" w:eastAsia="Arial" w:hAnsi="Arial"/>
                <w:sz w:val="16"/>
                <w:szCs w:val="16"/>
                <w:color w:val="auto"/>
              </w:rPr>
              <w:t>Bryan L. Hughes</w:t>
            </w:r>
          </w:p>
        </w:tc>
      </w:tr>
      <w:tr>
        <w:trPr>
          <w:trHeight w:val="270"/>
        </w:trPr>
        <w:tc>
          <w:tcPr>
            <w:tcW w:w="2560" w:type="dxa"/>
            <w:vAlign w:val="bottom"/>
          </w:tcPr>
          <w:p>
            <w:pPr>
              <w:spacing w:after="0"/>
              <w:rPr>
                <w:sz w:val="23"/>
                <w:szCs w:val="23"/>
                <w:color w:val="auto"/>
              </w:rPr>
            </w:pPr>
          </w:p>
        </w:tc>
        <w:tc>
          <w:tcPr>
            <w:tcW w:w="1500" w:type="dxa"/>
            <w:vAlign w:val="bottom"/>
          </w:tcPr>
          <w:p>
            <w:pPr>
              <w:ind w:left="860"/>
              <w:spacing w:after="0"/>
              <w:rPr>
                <w:sz w:val="20"/>
                <w:szCs w:val="20"/>
                <w:color w:val="auto"/>
              </w:rPr>
            </w:pPr>
            <w:r>
              <w:rPr>
                <w:rFonts w:ascii="Arial" w:cs="Arial" w:eastAsia="Arial" w:hAnsi="Arial"/>
                <w:sz w:val="16"/>
                <w:szCs w:val="16"/>
                <w:color w:val="auto"/>
              </w:rPr>
              <w:t>Title:</w:t>
            </w:r>
          </w:p>
        </w:tc>
        <w:tc>
          <w:tcPr>
            <w:tcW w:w="3820" w:type="dxa"/>
            <w:vAlign w:val="bottom"/>
          </w:tcPr>
          <w:p>
            <w:pPr>
              <w:ind w:left="20"/>
              <w:spacing w:after="0"/>
              <w:rPr>
                <w:sz w:val="20"/>
                <w:szCs w:val="20"/>
                <w:color w:val="auto"/>
              </w:rPr>
            </w:pPr>
            <w:r>
              <w:rPr>
                <w:rFonts w:ascii="Arial" w:cs="Arial" w:eastAsia="Arial" w:hAnsi="Arial"/>
                <w:sz w:val="16"/>
                <w:szCs w:val="16"/>
                <w:color w:val="auto"/>
              </w:rPr>
              <w:t>Vice President, Chief Financial Officer</w:t>
            </w:r>
          </w:p>
        </w:tc>
      </w:tr>
    </w:tbl>
    <w:p>
      <w:pPr>
        <w:sectPr>
          <w:pgSz w:w="11900" w:h="16838" w:orient="portrait"/>
          <w:cols w:equalWidth="0" w:num="1">
            <w:col w:w="11400"/>
          </w:cols>
          <w:pgMar w:left="240" w:top="765" w:right="259" w:bottom="1440" w:gutter="0" w:footer="0" w:header="0"/>
        </w:sectPr>
      </w:pPr>
    </w:p>
    <w:bookmarkStart w:id="2" w:name="page3"/>
    <w:bookmarkEnd w:id="2"/>
    <w:p>
      <w:pPr>
        <w:ind w:left="5460"/>
        <w:spacing w:after="0"/>
        <w:rPr>
          <w:sz w:val="20"/>
          <w:szCs w:val="20"/>
          <w:color w:val="auto"/>
        </w:rPr>
      </w:pPr>
      <w:r>
        <w:rPr>
          <w:rFonts w:ascii="Arial" w:cs="Arial" w:eastAsia="Arial" w:hAnsi="Arial"/>
          <w:sz w:val="63"/>
          <w:szCs w:val="6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-381000</wp:posOffset>
            </wp:positionV>
            <wp:extent cx="2306955" cy="3257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306955" cy="3257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Contact: Steve Stuber - Investor Relations - 952-828-8461 - </w:t>
      </w:r>
      <w:r>
        <w:rPr>
          <w:rFonts w:ascii="Arial" w:cs="Arial" w:eastAsia="Arial" w:hAnsi="Arial"/>
          <w:sz w:val="16"/>
          <w:szCs w:val="16"/>
          <w:u w:val="single" w:color="auto"/>
          <w:color w:val="0563C1"/>
        </w:rPr>
        <w:t>srstuber@wgo.net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Media Contact: Sam Jefson - Public Relations Specialist - 641-585-6803 - </w:t>
      </w:r>
      <w:r>
        <w:rPr>
          <w:rFonts w:ascii="Arial" w:cs="Arial" w:eastAsia="Arial" w:hAnsi="Arial"/>
          <w:sz w:val="16"/>
          <w:szCs w:val="16"/>
          <w:u w:val="single" w:color="auto"/>
          <w:color w:val="0563C1"/>
        </w:rPr>
        <w:t>sjefson@wgo.net</w:t>
      </w:r>
    </w:p>
    <w:p>
      <w:pPr>
        <w:spacing w:after="0" w:line="200" w:lineRule="exact"/>
        <w:rPr>
          <w:sz w:val="20"/>
          <w:szCs w:val="20"/>
          <w:color w:val="auto"/>
        </w:rPr>
      </w:pPr>
    </w:p>
    <w:p>
      <w:pPr>
        <w:spacing w:after="0" w:line="231"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WINNEBAGO INDUSTRIES BOARD OF DIRECTORS APPROVE</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QUARTERLY CASH DIVIDEND OF $0.10 PER SHARE</w:t>
      </w:r>
    </w:p>
    <w:p>
      <w:pPr>
        <w:spacing w:after="0" w:line="200" w:lineRule="exact"/>
        <w:rPr>
          <w:sz w:val="20"/>
          <w:szCs w:val="20"/>
          <w:color w:val="auto"/>
        </w:rPr>
      </w:pPr>
    </w:p>
    <w:p>
      <w:pPr>
        <w:spacing w:after="0" w:line="365" w:lineRule="exact"/>
        <w:rPr>
          <w:sz w:val="20"/>
          <w:szCs w:val="20"/>
          <w:color w:val="auto"/>
        </w:rPr>
      </w:pPr>
    </w:p>
    <w:p>
      <w:pPr>
        <w:spacing w:after="0" w:line="482" w:lineRule="auto"/>
        <w:rPr>
          <w:sz w:val="20"/>
          <w:szCs w:val="20"/>
          <w:color w:val="auto"/>
        </w:rPr>
      </w:pPr>
      <w:r>
        <w:rPr>
          <w:rFonts w:ascii="Arial" w:cs="Arial" w:eastAsia="Arial" w:hAnsi="Arial"/>
          <w:sz w:val="16"/>
          <w:szCs w:val="16"/>
          <w:color w:val="auto"/>
        </w:rPr>
        <w:t>FOREST CITY, IOWA, March 14, 2018 - Winnebago Industries, Inc. (NYSE:WGO), a leading recreation vehicle manufacturer, today announced that on March 14, 2018, the Company’s Board of Directors approved a quarterly cash dividend of $0.10 per share payable on April 25, 2018, to common stockholders of record at the close of business on April 11, 2018.</w:t>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181" w:lineRule="exact"/>
        <w:rPr>
          <w:sz w:val="20"/>
          <w:szCs w:val="20"/>
          <w:color w:val="auto"/>
        </w:rPr>
      </w:pPr>
    </w:p>
    <w:p>
      <w:pPr>
        <w:ind w:right="20"/>
        <w:spacing w:after="0" w:line="479" w:lineRule="auto"/>
        <w:rPr>
          <w:sz w:val="20"/>
          <w:szCs w:val="20"/>
          <w:color w:val="auto"/>
        </w:rPr>
      </w:pPr>
      <w:r>
        <w:rPr>
          <w:rFonts w:ascii="Arial" w:cs="Arial" w:eastAsia="Arial" w:hAnsi="Arial"/>
          <w:sz w:val="16"/>
          <w:szCs w:val="16"/>
          <w:color w:val="auto"/>
        </w:rPr>
        <w:t xml:space="preserve">Winnebago Industries, Inc. is a leading U.S. manufacturer of recreation vehicles under the Winnebago and Grand Design brands, which are used primarily in leisure travel and outdoor recreation activities. The Company builds quality motorhomes, travel trailers and fifth wheel products. Winnebago Industries has multiple facilities in Iowa, Indiana, Oregon and Minnesota.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6"/>
          <w:szCs w:val="16"/>
          <w:u w:val="single" w:color="auto"/>
          <w:color w:val="auto"/>
        </w:rPr>
        <w:t>http://investor.wgo.net.</w:t>
      </w:r>
    </w:p>
    <w:p>
      <w:pPr>
        <w:spacing w:after="0" w:line="352"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 # #</w:t>
      </w:r>
    </w:p>
    <w:sectPr>
      <w:pgSz w:w="11900" w:h="16838" w:orient="portrait"/>
      <w:cols w:equalWidth="0" w:num="1">
        <w:col w:w="11320"/>
      </w:cols>
      <w:pgMar w:left="240" w:top="7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2019-12-28T23:42:01Z</dcterms:created>
  <dcterms:modified xsi:type="dcterms:W3CDTF">2019-12-28T23:42:01Z</dcterms:modified>
</cp:coreProperties>
</file>