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3096895</wp:posOffset>
            </wp:positionH>
            <wp:positionV relativeFrom="paragraph">
              <wp:posOffset>76200</wp:posOffset>
            </wp:positionV>
            <wp:extent cx="109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4740" cy="6985"/>
                    </a:xfrm>
                    <a:prstGeom prst="rect">
                      <a:avLst/>
                    </a:prstGeom>
                    <a:noFill/>
                  </pic:spPr>
                </pic:pic>
              </a:graphicData>
            </a:graphic>
          </wp:anchor>
        </w:drawing>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3096895</wp:posOffset>
            </wp:positionH>
            <wp:positionV relativeFrom="paragraph">
              <wp:posOffset>34925</wp:posOffset>
            </wp:positionV>
            <wp:extent cx="10947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4740" cy="6985"/>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Date of report (Date of earliest event reported) June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106045</wp:posOffset>
            </wp:positionV>
            <wp:extent cx="2415540" cy="335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5540" cy="335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Winnebago Industries, Inc.</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352" w:lineRule="exact"/>
        <w:rPr>
          <w:sz w:val="24"/>
          <w:szCs w:val="24"/>
          <w:color w:val="auto"/>
        </w:rPr>
      </w:pPr>
    </w:p>
    <w:tbl>
      <w:tblPr>
        <w:tblLayout w:type="fixed"/>
        <w:tblInd w:w="2060" w:type="dxa"/>
        <w:tblCellMar>
          <w:top w:w="0" w:type="dxa"/>
          <w:left w:w="0" w:type="dxa"/>
          <w:bottom w:w="0" w:type="dxa"/>
          <w:right w:w="0" w:type="dxa"/>
        </w:tblCellMar>
      </w:tblPr>
      <w:tr>
        <w:trPr>
          <w:trHeight w:val="186"/>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Iowa</w:t>
            </w:r>
          </w:p>
        </w:tc>
        <w:tc>
          <w:tcPr>
            <w:tcW w:w="202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b w:val="1"/>
                <w:bCs w:val="1"/>
                <w:color w:val="auto"/>
              </w:rPr>
              <w:t>001-06403</w:t>
            </w:r>
          </w:p>
        </w:tc>
        <w:tc>
          <w:tcPr>
            <w:tcW w:w="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right"/>
              <w:ind w:right="915"/>
              <w:spacing w:after="0"/>
              <w:rPr>
                <w:sz w:val="20"/>
                <w:szCs w:val="20"/>
                <w:color w:val="auto"/>
              </w:rPr>
            </w:pPr>
            <w:r>
              <w:rPr>
                <w:rFonts w:ascii="Arial" w:cs="Arial" w:eastAsia="Arial" w:hAnsi="Arial"/>
                <w:sz w:val="13"/>
                <w:szCs w:val="13"/>
                <w:b w:val="1"/>
                <w:bCs w:val="1"/>
                <w:color w:val="auto"/>
              </w:rPr>
              <w:t>42-0802678</w:t>
            </w:r>
          </w:p>
        </w:tc>
      </w:tr>
      <w:tr>
        <w:trPr>
          <w:trHeight w:val="152"/>
        </w:trPr>
        <w:tc>
          <w:tcPr>
            <w:tcW w:w="2660" w:type="dxa"/>
            <w:vAlign w:val="bottom"/>
          </w:tcPr>
          <w:p>
            <w:pPr>
              <w:jc w:val="center"/>
              <w:spacing w:after="0"/>
              <w:rPr>
                <w:sz w:val="20"/>
                <w:szCs w:val="20"/>
                <w:color w:val="auto"/>
              </w:rPr>
            </w:pPr>
            <w:r>
              <w:rPr>
                <w:rFonts w:ascii="Arial" w:cs="Arial" w:eastAsia="Arial" w:hAnsi="Arial"/>
                <w:sz w:val="13"/>
                <w:szCs w:val="13"/>
                <w:color w:val="auto"/>
                <w:w w:val="99"/>
              </w:rPr>
              <w:t>(State or Other Jurisdiction</w:t>
            </w:r>
          </w:p>
        </w:tc>
        <w:tc>
          <w:tcPr>
            <w:tcW w:w="2080" w:type="dxa"/>
            <w:vAlign w:val="bottom"/>
            <w:gridSpan w:val="2"/>
          </w:tcPr>
          <w:p>
            <w:pPr>
              <w:jc w:val="center"/>
              <w:ind w:right="60"/>
              <w:spacing w:after="0"/>
              <w:rPr>
                <w:sz w:val="20"/>
                <w:szCs w:val="20"/>
                <w:color w:val="auto"/>
              </w:rPr>
            </w:pPr>
            <w:r>
              <w:rPr>
                <w:rFonts w:ascii="Arial" w:cs="Arial" w:eastAsia="Arial" w:hAnsi="Arial"/>
                <w:sz w:val="13"/>
                <w:szCs w:val="13"/>
                <w:color w:val="auto"/>
                <w:w w:val="99"/>
              </w:rPr>
              <w:t>(Commission File Number)</w:t>
            </w:r>
          </w:p>
        </w:tc>
        <w:tc>
          <w:tcPr>
            <w:tcW w:w="2600" w:type="dxa"/>
            <w:vAlign w:val="bottom"/>
          </w:tcPr>
          <w:p>
            <w:pPr>
              <w:jc w:val="center"/>
              <w:ind w:right="15"/>
              <w:spacing w:after="0"/>
              <w:rPr>
                <w:sz w:val="20"/>
                <w:szCs w:val="20"/>
                <w:color w:val="auto"/>
              </w:rPr>
            </w:pPr>
            <w:r>
              <w:rPr>
                <w:rFonts w:ascii="Arial" w:cs="Arial" w:eastAsia="Arial" w:hAnsi="Arial"/>
                <w:sz w:val="13"/>
                <w:szCs w:val="13"/>
                <w:color w:val="auto"/>
                <w:w w:val="99"/>
              </w:rPr>
              <w:t>(IRS Employer</w:t>
            </w:r>
          </w:p>
        </w:tc>
      </w:tr>
      <w:tr>
        <w:trPr>
          <w:trHeight w:val="173"/>
        </w:trPr>
        <w:tc>
          <w:tcPr>
            <w:tcW w:w="2660" w:type="dxa"/>
            <w:vAlign w:val="bottom"/>
          </w:tcPr>
          <w:p>
            <w:pPr>
              <w:jc w:val="center"/>
              <w:spacing w:after="0"/>
              <w:rPr>
                <w:sz w:val="20"/>
                <w:szCs w:val="20"/>
                <w:color w:val="auto"/>
              </w:rPr>
            </w:pPr>
            <w:r>
              <w:rPr>
                <w:rFonts w:ascii="Arial" w:cs="Arial" w:eastAsia="Arial" w:hAnsi="Arial"/>
                <w:sz w:val="13"/>
                <w:szCs w:val="13"/>
                <w:color w:val="auto"/>
                <w:w w:val="99"/>
              </w:rPr>
              <w:t>of Incorporation)</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3"/>
                <w:szCs w:val="13"/>
                <w:color w:val="auto"/>
              </w:rPr>
              <w:t>Identification No.)</w:t>
            </w:r>
          </w:p>
        </w:tc>
      </w:tr>
      <w:tr>
        <w:trPr>
          <w:trHeight w:val="399"/>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P.O. Box 152, Forest City, Iowa</w:t>
            </w:r>
          </w:p>
        </w:tc>
        <w:tc>
          <w:tcPr>
            <w:tcW w:w="20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095"/>
              <w:spacing w:after="0"/>
              <w:rPr>
                <w:sz w:val="20"/>
                <w:szCs w:val="20"/>
                <w:color w:val="auto"/>
              </w:rPr>
            </w:pPr>
            <w:r>
              <w:rPr>
                <w:rFonts w:ascii="Arial" w:cs="Arial" w:eastAsia="Arial" w:hAnsi="Arial"/>
                <w:sz w:val="13"/>
                <w:szCs w:val="13"/>
                <w:b w:val="1"/>
                <w:bCs w:val="1"/>
                <w:color w:val="auto"/>
              </w:rPr>
              <w:t>50436</w:t>
            </w:r>
          </w:p>
        </w:tc>
      </w:tr>
      <w:tr>
        <w:trPr>
          <w:trHeight w:val="174"/>
        </w:trPr>
        <w:tc>
          <w:tcPr>
            <w:tcW w:w="2660" w:type="dxa"/>
            <w:vAlign w:val="bottom"/>
          </w:tcPr>
          <w:p>
            <w:pPr>
              <w:jc w:val="center"/>
              <w:spacing w:after="0"/>
              <w:rPr>
                <w:sz w:val="20"/>
                <w:szCs w:val="20"/>
                <w:color w:val="auto"/>
              </w:rPr>
            </w:pPr>
            <w:r>
              <w:rPr>
                <w:rFonts w:ascii="Arial" w:cs="Arial" w:eastAsia="Arial" w:hAnsi="Arial"/>
                <w:sz w:val="13"/>
                <w:szCs w:val="13"/>
                <w:color w:val="auto"/>
                <w:w w:val="98"/>
              </w:rPr>
              <w:t>(Address of Principal Executive Offices)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3"/>
                <w:szCs w:val="13"/>
                <w:color w:val="auto"/>
              </w:rPr>
              <w:t>(Zip Code)</w:t>
            </w:r>
          </w:p>
        </w:tc>
      </w:tr>
      <w:tr>
        <w:trPr>
          <w:trHeight w:val="385"/>
        </w:trPr>
        <w:tc>
          <w:tcPr>
            <w:tcW w:w="4740" w:type="dxa"/>
            <w:vAlign w:val="bottom"/>
            <w:gridSpan w:val="3"/>
          </w:tcPr>
          <w:p>
            <w:pPr>
              <w:ind w:left="1740"/>
              <w:spacing w:after="0"/>
              <w:rPr>
                <w:sz w:val="20"/>
                <w:szCs w:val="20"/>
                <w:color w:val="auto"/>
              </w:rPr>
            </w:pPr>
            <w:r>
              <w:rPr>
                <w:rFonts w:ascii="Arial" w:cs="Arial" w:eastAsia="Arial" w:hAnsi="Arial"/>
                <w:sz w:val="13"/>
                <w:szCs w:val="13"/>
                <w:color w:val="auto"/>
              </w:rPr>
              <w:t>Registrant's telephone number, including area code</w:t>
            </w:r>
          </w:p>
        </w:tc>
        <w:tc>
          <w:tcPr>
            <w:tcW w:w="2600" w:type="dxa"/>
            <w:vAlign w:val="bottom"/>
          </w:tcPr>
          <w:p>
            <w:pPr>
              <w:jc w:val="right"/>
              <w:ind w:right="1675"/>
              <w:spacing w:after="0"/>
              <w:rPr>
                <w:sz w:val="20"/>
                <w:szCs w:val="20"/>
                <w:color w:val="auto"/>
              </w:rPr>
            </w:pPr>
            <w:r>
              <w:rPr>
                <w:rFonts w:ascii="Arial" w:cs="Arial" w:eastAsia="Arial" w:hAnsi="Arial"/>
                <w:sz w:val="13"/>
                <w:szCs w:val="13"/>
                <w:b w:val="1"/>
                <w:bCs w:val="1"/>
                <w:color w:val="auto"/>
              </w:rPr>
              <w:t>641-585-3535</w:t>
            </w:r>
          </w:p>
        </w:tc>
      </w:tr>
    </w:tbl>
    <w:p>
      <w:pPr>
        <w:spacing w:after="0" w:line="121" w:lineRule="exact"/>
        <w:rPr>
          <w:sz w:val="24"/>
          <w:szCs w:val="24"/>
          <w:color w:val="auto"/>
        </w:rPr>
      </w:pPr>
    </w:p>
    <w:p>
      <w:pPr>
        <w:ind w:left="3220"/>
        <w:spacing w:after="0"/>
        <w:rPr>
          <w:sz w:val="20"/>
          <w:szCs w:val="20"/>
          <w:color w:val="auto"/>
        </w:rPr>
      </w:pPr>
      <w:r>
        <w:rPr>
          <w:rFonts w:ascii="Arial" w:cs="Arial" w:eastAsia="Arial" w:hAnsi="Arial"/>
          <w:sz w:val="13"/>
          <w:szCs w:val="13"/>
          <w:color w:val="auto"/>
        </w:rPr>
        <w:t>______________________________________________________________________</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color w:val="auto"/>
        </w:rPr>
        <w:t>below):</w:t>
      </w:r>
    </w:p>
    <w:p>
      <w:pPr>
        <w:spacing w:after="0" w:line="136" w:lineRule="exact"/>
        <w:rPr>
          <w:sz w:val="24"/>
          <w:szCs w:val="24"/>
          <w:color w:val="auto"/>
        </w:rPr>
      </w:pPr>
    </w:p>
    <w:p>
      <w:pPr>
        <w:ind w:left="260" w:hanging="254"/>
        <w:spacing w:after="0"/>
        <w:tabs>
          <w:tab w:leader="none" w:pos="26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51"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51"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151" w:lineRule="exact"/>
        <w:rPr>
          <w:rFonts w:ascii="Times New Roman" w:cs="Times New Roman" w:eastAsia="Times New Roman" w:hAnsi="Times New Roman"/>
          <w:sz w:val="13"/>
          <w:szCs w:val="13"/>
          <w:color w:val="auto"/>
        </w:rPr>
      </w:pPr>
    </w:p>
    <w:p>
      <w:pPr>
        <w:ind w:right="4840" w:firstLine="6"/>
        <w:spacing w:after="0" w:line="460" w:lineRule="auto"/>
        <w:tabs>
          <w:tab w:leader="none" w:pos="244"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9"/>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Name of each exchange on which registered</w:t>
            </w:r>
          </w:p>
        </w:tc>
      </w:tr>
      <w:tr>
        <w:trPr>
          <w:trHeight w:val="185"/>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WGO</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New York Stock Exchange</w:t>
            </w:r>
          </w:p>
        </w:tc>
      </w:tr>
    </w:tbl>
    <w:p>
      <w:pPr>
        <w:spacing w:after="0" w:line="136" w:lineRule="exact"/>
        <w:rPr>
          <w:sz w:val="24"/>
          <w:szCs w:val="24"/>
          <w:color w:val="auto"/>
        </w:rPr>
      </w:pPr>
    </w:p>
    <w:p>
      <w:pPr>
        <w:jc w:val="both"/>
        <w:ind w:right="40"/>
        <w:spacing w:after="0" w:line="255"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Exchange Act of 1934 (§240.12b-2 of this chapter).</w:t>
      </w:r>
    </w:p>
    <w:p>
      <w:pPr>
        <w:ind w:left="5560"/>
        <w:spacing w:after="0"/>
        <w:rPr>
          <w:sz w:val="20"/>
          <w:szCs w:val="20"/>
          <w:color w:val="auto"/>
        </w:rPr>
      </w:pPr>
      <w:r>
        <w:rPr>
          <w:rFonts w:ascii="Arial" w:cs="Arial" w:eastAsia="Arial" w:hAnsi="Arial"/>
          <w:sz w:val="13"/>
          <w:szCs w:val="13"/>
          <w:color w:val="auto"/>
        </w:rPr>
        <w:t xml:space="preserve">Emerging growth company </w:t>
      </w:r>
      <w:r>
        <w:rPr>
          <w:rFonts w:ascii="Times New Roman" w:cs="Times New Roman" w:eastAsia="Times New Roman" w:hAnsi="Times New Roman"/>
          <w:sz w:val="13"/>
          <w:szCs w:val="13"/>
          <w:color w:val="auto"/>
        </w:rPr>
        <w:t>o</w:t>
      </w:r>
    </w:p>
    <w:p>
      <w:pPr>
        <w:spacing w:after="0" w:line="146" w:lineRule="exact"/>
        <w:rPr>
          <w:sz w:val="24"/>
          <w:szCs w:val="24"/>
          <w:color w:val="auto"/>
        </w:rPr>
      </w:pPr>
    </w:p>
    <w:p>
      <w:pPr>
        <w:ind w:right="380"/>
        <w:spacing w:after="0" w:line="294"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o</w:t>
      </w:r>
    </w:p>
    <w:p>
      <w:pPr>
        <w:sectPr>
          <w:pgSz w:w="11900" w:h="16838" w:orient="portrait"/>
          <w:cols w:equalWidth="0" w:num="1">
            <w:col w:w="11480"/>
          </w:cols>
          <w:pgMar w:left="220" w:top="552" w:right="19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June 19, 2019, Winnebago Industries, Inc. (the “Company”) entered into an amended and restated employment agreement (the “Employment Agreement”) with Donald Clark, President of the Company’s Grand Design RV operating segment (“GDRV”) and Vice President of the Company. The Employment Agreement will be effective as of September 1, 2019, immediately following the expiration of Mr. Clark’s current employment agreement on August 31, 2019 (the “Original Agreement”).</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Employment Agreement generally contains terms and conditions that are consistent with the terms and conditions of the Original Agreement. The primary changes to the terms of the Employment Agreement include:</w:t>
      </w:r>
    </w:p>
    <w:p>
      <w:pPr>
        <w:spacing w:after="0" w:line="104" w:lineRule="exact"/>
        <w:rPr>
          <w:sz w:val="20"/>
          <w:szCs w:val="20"/>
          <w:color w:val="auto"/>
        </w:rPr>
      </w:pPr>
    </w:p>
    <w:p>
      <w:pPr>
        <w:ind w:left="780" w:hanging="257"/>
        <w:spacing w:after="0"/>
        <w:tabs>
          <w:tab w:leader="none" w:pos="78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establishing a new multi-year employment term lasting until August 31, 2023, unless earlier terminated in accordance with the Employment Agreement;</w:t>
      </w:r>
    </w:p>
    <w:p>
      <w:pPr>
        <w:spacing w:after="0" w:line="152" w:lineRule="exact"/>
        <w:rPr>
          <w:rFonts w:ascii="Arial" w:cs="Arial" w:eastAsia="Arial" w:hAnsi="Arial"/>
          <w:sz w:val="13"/>
          <w:szCs w:val="13"/>
          <w:color w:val="auto"/>
        </w:rPr>
      </w:pPr>
    </w:p>
    <w:p>
      <w:pPr>
        <w:jc w:val="both"/>
        <w:ind w:left="780" w:hanging="257"/>
        <w:spacing w:after="0" w:line="261" w:lineRule="auto"/>
        <w:tabs>
          <w:tab w:leader="none" w:pos="78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providing for a continued annual base salary of $400,000 and an annual short-term incentive opportunity (“Annual Incentive”) equal to 3.5% of the pretax net income of GDRV, payable primarily in cash on a quarterly basis, provided that a portion ranging from 5 to 15% of the aggregate annual incentive amount over the term of the Employment Agreement shall be payable in equity;</w:t>
      </w:r>
    </w:p>
    <w:p>
      <w:pPr>
        <w:spacing w:after="0" w:line="115" w:lineRule="exact"/>
        <w:rPr>
          <w:rFonts w:ascii="Arial" w:cs="Arial" w:eastAsia="Arial" w:hAnsi="Arial"/>
          <w:sz w:val="13"/>
          <w:szCs w:val="13"/>
          <w:color w:val="auto"/>
        </w:rPr>
      </w:pPr>
    </w:p>
    <w:p>
      <w:pPr>
        <w:ind w:left="780" w:hanging="257"/>
        <w:spacing w:after="0" w:line="280" w:lineRule="auto"/>
        <w:tabs>
          <w:tab w:leader="none" w:pos="78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subjecting any Annual Incentive payable or paid under the Employment Agreement, whether in the form of cash and/or equity awards, and the proceeds of the same, to forfeiture, recovery by the Company or other action pursuant to any compensation recovery policy adopted by the Company at any time; and</w:t>
      </w:r>
    </w:p>
    <w:p>
      <w:pPr>
        <w:spacing w:after="0" w:line="103" w:lineRule="exact"/>
        <w:rPr>
          <w:rFonts w:ascii="Arial" w:cs="Arial" w:eastAsia="Arial" w:hAnsi="Arial"/>
          <w:sz w:val="13"/>
          <w:szCs w:val="13"/>
          <w:color w:val="auto"/>
        </w:rPr>
      </w:pPr>
    </w:p>
    <w:p>
      <w:pPr>
        <w:ind w:left="780" w:hanging="257"/>
        <w:spacing w:after="0" w:line="280" w:lineRule="auto"/>
        <w:tabs>
          <w:tab w:leader="none" w:pos="78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extending the duration of Mr. Clark’s non-competition and non-solicitation obligations to the later of (i) October 3, 2021 and (ii) the date that is one (1) year after the last day of his employment with GDRV and extending the scope of Mr. Clark’s non-competition obligations from GDRV to all current businesses of the Company and its affiliates.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has also entered into an amended and restated change in control agreement (“Change in Control Agreement”) with Mr. Clark effective as of September 1, 2019, that will replace his current change in control agreement with the Company dated as of October 2, 2016. The Change in Control Agreement is materially consistent with the form the Company adopted and implemented in December 2018 for use with all other executive officers, and additionally limiting any payment Mr. Clark may receive thereunder to a cap of $3,000,000.</w:t>
      </w:r>
    </w:p>
    <w:p>
      <w:pPr>
        <w:spacing w:after="0" w:line="116" w:lineRule="exact"/>
        <w:rPr>
          <w:sz w:val="20"/>
          <w:szCs w:val="20"/>
          <w:color w:val="auto"/>
        </w:rPr>
      </w:pPr>
    </w:p>
    <w:p>
      <w:pPr>
        <w:ind w:right="460"/>
        <w:spacing w:after="0" w:line="280" w:lineRule="auto"/>
        <w:rPr>
          <w:sz w:val="20"/>
          <w:szCs w:val="20"/>
          <w:color w:val="auto"/>
        </w:rPr>
      </w:pPr>
      <w:r>
        <w:rPr>
          <w:rFonts w:ascii="Arial" w:cs="Arial" w:eastAsia="Arial" w:hAnsi="Arial"/>
          <w:sz w:val="13"/>
          <w:szCs w:val="13"/>
          <w:color w:val="auto"/>
        </w:rPr>
        <w:t>The foregoing descriptions of the Employment Agreement and the Change in Control Agreement are only summaries and the full text of each agreement is filed as Exhibit 10.1 and Exhibit 10.2, respectively, to this Current Report on Form 8-K.</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Exhibit 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24765</wp:posOffset>
            </wp:positionV>
            <wp:extent cx="70554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5485" cy="6985"/>
                    </a:xfrm>
                    <a:prstGeom prst="rect">
                      <a:avLst/>
                    </a:prstGeom>
                    <a:noFill/>
                  </pic:spPr>
                </pic:pic>
              </a:graphicData>
            </a:graphic>
          </wp:anchor>
        </w:drawing>
      </w:r>
    </w:p>
    <w:p>
      <w:pPr>
        <w:spacing w:after="0" w:line="48" w:lineRule="exact"/>
        <w:rPr>
          <w:sz w:val="20"/>
          <w:szCs w:val="20"/>
          <w:color w:val="auto"/>
        </w:rPr>
      </w:pPr>
    </w:p>
    <w:p>
      <w:pPr>
        <w:ind w:left="740"/>
        <w:spacing w:after="0"/>
        <w:tabs>
          <w:tab w:leader="none" w:pos="1380" w:val="left"/>
        </w:tabs>
        <w:rPr>
          <w:rFonts w:ascii="Arial" w:cs="Arial" w:eastAsia="Arial" w:hAnsi="Arial"/>
          <w:sz w:val="12"/>
          <w:szCs w:val="12"/>
          <w:u w:val="single" w:color="auto"/>
          <w:color w:val="0000FF"/>
        </w:rPr>
      </w:pPr>
      <w:hyperlink w:anchor="page4">
        <w:r>
          <w:rPr>
            <w:rFonts w:ascii="Arial" w:cs="Arial" w:eastAsia="Arial" w:hAnsi="Arial"/>
            <w:sz w:val="13"/>
            <w:szCs w:val="13"/>
            <w:u w:val="single" w:color="auto"/>
            <w:color w:val="0000FF"/>
          </w:rPr>
          <w:t>10.1</w:t>
        </w:r>
      </w:hyperlink>
      <w:r>
        <w:rPr>
          <w:rFonts w:ascii="Arial" w:cs="Arial" w:eastAsia="Arial" w:hAnsi="Arial"/>
          <w:sz w:val="13"/>
          <w:szCs w:val="13"/>
          <w:u w:val="single" w:color="auto"/>
          <w:color w:val="0000FF"/>
        </w:rPr>
        <w:tab/>
      </w:r>
      <w:hyperlink w:anchor="page4">
        <w:r>
          <w:rPr>
            <w:rFonts w:ascii="Arial" w:cs="Arial" w:eastAsia="Arial" w:hAnsi="Arial"/>
            <w:sz w:val="12"/>
            <w:szCs w:val="12"/>
            <w:u w:val="single" w:color="auto"/>
            <w:color w:val="0000FF"/>
          </w:rPr>
          <w:t>Amended and Restated Employment Agreement between Winnebago Industries, Inc. and Donald Clark effective September 1, 2019.</w:t>
        </w:r>
      </w:hyperlink>
    </w:p>
    <w:p>
      <w:pPr>
        <w:spacing w:after="0" w:line="66" w:lineRule="exact"/>
        <w:rPr>
          <w:sz w:val="20"/>
          <w:szCs w:val="20"/>
          <w:color w:val="auto"/>
        </w:rPr>
      </w:pPr>
    </w:p>
    <w:p>
      <w:pPr>
        <w:ind w:left="740"/>
        <w:spacing w:after="0"/>
        <w:tabs>
          <w:tab w:leader="none" w:pos="1380" w:val="left"/>
        </w:tabs>
        <w:rPr>
          <w:rFonts w:ascii="Arial" w:cs="Arial" w:eastAsia="Arial" w:hAnsi="Arial"/>
          <w:sz w:val="12"/>
          <w:szCs w:val="12"/>
          <w:u w:val="single" w:color="auto"/>
          <w:color w:val="0000FF"/>
        </w:rPr>
      </w:pPr>
      <w:hyperlink w:anchor="page25">
        <w:r>
          <w:rPr>
            <w:rFonts w:ascii="Arial" w:cs="Arial" w:eastAsia="Arial" w:hAnsi="Arial"/>
            <w:sz w:val="13"/>
            <w:szCs w:val="13"/>
            <w:u w:val="single" w:color="auto"/>
            <w:color w:val="0000FF"/>
          </w:rPr>
          <w:t>10.2</w:t>
        </w:r>
      </w:hyperlink>
      <w:r>
        <w:rPr>
          <w:rFonts w:ascii="Arial" w:cs="Arial" w:eastAsia="Arial" w:hAnsi="Arial"/>
          <w:sz w:val="13"/>
          <w:szCs w:val="13"/>
          <w:u w:val="single" w:color="auto"/>
          <w:color w:val="0000FF"/>
        </w:rPr>
        <w:tab/>
      </w:r>
      <w:hyperlink w:anchor="page25">
        <w:r>
          <w:rPr>
            <w:rFonts w:ascii="Arial" w:cs="Arial" w:eastAsia="Arial" w:hAnsi="Arial"/>
            <w:sz w:val="12"/>
            <w:szCs w:val="12"/>
            <w:u w:val="single" w:color="auto"/>
            <w:color w:val="0000FF"/>
          </w:rPr>
          <w:t>Amended and Restated Executive Change of Control Agreement between Winnebago Industries, Inc. and Donald Clark effective September 1, 2019.</w:t>
        </w:r>
      </w:hyperlink>
    </w:p>
    <w:p>
      <w:pPr>
        <w:sectPr>
          <w:pgSz w:w="11900" w:h="16838" w:orient="portrait"/>
          <w:cols w:equalWidth="0" w:num="1">
            <w:col w:w="11460"/>
          </w:cols>
          <w:pgMar w:left="220" w:top="46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440" w:type="dxa"/>
            <w:vAlign w:val="bottom"/>
            <w:gridSpan w:val="2"/>
          </w:tcPr>
          <w:p>
            <w:pPr>
              <w:ind w:left="1380"/>
              <w:spacing w:after="0"/>
              <w:rPr>
                <w:sz w:val="20"/>
                <w:szCs w:val="20"/>
                <w:color w:val="auto"/>
              </w:rPr>
            </w:pPr>
            <w:r>
              <w:rPr>
                <w:rFonts w:ascii="Arial" w:cs="Arial" w:eastAsia="Arial" w:hAnsi="Arial"/>
                <w:sz w:val="17"/>
                <w:szCs w:val="17"/>
                <w:color w:val="auto"/>
              </w:rPr>
              <w:t>W</w:t>
            </w:r>
            <w:r>
              <w:rPr>
                <w:rFonts w:ascii="Arial" w:cs="Arial" w:eastAsia="Arial" w:hAnsi="Arial"/>
                <w:sz w:val="12"/>
                <w:szCs w:val="12"/>
                <w:color w:val="auto"/>
              </w:rPr>
              <w:t>INNEBAGO</w:t>
            </w:r>
            <w:r>
              <w:rPr>
                <w:rFonts w:ascii="Arial" w:cs="Arial" w:eastAsia="Arial" w:hAnsi="Arial"/>
                <w:sz w:val="17"/>
                <w:szCs w:val="17"/>
                <w:color w:val="auto"/>
              </w:rPr>
              <w:t xml:space="preserve"> I</w:t>
            </w:r>
            <w:r>
              <w:rPr>
                <w:rFonts w:ascii="Arial" w:cs="Arial" w:eastAsia="Arial" w:hAnsi="Arial"/>
                <w:sz w:val="12"/>
                <w:szCs w:val="12"/>
                <w:color w:val="auto"/>
              </w:rPr>
              <w:t>NDUSTRIES,</w:t>
            </w:r>
            <w:r>
              <w:rPr>
                <w:rFonts w:ascii="Arial" w:cs="Arial" w:eastAsia="Arial" w:hAnsi="Arial"/>
                <w:sz w:val="17"/>
                <w:szCs w:val="17"/>
                <w:color w:val="auto"/>
              </w:rPr>
              <w:t xml:space="preserve"> I</w:t>
            </w:r>
            <w:r>
              <w:rPr>
                <w:rFonts w:ascii="Arial" w:cs="Arial" w:eastAsia="Arial" w:hAnsi="Arial"/>
                <w:sz w:val="12"/>
                <w:szCs w:val="12"/>
                <w:color w:val="auto"/>
              </w:rPr>
              <w:t>NC.</w:t>
            </w:r>
          </w:p>
        </w:tc>
      </w:tr>
      <w:tr>
        <w:trPr>
          <w:trHeight w:val="424"/>
        </w:trPr>
        <w:tc>
          <w:tcPr>
            <w:tcW w:w="560" w:type="dxa"/>
            <w:vAlign w:val="bottom"/>
          </w:tcPr>
          <w:p>
            <w:pPr>
              <w:spacing w:after="0"/>
              <w:rPr>
                <w:sz w:val="20"/>
                <w:szCs w:val="20"/>
                <w:color w:val="auto"/>
              </w:rPr>
            </w:pPr>
            <w:r>
              <w:rPr>
                <w:rFonts w:ascii="Arial" w:cs="Arial" w:eastAsia="Arial" w:hAnsi="Arial"/>
                <w:sz w:val="13"/>
                <w:szCs w:val="13"/>
                <w:color w:val="auto"/>
              </w:rPr>
              <w:t>Date:</w:t>
            </w:r>
          </w:p>
        </w:tc>
        <w:tc>
          <w:tcPr>
            <w:tcW w:w="2440" w:type="dxa"/>
            <w:vAlign w:val="bottom"/>
          </w:tcPr>
          <w:p>
            <w:pPr>
              <w:ind w:left="260"/>
              <w:spacing w:after="0"/>
              <w:rPr>
                <w:sz w:val="20"/>
                <w:szCs w:val="20"/>
                <w:color w:val="auto"/>
              </w:rPr>
            </w:pPr>
            <w:r>
              <w:rPr>
                <w:rFonts w:ascii="Arial" w:cs="Arial" w:eastAsia="Arial" w:hAnsi="Arial"/>
                <w:sz w:val="13"/>
                <w:szCs w:val="13"/>
                <w:color w:val="auto"/>
              </w:rPr>
              <w:t>June 24, 2019</w:t>
            </w:r>
          </w:p>
        </w:tc>
        <w:tc>
          <w:tcPr>
            <w:tcW w:w="2140" w:type="dxa"/>
            <w:vAlign w:val="bottom"/>
          </w:tcPr>
          <w:p>
            <w:pPr>
              <w:ind w:left="1380"/>
              <w:spacing w:after="0"/>
              <w:rPr>
                <w:sz w:val="20"/>
                <w:szCs w:val="20"/>
                <w:color w:val="auto"/>
              </w:rPr>
            </w:pPr>
            <w:r>
              <w:rPr>
                <w:rFonts w:ascii="Arial" w:cs="Arial" w:eastAsia="Arial" w:hAnsi="Arial"/>
                <w:sz w:val="13"/>
                <w:szCs w:val="13"/>
                <w:color w:val="auto"/>
              </w:rPr>
              <w:t>By:</w:t>
            </w:r>
          </w:p>
        </w:tc>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Stacy L. Bogart</w:t>
            </w:r>
          </w:p>
        </w:tc>
      </w:tr>
      <w:tr>
        <w:trPr>
          <w:trHeight w:val="189"/>
        </w:trPr>
        <w:tc>
          <w:tcPr>
            <w:tcW w:w="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140" w:type="dxa"/>
            <w:vAlign w:val="bottom"/>
          </w:tcPr>
          <w:p>
            <w:pPr>
              <w:ind w:left="1380"/>
              <w:spacing w:after="0"/>
              <w:rPr>
                <w:sz w:val="20"/>
                <w:szCs w:val="20"/>
                <w:color w:val="auto"/>
              </w:rPr>
            </w:pPr>
            <w:r>
              <w:rPr>
                <w:rFonts w:ascii="Arial" w:cs="Arial" w:eastAsia="Arial" w:hAnsi="Arial"/>
                <w:sz w:val="13"/>
                <w:szCs w:val="13"/>
                <w:color w:val="auto"/>
              </w:rPr>
              <w:t>Name:</w:t>
            </w:r>
          </w:p>
        </w:tc>
        <w:tc>
          <w:tcPr>
            <w:tcW w:w="6300" w:type="dxa"/>
            <w:vAlign w:val="bottom"/>
          </w:tcPr>
          <w:p>
            <w:pPr>
              <w:ind w:left="20"/>
              <w:spacing w:after="0"/>
              <w:rPr>
                <w:sz w:val="20"/>
                <w:szCs w:val="20"/>
                <w:color w:val="auto"/>
              </w:rPr>
            </w:pPr>
            <w:r>
              <w:rPr>
                <w:rFonts w:ascii="Arial" w:cs="Arial" w:eastAsia="Arial" w:hAnsi="Arial"/>
                <w:sz w:val="13"/>
                <w:szCs w:val="13"/>
                <w:color w:val="auto"/>
              </w:rPr>
              <w:t>Stacy L. Bogart</w:t>
            </w:r>
          </w:p>
        </w:tc>
      </w:tr>
      <w:tr>
        <w:trPr>
          <w:trHeight w:val="216"/>
        </w:trPr>
        <w:tc>
          <w:tcPr>
            <w:tcW w:w="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Arial" w:cs="Arial" w:eastAsia="Arial" w:hAnsi="Arial"/>
                <w:sz w:val="13"/>
                <w:szCs w:val="13"/>
                <w:color w:val="auto"/>
              </w:rPr>
              <w:t>Title:</w:t>
            </w:r>
          </w:p>
        </w:tc>
        <w:tc>
          <w:tcPr>
            <w:tcW w:w="6300" w:type="dxa"/>
            <w:vAlign w:val="bottom"/>
          </w:tcPr>
          <w:p>
            <w:pPr>
              <w:ind w:left="20"/>
              <w:spacing w:after="0"/>
              <w:rPr>
                <w:sz w:val="20"/>
                <w:szCs w:val="20"/>
                <w:color w:val="auto"/>
              </w:rPr>
            </w:pPr>
            <w:r>
              <w:rPr>
                <w:rFonts w:ascii="Arial" w:cs="Arial" w:eastAsia="Arial" w:hAnsi="Arial"/>
                <w:sz w:val="13"/>
                <w:szCs w:val="13"/>
                <w:color w:val="auto"/>
              </w:rPr>
              <w:t>Vice President, General Counsel and Corporate Secretary</w:t>
            </w:r>
          </w:p>
        </w:tc>
      </w:tr>
    </w:tbl>
    <w:p>
      <w:pPr>
        <w:sectPr>
          <w:pgSz w:w="11900" w:h="16838" w:orient="portrait"/>
          <w:cols w:equalWidth="0" w:num="1">
            <w:col w:w="11460"/>
          </w:cols>
          <w:pgMar w:left="220" w:top="459"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9878695</wp:posOffset>
            </wp:positionV>
            <wp:extent cx="721741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2019-12-28T10:42:41Z</dcterms:created>
  <dcterms:modified xsi:type="dcterms:W3CDTF">2019-12-28T10:42:41Z</dcterms:modified>
</cp:coreProperties>
</file>