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JULY 23,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jc w:val="both"/>
        <w:ind w:left="960" w:right="7679" w:hanging="952"/>
        <w:spacing w:after="0" w:line="55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9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2,576,112+ shares (7.6%)</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44,000+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 Gerald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44,000+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5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EACH</w:t>
            </w: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5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2,576,112+ shares (7.6%)</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44,000+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 Gerald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44,000+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WITH</w:t>
            </w:r>
          </w:p>
        </w:tc>
        <w:tc>
          <w:tcPr>
            <w:tcW w:w="35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6900" w:type="dxa"/>
            <w:vAlign w:val="bottom"/>
          </w:tcPr>
          <w:p>
            <w:pPr>
              <w:ind w:left="260"/>
              <w:spacing w:after="0"/>
              <w:rPr>
                <w:sz w:val="20"/>
                <w:szCs w:val="20"/>
                <w:color w:val="auto"/>
              </w:rPr>
            </w:pPr>
            <w:r>
              <w:rPr>
                <w:rFonts w:ascii="Courier New" w:cs="Courier New" w:eastAsia="Courier New" w:hAnsi="Courier New"/>
                <w:sz w:val="18"/>
                <w:szCs w:val="18"/>
                <w:color w:val="auto"/>
              </w:rPr>
              <w:t>Check if the Aggregate Amount in Row (11) Excludes Certain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HCP of an aggregate of 37,200 shares of Common Stock as a result of the sale by HCP on June 29, 2004 of 17,100 shares of Common Stock through a broker pursuant to the Rule 10b5-1 Trading Plan (the "TRADING PLAN") with Bessemer Trust Company of Florida; and the sale by HCP on July 23, 2004 of 20,100 shares of Common Stock through a broker pursuant to the Trading Plan. Reference is made to Item 4 for a description of the transactions.</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June 29, 2004, HCP sold 17,100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$642,618 or an average price per share of $37.5800; and on July 23,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20,100 shares of Common Stock through a broker pursuant to the Trading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approximate purchase price of $713,934 or an average price per share of</w:t>
      </w:r>
    </w:p>
    <w:p>
      <w:pPr>
        <w:spacing w:after="0" w:line="238" w:lineRule="auto"/>
        <w:rPr>
          <w:sz w:val="20"/>
          <w:szCs w:val="20"/>
          <w:color w:val="auto"/>
        </w:rPr>
      </w:pPr>
      <w:r>
        <w:rPr>
          <w:rFonts w:ascii="Courier New" w:cs="Courier New" w:eastAsia="Courier New" w:hAnsi="Courier New"/>
          <w:sz w:val="18"/>
          <w:szCs w:val="18"/>
          <w:color w:val="auto"/>
        </w:rPr>
        <w:t>$35.5191.</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2,576,112+ shares of Common Stock, which represent approximately 7.6%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respect to 2,576,112+ shares of Common Stock of which HCP is the beneficial owner. A majority of the Individual Trustees together with the Corporate Trustee have sole dispositive power with respect to the 2,576,112+ shares of Common Stock of which HCP is the beneficial owner, except that disposition of all or substantially all of those shares requires the unanimous approval of all members of HCP.</w:t>
      </w:r>
    </w:p>
    <w:p>
      <w:pPr>
        <w:spacing w:after="0" w:line="210" w:lineRule="exact"/>
        <w:rPr>
          <w:sz w:val="20"/>
          <w:szCs w:val="20"/>
          <w:color w:val="auto"/>
        </w:rPr>
      </w:pPr>
    </w:p>
    <w:p>
      <w:pPr>
        <w:ind w:left="960" w:right="1879" w:hanging="952"/>
        <w:spacing w:after="0" w:line="26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182,900 shares of Common Stock by HCP on June 22, 2004 and June 23, 2004, as reported on Schedule 13D (Amendment No. 38),</w:t>
      </w:r>
    </w:p>
    <w:p>
      <w:pPr>
        <w:ind w:left="960" w:right="1779" w:hanging="4"/>
        <w:spacing w:after="0" w:line="237" w:lineRule="auto"/>
        <w:tabs>
          <w:tab w:leader="none" w:pos="159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68,000 shares of Common Stock by HCP during the period from June 17, 2004 through June 21, 2004, as reported on Schedule 13D (Amendment No. 37), and (iv) the sale of an aggregate of 100,400 shares of Common Stock by HCP on June 15, 2004 and June 16, 2004, as reported on Schedule 13D (Amendment No. 36); none of HCP, John V. Hanson, Mary Joan Boman or Paul D. Hanson has had any transactions in Common Stock during the past 60 days.</w:t>
      </w: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July 27, 2004</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 --------------------------------</w:t>
            </w: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rPr>
              <w:t>(Date)</w:t>
            </w:r>
          </w:p>
        </w:tc>
        <w:tc>
          <w:tcPr>
            <w:tcW w:w="4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8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July 27, 2004</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 --------------------------------</w:t>
            </w: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rPr>
              <w:t>(Date)</w:t>
            </w:r>
          </w:p>
        </w:tc>
        <w:tc>
          <w:tcPr>
            <w:tcW w:w="4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8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July 27, 2004</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 --------------------------------</w:t>
            </w:r>
          </w:p>
        </w:tc>
        <w:tc>
          <w:tcPr>
            <w:tcW w:w="4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rPr>
              <w:t>(Date)</w:t>
            </w:r>
          </w:p>
        </w:tc>
        <w:tc>
          <w:tcPr>
            <w:tcW w:w="4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July 27,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580" w:space="54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July 27,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580" w:space="540"/>
            <w:col w:w="609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July 27,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580" w:space="54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3"/>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3"/>
    </w:lvl>
    <w:lvl w:ilvl="1">
      <w:lvlJc w:val="left"/>
      <w:lvlText w:val="(%2)"/>
      <w:numFmt w:val="lowerLetter"/>
      <w:start w:val="6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2019-12-11T19:23:57Z</dcterms:created>
  <dcterms:modified xsi:type="dcterms:W3CDTF">2019-12-11T19:23:57Z</dcterms:modified>
</cp:coreProperties>
</file>