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2926080</wp:posOffset>
            </wp:positionH>
            <wp:positionV relativeFrom="paragraph">
              <wp:posOffset>76200</wp:posOffset>
            </wp:positionV>
            <wp:extent cx="14370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2926080</wp:posOffset>
            </wp:positionH>
            <wp:positionV relativeFrom="paragraph">
              <wp:posOffset>32385</wp:posOffset>
            </wp:positionV>
            <wp:extent cx="14370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pacing w:after="0" w:line="44"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x </w:t>
      </w:r>
      <w:r>
        <w:rPr>
          <w:rFonts w:ascii="Arial" w:cs="Arial" w:eastAsia="Arial" w:hAnsi="Arial"/>
          <w:sz w:val="12"/>
          <w:szCs w:val="12"/>
          <w:b w:val="1"/>
          <w:bCs w:val="1"/>
          <w:color w:val="auto"/>
        </w:rPr>
        <w:t>ANNUAL REPORT PURSUANT TO SECTION 13 OR 15(D) OF THE SECURITIES EXCHANGE ACT OF 1934</w:t>
      </w:r>
      <w:r>
        <w:rPr>
          <w:rFonts w:ascii="Arial" w:cs="Arial" w:eastAsia="Arial" w:hAnsi="Arial"/>
          <w:sz w:val="14"/>
          <w:szCs w:val="14"/>
          <w:color w:val="auto"/>
        </w:rPr>
        <w:t xml:space="preserve"> </w:t>
      </w:r>
      <w:r>
        <w:rPr>
          <w:rFonts w:ascii="Arial" w:cs="Arial" w:eastAsia="Arial" w:hAnsi="Arial"/>
          <w:sz w:val="12"/>
          <w:szCs w:val="12"/>
          <w:color w:val="auto"/>
        </w:rPr>
        <w:t>for the fiscal year ended August 31, 2019; or</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2"/>
          <w:szCs w:val="12"/>
          <w:b w:val="1"/>
          <w:bCs w:val="1"/>
          <w:color w:val="auto"/>
        </w:rPr>
        <w:t>TRANSITION REPORT PURSUANT TO SECTION 13 OR 15(D) OF THE SECURITIES EXCHANGE ACT OF 1934</w:t>
      </w:r>
      <w:r>
        <w:rPr>
          <w:rFonts w:ascii="Arial" w:cs="Arial" w:eastAsia="Arial" w:hAnsi="Arial"/>
          <w:sz w:val="14"/>
          <w:szCs w:val="14"/>
          <w:color w:val="auto"/>
        </w:rPr>
        <w:t xml:space="preserve"> </w:t>
      </w:r>
      <w:r>
        <w:rPr>
          <w:rFonts w:ascii="Arial" w:cs="Arial" w:eastAsia="Arial" w:hAnsi="Arial"/>
          <w:sz w:val="12"/>
          <w:szCs w:val="12"/>
          <w:color w:val="auto"/>
        </w:rPr>
        <w:t>for the transition period from ___________________ to</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_______________________</w:t>
      </w:r>
    </w:p>
    <w:p>
      <w:pPr>
        <w:spacing w:after="0" w:line="55" w:lineRule="exact"/>
        <w:rPr>
          <w:sz w:val="24"/>
          <w:szCs w:val="24"/>
          <w:color w:val="auto"/>
        </w:rPr>
      </w:pPr>
    </w:p>
    <w:p>
      <w:pPr>
        <w:jc w:val="center"/>
        <w:ind w:right="-39"/>
        <w:spacing w:after="0" w:line="150" w:lineRule="exact"/>
        <w:rPr>
          <w:sz w:val="20"/>
          <w:szCs w:val="20"/>
          <w:color w:val="auto"/>
        </w:rPr>
      </w:pPr>
      <w:r>
        <w:rPr>
          <w:rFonts w:ascii="Arial" w:cs="Arial" w:eastAsia="Arial" w:hAnsi="Arial"/>
          <w:sz w:val="13"/>
          <w:szCs w:val="13"/>
          <w:color w:val="auto"/>
        </w:rPr>
        <w:t>Commission File Number 001</w:t>
      </w:r>
      <w:r>
        <w:rPr>
          <w:rFonts w:ascii="MS PGothic" w:cs="MS PGothic" w:eastAsia="MS PGothic" w:hAnsi="MS PGothic"/>
          <w:sz w:val="13"/>
          <w:szCs w:val="13"/>
          <w:color w:val="auto"/>
        </w:rPr>
        <w:t>‑</w:t>
      </w:r>
      <w:r>
        <w:rPr>
          <w:rFonts w:ascii="Arial" w:cs="Arial" w:eastAsia="Arial" w:hAnsi="Arial"/>
          <w:sz w:val="13"/>
          <w:szCs w:val="13"/>
          <w:color w:val="auto"/>
        </w:rPr>
        <w:t>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54610</wp:posOffset>
            </wp:positionV>
            <wp:extent cx="1929765" cy="273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27368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WINNEBAGO INDUSTRIES,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(Exact name of registrant as specified in its charter)</w:t>
      </w:r>
    </w:p>
    <w:p>
      <w:pPr>
        <w:spacing w:after="0" w:line="151" w:lineRule="exact"/>
        <w:rPr>
          <w:sz w:val="24"/>
          <w:szCs w:val="24"/>
          <w:color w:val="auto"/>
        </w:rPr>
      </w:pPr>
    </w:p>
    <w:tbl>
      <w:tblPr>
        <w:tblLayout w:type="fixed"/>
        <w:tblInd w:w="2180" w:type="dxa"/>
        <w:tblCellMar>
          <w:top w:w="0" w:type="dxa"/>
          <w:left w:w="0" w:type="dxa"/>
          <w:bottom w:w="0" w:type="dxa"/>
          <w:right w:w="0" w:type="dxa"/>
        </w:tblCellMar>
      </w:tblPr>
      <w:tr>
        <w:trPr>
          <w:trHeight w:val="163"/>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Iowa</w:t>
            </w:r>
          </w:p>
        </w:tc>
        <w:tc>
          <w:tcPr>
            <w:tcW w:w="1220" w:type="dxa"/>
            <w:vAlign w:val="bottom"/>
          </w:tcPr>
          <w:p>
            <w:pPr>
              <w:spacing w:after="0"/>
              <w:rPr>
                <w:sz w:val="14"/>
                <w:szCs w:val="14"/>
                <w:color w:val="auto"/>
              </w:rPr>
            </w:pPr>
          </w:p>
        </w:tc>
        <w:tc>
          <w:tcPr>
            <w:tcW w:w="2940" w:type="dxa"/>
            <w:vAlign w:val="bottom"/>
            <w:tcBorders>
              <w:bottom w:val="single" w:sz="8" w:color="auto"/>
            </w:tcBorders>
          </w:tcPr>
          <w:p>
            <w:pPr>
              <w:jc w:val="right"/>
              <w:ind w:right="1055"/>
              <w:spacing w:after="0"/>
              <w:rPr>
                <w:sz w:val="20"/>
                <w:szCs w:val="20"/>
                <w:color w:val="auto"/>
              </w:rPr>
            </w:pPr>
            <w:r>
              <w:rPr>
                <w:rFonts w:ascii="Arial" w:cs="Arial" w:eastAsia="Arial" w:hAnsi="Arial"/>
                <w:sz w:val="13"/>
                <w:szCs w:val="13"/>
                <w:color w:val="auto"/>
              </w:rPr>
              <w:t>42-0802678</w:t>
            </w:r>
          </w:p>
        </w:tc>
      </w:tr>
      <w:tr>
        <w:trPr>
          <w:trHeight w:val="188"/>
        </w:trPr>
        <w:tc>
          <w:tcPr>
            <w:tcW w:w="4160" w:type="dxa"/>
            <w:vAlign w:val="bottom"/>
            <w:gridSpan w:val="2"/>
          </w:tcPr>
          <w:p>
            <w:pPr>
              <w:jc w:val="center"/>
              <w:ind w:right="1220"/>
              <w:spacing w:after="0"/>
              <w:rPr>
                <w:sz w:val="20"/>
                <w:szCs w:val="20"/>
                <w:color w:val="auto"/>
              </w:rPr>
            </w:pPr>
            <w:r>
              <w:rPr>
                <w:rFonts w:ascii="Arial" w:cs="Arial" w:eastAsia="Arial" w:hAnsi="Arial"/>
                <w:sz w:val="13"/>
                <w:szCs w:val="13"/>
                <w:color w:val="auto"/>
                <w:w w:val="99"/>
              </w:rPr>
              <w:t>(State or other jurisdiction of</w:t>
            </w:r>
          </w:p>
        </w:tc>
        <w:tc>
          <w:tcPr>
            <w:tcW w:w="2940" w:type="dxa"/>
            <w:vAlign w:val="bottom"/>
          </w:tcPr>
          <w:p>
            <w:pPr>
              <w:jc w:val="center"/>
              <w:spacing w:after="0"/>
              <w:rPr>
                <w:sz w:val="20"/>
                <w:szCs w:val="20"/>
                <w:color w:val="auto"/>
              </w:rPr>
            </w:pPr>
            <w:r>
              <w:rPr>
                <w:rFonts w:ascii="Arial" w:cs="Arial" w:eastAsia="Arial" w:hAnsi="Arial"/>
                <w:sz w:val="13"/>
                <w:szCs w:val="13"/>
                <w:color w:val="auto"/>
                <w:w w:val="98"/>
              </w:rPr>
              <w:t>(I.R.S. Employer Identification No.)</w:t>
            </w:r>
          </w:p>
        </w:tc>
      </w:tr>
      <w:tr>
        <w:trPr>
          <w:trHeight w:val="216"/>
        </w:trPr>
        <w:tc>
          <w:tcPr>
            <w:tcW w:w="4160" w:type="dxa"/>
            <w:vAlign w:val="bottom"/>
            <w:gridSpan w:val="2"/>
          </w:tcPr>
          <w:p>
            <w:pPr>
              <w:jc w:val="center"/>
              <w:ind w:right="1200"/>
              <w:spacing w:after="0"/>
              <w:rPr>
                <w:sz w:val="20"/>
                <w:szCs w:val="20"/>
                <w:color w:val="auto"/>
              </w:rPr>
            </w:pPr>
            <w:r>
              <w:rPr>
                <w:rFonts w:ascii="Arial" w:cs="Arial" w:eastAsia="Arial" w:hAnsi="Arial"/>
                <w:sz w:val="13"/>
                <w:szCs w:val="13"/>
                <w:color w:val="auto"/>
                <w:w w:val="99"/>
              </w:rPr>
              <w:t>incorporation or organization)</w:t>
            </w:r>
          </w:p>
        </w:tc>
        <w:tc>
          <w:tcPr>
            <w:tcW w:w="2940" w:type="dxa"/>
            <w:vAlign w:val="bottom"/>
          </w:tcPr>
          <w:p>
            <w:pPr>
              <w:spacing w:after="0"/>
              <w:rPr>
                <w:sz w:val="18"/>
                <w:szCs w:val="18"/>
                <w:color w:val="auto"/>
              </w:rPr>
            </w:pPr>
          </w:p>
        </w:tc>
      </w:tr>
      <w:tr>
        <w:trPr>
          <w:trHeight w:val="37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P.O. Box 152, Forest City, Iowa</w:t>
            </w:r>
          </w:p>
        </w:tc>
        <w:tc>
          <w:tcPr>
            <w:tcW w:w="1220" w:type="dxa"/>
            <w:vAlign w:val="bottom"/>
          </w:tcPr>
          <w:p>
            <w:pPr>
              <w:spacing w:after="0"/>
              <w:rPr>
                <w:sz w:val="24"/>
                <w:szCs w:val="24"/>
                <w:color w:val="auto"/>
              </w:rPr>
            </w:pPr>
          </w:p>
        </w:tc>
        <w:tc>
          <w:tcPr>
            <w:tcW w:w="2940" w:type="dxa"/>
            <w:vAlign w:val="bottom"/>
            <w:tcBorders>
              <w:bottom w:val="single" w:sz="8" w:color="auto"/>
            </w:tcBorders>
          </w:tcPr>
          <w:p>
            <w:pPr>
              <w:jc w:val="right"/>
              <w:ind w:right="1215"/>
              <w:spacing w:after="0"/>
              <w:rPr>
                <w:sz w:val="20"/>
                <w:szCs w:val="20"/>
                <w:color w:val="auto"/>
              </w:rPr>
            </w:pPr>
            <w:r>
              <w:rPr>
                <w:rFonts w:ascii="Arial" w:cs="Arial" w:eastAsia="Arial" w:hAnsi="Arial"/>
                <w:sz w:val="13"/>
                <w:szCs w:val="13"/>
                <w:color w:val="auto"/>
              </w:rPr>
              <w:t>50436</w:t>
            </w:r>
          </w:p>
        </w:tc>
      </w:tr>
      <w:tr>
        <w:trPr>
          <w:trHeight w:val="177"/>
        </w:trPr>
        <w:tc>
          <w:tcPr>
            <w:tcW w:w="4160" w:type="dxa"/>
            <w:vAlign w:val="bottom"/>
            <w:gridSpan w:val="2"/>
          </w:tcPr>
          <w:p>
            <w:pPr>
              <w:jc w:val="center"/>
              <w:ind w:right="1220"/>
              <w:spacing w:after="0"/>
              <w:rPr>
                <w:sz w:val="20"/>
                <w:szCs w:val="20"/>
                <w:color w:val="auto"/>
              </w:rPr>
            </w:pPr>
            <w:r>
              <w:rPr>
                <w:rFonts w:ascii="Arial" w:cs="Arial" w:eastAsia="Arial" w:hAnsi="Arial"/>
                <w:sz w:val="13"/>
                <w:szCs w:val="13"/>
                <w:color w:val="auto"/>
                <w:w w:val="99"/>
              </w:rPr>
              <w:t>(Address of principal executive offices)</w:t>
            </w:r>
          </w:p>
        </w:tc>
        <w:tc>
          <w:tcPr>
            <w:tcW w:w="2940" w:type="dxa"/>
            <w:vAlign w:val="bottom"/>
          </w:tcPr>
          <w:p>
            <w:pPr>
              <w:jc w:val="center"/>
              <w:spacing w:after="0"/>
              <w:rPr>
                <w:sz w:val="20"/>
                <w:szCs w:val="20"/>
                <w:color w:val="auto"/>
              </w:rPr>
            </w:pPr>
            <w:r>
              <w:rPr>
                <w:rFonts w:ascii="Arial" w:cs="Arial" w:eastAsia="Arial" w:hAnsi="Arial"/>
                <w:sz w:val="13"/>
                <w:szCs w:val="13"/>
                <w:color w:val="auto"/>
              </w:rPr>
              <w:t>(Zip Code)</w:t>
            </w:r>
          </w:p>
        </w:tc>
      </w:tr>
    </w:tbl>
    <w:p>
      <w:pPr>
        <w:spacing w:after="0" w:line="28" w:lineRule="exact"/>
        <w:rPr>
          <w:sz w:val="24"/>
          <w:szCs w:val="24"/>
          <w:color w:val="auto"/>
        </w:rPr>
      </w:pPr>
    </w:p>
    <w:p>
      <w:pPr>
        <w:jc w:val="center"/>
        <w:ind w:right="-39"/>
        <w:spacing w:after="0" w:line="150" w:lineRule="exact"/>
        <w:rPr>
          <w:sz w:val="20"/>
          <w:szCs w:val="20"/>
          <w:color w:val="auto"/>
        </w:rPr>
      </w:pPr>
      <w:r>
        <w:rPr>
          <w:rFonts w:ascii="Arial" w:cs="Arial" w:eastAsia="Arial" w:hAnsi="Arial"/>
          <w:sz w:val="13"/>
          <w:szCs w:val="13"/>
          <w:color w:val="auto"/>
        </w:rPr>
        <w:t>Registrant's telephone number, including area code: (641) 585</w:t>
      </w:r>
      <w:r>
        <w:rPr>
          <w:rFonts w:ascii="MS PGothic" w:cs="MS PGothic" w:eastAsia="MS PGothic" w:hAnsi="MS PGothic"/>
          <w:sz w:val="13"/>
          <w:szCs w:val="13"/>
          <w:color w:val="auto"/>
        </w:rPr>
        <w:t>‑</w:t>
      </w:r>
      <w:r>
        <w:rPr>
          <w:rFonts w:ascii="Arial" w:cs="Arial" w:eastAsia="Arial" w:hAnsi="Arial"/>
          <w:sz w:val="13"/>
          <w:szCs w:val="13"/>
          <w:color w:val="auto"/>
        </w:rPr>
        <w:t>3535</w:t>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Name of each exchange on which registered</w:t>
            </w:r>
          </w:p>
        </w:tc>
      </w:tr>
      <w:tr>
        <w:trPr>
          <w:trHeight w:val="185"/>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Common Stock, $0.50 par value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WGO</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New York Stock Exchange</w:t>
            </w:r>
          </w:p>
        </w:tc>
      </w:tr>
    </w:tbl>
    <w:p>
      <w:pPr>
        <w:spacing w:after="0" w:line="133"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89"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Arial" w:cs="Arial" w:eastAsia="Arial" w:hAnsi="Arial"/>
          <w:sz w:val="12"/>
          <w:szCs w:val="12"/>
          <w:color w:val="auto"/>
        </w:rPr>
        <w:t>x</w:t>
      </w:r>
      <w:r>
        <w:rPr>
          <w:rFonts w:ascii="Arial" w:cs="Arial" w:eastAsia="Arial" w:hAnsi="Arial"/>
          <w:sz w:val="11"/>
          <w:szCs w:val="11"/>
          <w:color w:val="auto"/>
        </w:rPr>
        <w:t xml:space="preserve"> No </w:t>
      </w:r>
      <w:r>
        <w:rPr>
          <w:rFonts w:ascii="Arial" w:cs="Arial" w:eastAsia="Arial" w:hAnsi="Arial"/>
          <w:sz w:val="12"/>
          <w:szCs w:val="12"/>
          <w:color w:val="auto"/>
        </w:rPr>
        <w:t>o</w:t>
      </w:r>
    </w:p>
    <w:p>
      <w:pPr>
        <w:spacing w:after="0" w:line="142"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Arial" w:cs="Arial" w:eastAsia="Arial" w:hAnsi="Arial"/>
          <w:sz w:val="12"/>
          <w:szCs w:val="12"/>
          <w:color w:val="auto"/>
        </w:rPr>
        <w:t>o</w:t>
      </w:r>
      <w:r>
        <w:rPr>
          <w:rFonts w:ascii="Arial" w:cs="Arial" w:eastAsia="Arial" w:hAnsi="Arial"/>
          <w:sz w:val="11"/>
          <w:szCs w:val="11"/>
          <w:color w:val="auto"/>
        </w:rPr>
        <w:t xml:space="preserve"> No </w:t>
      </w:r>
      <w:r>
        <w:rPr>
          <w:rFonts w:ascii="Arial" w:cs="Arial" w:eastAsia="Arial" w:hAnsi="Arial"/>
          <w:sz w:val="12"/>
          <w:szCs w:val="12"/>
          <w:color w:val="auto"/>
        </w:rPr>
        <w:t>x</w:t>
      </w:r>
    </w:p>
    <w:p>
      <w:pPr>
        <w:spacing w:after="0" w:line="129" w:lineRule="exact"/>
        <w:rPr>
          <w:sz w:val="24"/>
          <w:szCs w:val="24"/>
          <w:color w:val="auto"/>
        </w:rPr>
      </w:pPr>
    </w:p>
    <w:p>
      <w:pPr>
        <w:jc w:val="both"/>
        <w:ind w:right="380"/>
        <w:spacing w:after="0" w:line="285" w:lineRule="auto"/>
        <w:rPr>
          <w:sz w:val="20"/>
          <w:szCs w:val="20"/>
          <w:color w:val="auto"/>
        </w:rPr>
      </w:pPr>
      <w:r>
        <w:rPr>
          <w:rFonts w:ascii="Arial" w:cs="Arial" w:eastAsia="Arial" w:hAnsi="Arial"/>
          <w:sz w:val="13"/>
          <w:szCs w:val="13"/>
          <w:color w:val="auto"/>
        </w:rPr>
        <w:t>I</w:t>
      </w:r>
      <w:r>
        <w:rPr>
          <w:rFonts w:ascii="Arial" w:cs="Arial" w:eastAsia="Arial" w:hAnsi="Arial"/>
          <w:sz w:val="11"/>
          <w:szCs w:val="11"/>
          <w:color w:val="auto"/>
        </w:rPr>
        <w:t>ndicate by check mark whether the registrant (1) has filed all reports required to be filed by Section 13 or 15(d) of the Securities Exchange Act of 1934 during the preceding 12 months (or for such shorter period that the</w:t>
      </w:r>
      <w:r>
        <w:rPr>
          <w:rFonts w:ascii="Arial" w:cs="Arial" w:eastAsia="Arial" w:hAnsi="Arial"/>
          <w:sz w:val="13"/>
          <w:szCs w:val="13"/>
          <w:color w:val="auto"/>
        </w:rPr>
        <w:t xml:space="preserve"> </w:t>
      </w:r>
      <w:r>
        <w:rPr>
          <w:rFonts w:ascii="Arial" w:cs="Arial" w:eastAsia="Arial" w:hAnsi="Arial"/>
          <w:sz w:val="11"/>
          <w:szCs w:val="11"/>
          <w:color w:val="auto"/>
        </w:rPr>
        <w:t xml:space="preserve">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1"/>
          <w:szCs w:val="11"/>
          <w:color w:val="auto"/>
        </w:rPr>
        <w:t xml:space="preserve"> No </w:t>
      </w:r>
      <w:r>
        <w:rPr>
          <w:rFonts w:ascii="Arial" w:cs="Arial" w:eastAsia="Arial" w:hAnsi="Arial"/>
          <w:sz w:val="12"/>
          <w:szCs w:val="12"/>
          <w:color w:val="auto"/>
        </w:rPr>
        <w:t>o</w:t>
      </w:r>
    </w:p>
    <w:p>
      <w:pPr>
        <w:spacing w:after="0" w:line="78" w:lineRule="exact"/>
        <w:rPr>
          <w:sz w:val="24"/>
          <w:szCs w:val="24"/>
          <w:color w:val="auto"/>
        </w:rPr>
      </w:pPr>
    </w:p>
    <w:p>
      <w:pPr>
        <w:ind w:right="20"/>
        <w:spacing w:after="0" w:line="289" w:lineRule="auto"/>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1"/>
          <w:szCs w:val="11"/>
          <w:color w:val="auto"/>
        </w:rPr>
        <w:t xml:space="preserve"> No </w:t>
      </w:r>
      <w:r>
        <w:rPr>
          <w:rFonts w:ascii="Arial" w:cs="Arial" w:eastAsia="Arial" w:hAnsi="Arial"/>
          <w:sz w:val="12"/>
          <w:szCs w:val="12"/>
          <w:color w:val="auto"/>
        </w:rPr>
        <w:t>o</w:t>
      </w:r>
    </w:p>
    <w:p>
      <w:pPr>
        <w:spacing w:after="0" w:line="59" w:lineRule="exact"/>
        <w:rPr>
          <w:sz w:val="24"/>
          <w:szCs w:val="24"/>
          <w:color w:val="auto"/>
        </w:rPr>
      </w:pPr>
    </w:p>
    <w:p>
      <w:pPr>
        <w:ind w:right="80"/>
        <w:spacing w:after="0" w:line="25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tabs>
          <w:tab w:leader="none" w:pos="1400" w:val="left"/>
          <w:tab w:leader="none" w:pos="2460" w:val="left"/>
        </w:tabs>
        <w:rPr>
          <w:sz w:val="20"/>
          <w:szCs w:val="20"/>
          <w:color w:val="auto"/>
        </w:rPr>
      </w:pPr>
      <w:r>
        <w:rPr>
          <w:rFonts w:ascii="Arial" w:cs="Arial" w:eastAsia="Arial" w:hAnsi="Arial"/>
          <w:sz w:val="11"/>
          <w:szCs w:val="11"/>
          <w:color w:val="auto"/>
        </w:rPr>
        <w:t xml:space="preserve">Large Accelerated Filer </w:t>
      </w:r>
      <w:r>
        <w:rPr>
          <w:rFonts w:ascii="Arial" w:cs="Arial" w:eastAsia="Arial" w:hAnsi="Arial"/>
          <w:sz w:val="12"/>
          <w:szCs w:val="12"/>
          <w:color w:val="auto"/>
        </w:rPr>
        <w:t>x</w:t>
      </w:r>
      <w:r>
        <w:rPr>
          <w:rFonts w:ascii="Arial" w:cs="Arial" w:eastAsia="Arial" w:hAnsi="Arial"/>
          <w:sz w:val="11"/>
          <w:szCs w:val="11"/>
          <w:color w:val="auto"/>
        </w:rPr>
        <w:tab/>
        <w:t xml:space="preserve">Accelerated Filer </w:t>
      </w:r>
      <w:r>
        <w:rPr>
          <w:rFonts w:ascii="Arial" w:cs="Arial" w:eastAsia="Arial" w:hAnsi="Arial"/>
          <w:sz w:val="12"/>
          <w:szCs w:val="12"/>
          <w:color w:val="auto"/>
        </w:rPr>
        <w:t>o</w:t>
      </w:r>
      <w:r>
        <w:rPr>
          <w:rFonts w:ascii="Arial" w:cs="Arial" w:eastAsia="Arial" w:hAnsi="Arial"/>
          <w:sz w:val="11"/>
          <w:szCs w:val="11"/>
          <w:color w:val="auto"/>
        </w:rPr>
        <w:tab/>
        <w:t xml:space="preserve">Non-accelerated filer </w:t>
      </w:r>
      <w:r>
        <w:rPr>
          <w:rFonts w:ascii="Arial" w:cs="Arial" w:eastAsia="Arial" w:hAnsi="Arial"/>
          <w:sz w:val="12"/>
          <w:szCs w:val="12"/>
          <w:color w:val="auto"/>
        </w:rPr>
        <w:t>o</w:t>
      </w:r>
      <w:r>
        <w:rPr>
          <w:rFonts w:ascii="Arial" w:cs="Arial" w:eastAsia="Arial" w:hAnsi="Arial"/>
          <w:sz w:val="11"/>
          <w:szCs w:val="11"/>
          <w:color w:val="auto"/>
        </w:rPr>
        <w:t xml:space="preserve"> Smaller Reporting Company </w:t>
      </w:r>
      <w:r>
        <w:rPr>
          <w:rFonts w:ascii="Arial" w:cs="Arial" w:eastAsia="Arial" w:hAnsi="Arial"/>
          <w:sz w:val="12"/>
          <w:szCs w:val="12"/>
          <w:color w:val="auto"/>
        </w:rPr>
        <w:t>o</w:t>
      </w:r>
      <w:r>
        <w:rPr>
          <w:rFonts w:ascii="Arial" w:cs="Arial" w:eastAsia="Arial" w:hAnsi="Arial"/>
          <w:sz w:val="11"/>
          <w:szCs w:val="11"/>
          <w:color w:val="auto"/>
        </w:rPr>
        <w:t xml:space="preserve"> Emerging Growth Company </w:t>
      </w:r>
      <w:r>
        <w:rPr>
          <w:rFonts w:ascii="Arial" w:cs="Arial" w:eastAsia="Arial" w:hAnsi="Arial"/>
          <w:sz w:val="12"/>
          <w:szCs w:val="12"/>
          <w:color w:val="auto"/>
        </w:rPr>
        <w:t>o</w:t>
      </w:r>
    </w:p>
    <w:p>
      <w:pPr>
        <w:spacing w:after="0" w:line="101" w:lineRule="exact"/>
        <w:rPr>
          <w:sz w:val="24"/>
          <w:szCs w:val="24"/>
          <w:color w:val="auto"/>
        </w:rPr>
      </w:pPr>
    </w:p>
    <w:p>
      <w:pPr>
        <w:ind w:right="100"/>
        <w:spacing w:after="0" w:line="289" w:lineRule="auto"/>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2"/>
          <w:szCs w:val="12"/>
          <w:color w:val="auto"/>
        </w:rPr>
        <w:t>o</w:t>
      </w:r>
    </w:p>
    <w:p>
      <w:pPr>
        <w:spacing w:after="0" w:line="113"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Arial" w:cs="Arial" w:eastAsia="Arial" w:hAnsi="Arial"/>
          <w:sz w:val="12"/>
          <w:szCs w:val="12"/>
          <w:color w:val="auto"/>
        </w:rPr>
        <w:t>o</w:t>
      </w:r>
      <w:r>
        <w:rPr>
          <w:rFonts w:ascii="Arial" w:cs="Arial" w:eastAsia="Arial" w:hAnsi="Arial"/>
          <w:sz w:val="11"/>
          <w:szCs w:val="11"/>
          <w:color w:val="auto"/>
        </w:rPr>
        <w:t xml:space="preserve"> No </w:t>
      </w:r>
      <w:r>
        <w:rPr>
          <w:rFonts w:ascii="Arial" w:cs="Arial" w:eastAsia="Arial" w:hAnsi="Arial"/>
          <w:sz w:val="12"/>
          <w:szCs w:val="12"/>
          <w:color w:val="auto"/>
        </w:rPr>
        <w:t>x</w:t>
      </w:r>
    </w:p>
    <w:p>
      <w:pPr>
        <w:spacing w:after="0" w:line="110" w:lineRule="exact"/>
        <w:rPr>
          <w:sz w:val="24"/>
          <w:szCs w:val="24"/>
          <w:color w:val="auto"/>
        </w:rPr>
      </w:pPr>
    </w:p>
    <w:p>
      <w:pPr>
        <w:spacing w:after="0"/>
        <w:rPr>
          <w:sz w:val="20"/>
          <w:szCs w:val="20"/>
          <w:color w:val="auto"/>
        </w:rPr>
      </w:pPr>
      <w:r>
        <w:rPr>
          <w:rFonts w:ascii="Arial" w:cs="Arial" w:eastAsia="Arial" w:hAnsi="Arial"/>
          <w:sz w:val="11"/>
          <w:szCs w:val="11"/>
          <w:color w:val="auto"/>
        </w:rPr>
        <w:t>Aggregate market value of the common stock held by non-affiliates of the registrant: $648,711,299 (19,209,362 shares at the closing price on the New York Stock Exchange of $33.77 on February 22, 2019).</w:t>
      </w:r>
    </w:p>
    <w:p>
      <w:pPr>
        <w:spacing w:after="0" w:line="89" w:lineRule="exact"/>
        <w:rPr>
          <w:sz w:val="24"/>
          <w:szCs w:val="24"/>
          <w:color w:val="auto"/>
        </w:rPr>
      </w:pPr>
    </w:p>
    <w:p>
      <w:pPr>
        <w:spacing w:after="0"/>
        <w:rPr>
          <w:sz w:val="20"/>
          <w:szCs w:val="20"/>
          <w:color w:val="auto"/>
        </w:rPr>
      </w:pPr>
      <w:r>
        <w:rPr>
          <w:rFonts w:ascii="Arial" w:cs="Arial" w:eastAsia="Arial" w:hAnsi="Arial"/>
          <w:sz w:val="11"/>
          <w:szCs w:val="11"/>
          <w:color w:val="auto"/>
        </w:rPr>
        <w:t>Common stock outstanding on October 7, 2019: 31,630,845 shares.</w:t>
      </w:r>
    </w:p>
    <w:p>
      <w:pPr>
        <w:spacing w:after="0" w:line="135"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7" w:lineRule="exact"/>
        <w:rPr>
          <w:sz w:val="24"/>
          <w:szCs w:val="24"/>
          <w:color w:val="auto"/>
        </w:rPr>
      </w:pPr>
    </w:p>
    <w:p>
      <w:pPr>
        <w:spacing w:after="0" w:line="251" w:lineRule="auto"/>
        <w:rPr>
          <w:sz w:val="20"/>
          <w:szCs w:val="20"/>
          <w:color w:val="auto"/>
        </w:rPr>
      </w:pPr>
      <w:r>
        <w:rPr>
          <w:rFonts w:ascii="Arial" w:cs="Arial" w:eastAsia="Arial" w:hAnsi="Arial"/>
          <w:sz w:val="13"/>
          <w:szCs w:val="13"/>
          <w:color w:val="auto"/>
        </w:rPr>
        <w:t>Portions of the registrant's Proxy Statement relating to the registrant's 2019 Annual Meeting of Shareholders, scheduled to be held December 17, 2019, are incorporated by reference into Part III of this Annual Report on Form 10-K where indicated.</w:t>
      </w:r>
    </w:p>
    <w:p>
      <w:pPr>
        <w:sectPr>
          <w:pgSz w:w="11900" w:h="16838" w:orient="portrait"/>
          <w:cols w:equalWidth="0" w:num="1">
            <w:col w:w="11440"/>
          </w:cols>
          <w:pgMar w:left="220" w:top="401" w:right="23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Winnebago Industries, Inc.</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2019 Form 10-K</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Table of Contents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040" w:type="dxa"/>
            <w:vAlign w:val="bottom"/>
            <w:gridSpan w:val="5"/>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4">
              <w:r>
                <w:rPr>
                  <w:rFonts w:ascii="Arial" w:cs="Arial" w:eastAsia="Arial" w:hAnsi="Arial"/>
                  <w:sz w:val="13"/>
                  <w:szCs w:val="13"/>
                  <w:color w:val="0000EE"/>
                </w:rPr>
                <w:t>4</w:t>
              </w:r>
            </w:hyperlink>
          </w:p>
        </w:tc>
        <w:tc>
          <w:tcPr>
            <w:tcW w:w="0" w:type="dxa"/>
            <w:vAlign w:val="bottom"/>
          </w:tcPr>
          <w:p>
            <w:pPr>
              <w:spacing w:after="0"/>
              <w:rPr>
                <w:sz w:val="1"/>
                <w:szCs w:val="1"/>
                <w:color w:val="auto"/>
              </w:rPr>
            </w:pPr>
          </w:p>
        </w:tc>
      </w:tr>
      <w:tr>
        <w:trPr>
          <w:trHeight w:val="174"/>
        </w:trPr>
        <w:tc>
          <w:tcPr>
            <w:tcW w:w="420" w:type="dxa"/>
            <w:vAlign w:val="bottom"/>
            <w:tcBorders>
              <w:top w:val="single" w:sz="8" w:color="0000EE"/>
            </w:tcBorders>
            <w:gridSpan w:val="2"/>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620" w:type="dxa"/>
            <w:vAlign w:val="bottom"/>
            <w:gridSpan w:val="3"/>
          </w:tcPr>
          <w:p>
            <w:pPr>
              <w:spacing w:after="0"/>
              <w:rPr>
                <w:sz w:val="15"/>
                <w:szCs w:val="15"/>
                <w:color w:val="auto"/>
              </w:rPr>
            </w:pPr>
          </w:p>
        </w:tc>
        <w:tc>
          <w:tcPr>
            <w:tcW w:w="6620" w:type="dxa"/>
            <w:vAlign w:val="bottom"/>
            <w:gridSpan w:val="21"/>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3680" w:type="dxa"/>
            <w:vAlign w:val="bottom"/>
            <w:gridSpan w:val="2"/>
          </w:tcPr>
          <w:p>
            <w:pPr>
              <w:spacing w:after="0"/>
              <w:rPr>
                <w:sz w:val="15"/>
                <w:szCs w:val="15"/>
                <w:color w:val="auto"/>
              </w:rPr>
            </w:pPr>
          </w:p>
        </w:tc>
        <w:tc>
          <w:tcPr>
            <w:tcW w:w="80" w:type="dxa"/>
            <w:vAlign w:val="bottom"/>
            <w:tcBorders>
              <w:top w:val="single" w:sz="8" w:color="0000EE"/>
            </w:tcBorders>
          </w:tcPr>
          <w:p>
            <w:pPr>
              <w:jc w:val="right"/>
              <w:spacing w:after="0"/>
              <w:rPr>
                <w:rFonts w:ascii="Arial" w:cs="Arial" w:eastAsia="Arial" w:hAnsi="Arial"/>
                <w:sz w:val="13"/>
                <w:szCs w:val="13"/>
                <w:color w:val="0000EE"/>
                <w:w w:val="82"/>
              </w:rPr>
            </w:pPr>
            <w:hyperlink w:anchor="page4">
              <w:r>
                <w:rPr>
                  <w:rFonts w:ascii="Arial" w:cs="Arial" w:eastAsia="Arial" w:hAnsi="Arial"/>
                  <w:sz w:val="13"/>
                  <w:szCs w:val="13"/>
                  <w:color w:val="0000EE"/>
                  <w:w w:val="82"/>
                </w:rPr>
                <w:t>4</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0"/>
              </w:rPr>
            </w:pPr>
            <w:hyperlink w:anchor="page7">
              <w:r>
                <w:rPr>
                  <w:rFonts w:ascii="Arial" w:cs="Arial" w:eastAsia="Arial" w:hAnsi="Arial"/>
                  <w:sz w:val="13"/>
                  <w:szCs w:val="13"/>
                  <w:color w:val="0000EE"/>
                  <w:w w:val="90"/>
                </w:rPr>
                <w:t>Item 1A.</w:t>
              </w:r>
            </w:hyperlink>
          </w:p>
        </w:tc>
        <w:tc>
          <w:tcPr>
            <w:tcW w:w="560" w:type="dxa"/>
            <w:vAlign w:val="bottom"/>
            <w:gridSpan w:val="2"/>
          </w:tcPr>
          <w:p>
            <w:pPr>
              <w:spacing w:after="0"/>
              <w:rPr>
                <w:sz w:val="15"/>
                <w:szCs w:val="15"/>
                <w:color w:val="auto"/>
              </w:rPr>
            </w:pPr>
          </w:p>
        </w:tc>
        <w:tc>
          <w:tcPr>
            <w:tcW w:w="6620" w:type="dxa"/>
            <w:vAlign w:val="bottom"/>
            <w:gridSpan w:val="21"/>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Risk Factors</w:t>
              </w:r>
            </w:hyperlink>
          </w:p>
        </w:tc>
        <w:tc>
          <w:tcPr>
            <w:tcW w:w="3760" w:type="dxa"/>
            <w:vAlign w:val="bottom"/>
            <w:gridSpan w:val="3"/>
          </w:tcPr>
          <w:p>
            <w:pPr>
              <w:jc w:val="right"/>
              <w:spacing w:after="0"/>
              <w:rPr>
                <w:rFonts w:ascii="Arial" w:cs="Arial" w:eastAsia="Arial" w:hAnsi="Arial"/>
                <w:sz w:val="13"/>
                <w:szCs w:val="13"/>
                <w:color w:val="0000EE"/>
              </w:rPr>
            </w:pPr>
            <w:hyperlink w:anchor="page7">
              <w:r>
                <w:rPr>
                  <w:rFonts w:ascii="Arial" w:cs="Arial" w:eastAsia="Arial" w:hAnsi="Arial"/>
                  <w:sz w:val="13"/>
                  <w:szCs w:val="13"/>
                  <w:color w:val="0000EE"/>
                </w:rPr>
                <w:t>7</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0"/>
              </w:rPr>
            </w:pPr>
            <w:hyperlink w:anchor="page16">
              <w:r>
                <w:rPr>
                  <w:rFonts w:ascii="Arial" w:cs="Arial" w:eastAsia="Arial" w:hAnsi="Arial"/>
                  <w:sz w:val="13"/>
                  <w:szCs w:val="13"/>
                  <w:color w:val="0000EE"/>
                  <w:w w:val="90"/>
                </w:rPr>
                <w:t>Item 1B.</w:t>
              </w:r>
            </w:hyperlink>
          </w:p>
        </w:tc>
        <w:tc>
          <w:tcPr>
            <w:tcW w:w="560" w:type="dxa"/>
            <w:vAlign w:val="bottom"/>
            <w:gridSpan w:val="2"/>
          </w:tcPr>
          <w:p>
            <w:pPr>
              <w:spacing w:after="0"/>
              <w:rPr>
                <w:sz w:val="15"/>
                <w:szCs w:val="15"/>
                <w:color w:val="auto"/>
              </w:rPr>
            </w:pPr>
          </w:p>
        </w:tc>
        <w:tc>
          <w:tcPr>
            <w:tcW w:w="1620" w:type="dxa"/>
            <w:vAlign w:val="bottom"/>
            <w:gridSpan w:val="10"/>
          </w:tcPr>
          <w:p>
            <w:pPr>
              <w:spacing w:after="0"/>
              <w:rPr>
                <w:rFonts w:ascii="Arial" w:cs="Arial" w:eastAsia="Arial" w:hAnsi="Arial"/>
                <w:sz w:val="13"/>
                <w:szCs w:val="13"/>
                <w:color w:val="0000EE"/>
                <w:w w:val="98"/>
              </w:rPr>
            </w:pPr>
            <w:hyperlink w:anchor="page16">
              <w:r>
                <w:rPr>
                  <w:rFonts w:ascii="Arial" w:cs="Arial" w:eastAsia="Arial" w:hAnsi="Arial"/>
                  <w:sz w:val="13"/>
                  <w:szCs w:val="13"/>
                  <w:color w:val="0000EE"/>
                  <w:w w:val="98"/>
                </w:rPr>
                <w:t>Unresolved Staff Comments</w:t>
              </w:r>
            </w:hyperlink>
          </w:p>
        </w:tc>
        <w:tc>
          <w:tcPr>
            <w:tcW w:w="5000" w:type="dxa"/>
            <w:vAlign w:val="bottom"/>
            <w:gridSpan w:val="11"/>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16">
              <w:r>
                <w:rPr>
                  <w:rFonts w:ascii="Arial" w:cs="Arial" w:eastAsia="Arial" w:hAnsi="Arial"/>
                  <w:sz w:val="13"/>
                  <w:szCs w:val="13"/>
                  <w:color w:val="0000EE"/>
                </w:rPr>
                <w:t>16</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Item 2.</w:t>
              </w:r>
            </w:hyperlink>
          </w:p>
        </w:tc>
        <w:tc>
          <w:tcPr>
            <w:tcW w:w="560" w:type="dxa"/>
            <w:vAlign w:val="bottom"/>
            <w:gridSpan w:val="2"/>
          </w:tcPr>
          <w:p>
            <w:pPr>
              <w:spacing w:after="0"/>
              <w:rPr>
                <w:sz w:val="15"/>
                <w:szCs w:val="15"/>
                <w:color w:val="auto"/>
              </w:rPr>
            </w:pPr>
          </w:p>
        </w:tc>
        <w:tc>
          <w:tcPr>
            <w:tcW w:w="1620" w:type="dxa"/>
            <w:vAlign w:val="bottom"/>
            <w:gridSpan w:val="10"/>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Properties</w:t>
              </w:r>
            </w:hyperlink>
          </w:p>
        </w:tc>
        <w:tc>
          <w:tcPr>
            <w:tcW w:w="5000" w:type="dxa"/>
            <w:vAlign w:val="bottom"/>
            <w:gridSpan w:val="11"/>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16">
              <w:r>
                <w:rPr>
                  <w:rFonts w:ascii="Arial" w:cs="Arial" w:eastAsia="Arial" w:hAnsi="Arial"/>
                  <w:sz w:val="13"/>
                  <w:szCs w:val="13"/>
                  <w:color w:val="0000EE"/>
                </w:rPr>
                <w:t>16</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gridSpan w:val="5"/>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Item 3.</w:t>
              </w:r>
            </w:hyperlink>
          </w:p>
        </w:tc>
        <w:tc>
          <w:tcPr>
            <w:tcW w:w="6620" w:type="dxa"/>
            <w:vAlign w:val="bottom"/>
            <w:gridSpan w:val="21"/>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Legal Proceedings</w:t>
              </w:r>
            </w:hyperlink>
          </w:p>
        </w:tc>
        <w:tc>
          <w:tcPr>
            <w:tcW w:w="3760" w:type="dxa"/>
            <w:vAlign w:val="bottom"/>
            <w:gridSpan w:val="3"/>
          </w:tcPr>
          <w:p>
            <w:pPr>
              <w:jc w:val="right"/>
              <w:spacing w:after="0"/>
              <w:rPr>
                <w:rFonts w:ascii="Arial" w:cs="Arial" w:eastAsia="Arial" w:hAnsi="Arial"/>
                <w:sz w:val="13"/>
                <w:szCs w:val="13"/>
                <w:color w:val="0000EE"/>
              </w:rPr>
            </w:pPr>
            <w:hyperlink w:anchor="page16">
              <w:r>
                <w:rPr>
                  <w:rFonts w:ascii="Arial" w:cs="Arial" w:eastAsia="Arial" w:hAnsi="Arial"/>
                  <w:sz w:val="13"/>
                  <w:szCs w:val="13"/>
                  <w:color w:val="0000EE"/>
                </w:rPr>
                <w:t>16</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gridSpan w:val="5"/>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Item 4.</w:t>
              </w:r>
            </w:hyperlink>
          </w:p>
        </w:tc>
        <w:tc>
          <w:tcPr>
            <w:tcW w:w="6620" w:type="dxa"/>
            <w:vAlign w:val="bottom"/>
            <w:gridSpan w:val="21"/>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Mine Safety Disclosures</w:t>
              </w:r>
            </w:hyperlink>
          </w:p>
        </w:tc>
        <w:tc>
          <w:tcPr>
            <w:tcW w:w="3760" w:type="dxa"/>
            <w:vAlign w:val="bottom"/>
            <w:gridSpan w:val="3"/>
          </w:tcPr>
          <w:p>
            <w:pPr>
              <w:jc w:val="right"/>
              <w:spacing w:after="0"/>
              <w:rPr>
                <w:rFonts w:ascii="Arial" w:cs="Arial" w:eastAsia="Arial" w:hAnsi="Arial"/>
                <w:sz w:val="13"/>
                <w:szCs w:val="13"/>
                <w:color w:val="0000EE"/>
              </w:rPr>
            </w:pPr>
            <w:hyperlink w:anchor="page16">
              <w:r>
                <w:rPr>
                  <w:rFonts w:ascii="Arial" w:cs="Arial" w:eastAsia="Arial" w:hAnsi="Arial"/>
                  <w:sz w:val="13"/>
                  <w:szCs w:val="13"/>
                  <w:color w:val="0000EE"/>
                </w:rPr>
                <w:t>16</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00" w:type="dxa"/>
            <w:vAlign w:val="bottom"/>
            <w:tcBorders>
              <w:bottom w:val="single" w:sz="8" w:color="0000EE"/>
            </w:tcBorders>
            <w:gridSpan w:val="12"/>
          </w:tcPr>
          <w:p>
            <w:pPr>
              <w:spacing w:after="0"/>
              <w:rPr>
                <w:rFonts w:ascii="Arial" w:cs="Arial" w:eastAsia="Arial" w:hAnsi="Arial"/>
                <w:sz w:val="13"/>
                <w:szCs w:val="13"/>
                <w:color w:val="0000EE"/>
                <w:w w:val="98"/>
              </w:rPr>
            </w:pPr>
            <w:hyperlink w:anchor="page17">
              <w:r>
                <w:rPr>
                  <w:rFonts w:ascii="Arial" w:cs="Arial" w:eastAsia="Arial" w:hAnsi="Arial"/>
                  <w:sz w:val="13"/>
                  <w:szCs w:val="13"/>
                  <w:color w:val="0000EE"/>
                  <w:w w:val="98"/>
                </w:rPr>
                <w:t>Information about our Executive Officers</w:t>
              </w:r>
            </w:hyperlink>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17">
              <w:r>
                <w:rPr>
                  <w:rFonts w:ascii="Arial" w:cs="Arial" w:eastAsia="Arial" w:hAnsi="Arial"/>
                  <w:sz w:val="13"/>
                  <w:szCs w:val="13"/>
                  <w:color w:val="0000EE"/>
                </w:rPr>
                <w:t>17</w:t>
              </w:r>
            </w:hyperlink>
          </w:p>
        </w:tc>
        <w:tc>
          <w:tcPr>
            <w:tcW w:w="0" w:type="dxa"/>
            <w:vAlign w:val="bottom"/>
          </w:tcPr>
          <w:p>
            <w:pPr>
              <w:spacing w:after="0"/>
              <w:rPr>
                <w:sz w:val="1"/>
                <w:szCs w:val="1"/>
                <w:color w:val="auto"/>
              </w:rPr>
            </w:pPr>
          </w:p>
        </w:tc>
      </w:tr>
      <w:tr>
        <w:trPr>
          <w:trHeight w:val="20"/>
        </w:trPr>
        <w:tc>
          <w:tcPr>
            <w:tcW w:w="480" w:type="dxa"/>
            <w:vAlign w:val="bottom"/>
            <w:gridSpan w:val="3"/>
            <w:vMerge w:val="restart"/>
          </w:tcPr>
          <w:p>
            <w:pPr>
              <w:spacing w:after="0"/>
              <w:rPr>
                <w:rFonts w:ascii="Arial" w:cs="Arial" w:eastAsia="Arial" w:hAnsi="Arial"/>
                <w:sz w:val="13"/>
                <w:szCs w:val="13"/>
                <w:b w:val="1"/>
                <w:bCs w:val="1"/>
                <w:color w:val="0000EE"/>
                <w:w w:val="95"/>
              </w:rPr>
            </w:pPr>
            <w:hyperlink w:anchor="page19">
              <w:r>
                <w:rPr>
                  <w:rFonts w:ascii="Arial" w:cs="Arial" w:eastAsia="Arial" w:hAnsi="Arial"/>
                  <w:sz w:val="13"/>
                  <w:szCs w:val="13"/>
                  <w:b w:val="1"/>
                  <w:bCs w:val="1"/>
                  <w:color w:val="0000EE"/>
                  <w:w w:val="95"/>
                </w:rPr>
                <w:t>PART II</w:t>
              </w:r>
            </w:hyperlink>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0" w:type="dxa"/>
            <w:vAlign w:val="bottom"/>
            <w:tcBorders>
              <w:bottom w:val="single" w:sz="8" w:color="0000EE"/>
            </w:tcBorders>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19">
              <w:r>
                <w:rPr>
                  <w:rFonts w:ascii="Arial" w:cs="Arial" w:eastAsia="Arial" w:hAnsi="Arial"/>
                  <w:sz w:val="13"/>
                  <w:szCs w:val="13"/>
                  <w:color w:val="0000EE"/>
                </w:rPr>
                <w:t>19</w:t>
              </w:r>
            </w:hyperlink>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gridSpan w:val="5"/>
          </w:tcPr>
          <w:p>
            <w:pPr>
              <w:spacing w:after="0"/>
              <w:rPr>
                <w:rFonts w:ascii="Arial" w:cs="Arial" w:eastAsia="Arial" w:hAnsi="Arial"/>
                <w:sz w:val="13"/>
                <w:szCs w:val="13"/>
                <w:color w:val="0000EE"/>
              </w:rPr>
            </w:pPr>
            <w:hyperlink w:anchor="page19">
              <w:r>
                <w:rPr>
                  <w:rFonts w:ascii="Arial" w:cs="Arial" w:eastAsia="Arial" w:hAnsi="Arial"/>
                  <w:sz w:val="13"/>
                  <w:szCs w:val="13"/>
                  <w:color w:val="0000EE"/>
                </w:rPr>
                <w:t>Item 5.</w:t>
              </w:r>
            </w:hyperlink>
          </w:p>
        </w:tc>
        <w:tc>
          <w:tcPr>
            <w:tcW w:w="6620" w:type="dxa"/>
            <w:vAlign w:val="bottom"/>
            <w:gridSpan w:val="21"/>
          </w:tcPr>
          <w:p>
            <w:pPr>
              <w:spacing w:after="0"/>
              <w:rPr>
                <w:rFonts w:ascii="Arial" w:cs="Arial" w:eastAsia="Arial" w:hAnsi="Arial"/>
                <w:sz w:val="13"/>
                <w:szCs w:val="13"/>
                <w:color w:val="0000EE"/>
                <w:w w:val="98"/>
              </w:rPr>
            </w:pPr>
            <w:hyperlink w:anchor="page19">
              <w:r>
                <w:rPr>
                  <w:rFonts w:ascii="Arial" w:cs="Arial" w:eastAsia="Arial" w:hAnsi="Arial"/>
                  <w:sz w:val="13"/>
                  <w:szCs w:val="13"/>
                  <w:color w:val="0000EE"/>
                  <w:w w:val="98"/>
                </w:rPr>
                <w:t>Market for the Registrant's Common Equity, Related Stockholder Matters, and Issuer Purchases of Equity Securities</w:t>
              </w:r>
            </w:hyperlink>
          </w:p>
        </w:tc>
        <w:tc>
          <w:tcPr>
            <w:tcW w:w="3760" w:type="dxa"/>
            <w:vAlign w:val="bottom"/>
            <w:gridSpan w:val="3"/>
          </w:tcPr>
          <w:p>
            <w:pPr>
              <w:jc w:val="right"/>
              <w:spacing w:after="0"/>
              <w:rPr>
                <w:rFonts w:ascii="Arial" w:cs="Arial" w:eastAsia="Arial" w:hAnsi="Arial"/>
                <w:sz w:val="13"/>
                <w:szCs w:val="13"/>
                <w:color w:val="0000EE"/>
              </w:rPr>
            </w:pPr>
            <w:hyperlink w:anchor="page19">
              <w:r>
                <w:rPr>
                  <w:rFonts w:ascii="Arial" w:cs="Arial" w:eastAsia="Arial" w:hAnsi="Arial"/>
                  <w:sz w:val="13"/>
                  <w:szCs w:val="13"/>
                  <w:color w:val="0000EE"/>
                </w:rPr>
                <w:t>19</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gridSpan w:val="5"/>
          </w:tcPr>
          <w:p>
            <w:pPr>
              <w:spacing w:after="0"/>
              <w:rPr>
                <w:rFonts w:ascii="Arial" w:cs="Arial" w:eastAsia="Arial" w:hAnsi="Arial"/>
                <w:sz w:val="13"/>
                <w:szCs w:val="13"/>
                <w:color w:val="0000EE"/>
              </w:rPr>
            </w:pPr>
            <w:hyperlink w:anchor="page22">
              <w:r>
                <w:rPr>
                  <w:rFonts w:ascii="Arial" w:cs="Arial" w:eastAsia="Arial" w:hAnsi="Arial"/>
                  <w:sz w:val="13"/>
                  <w:szCs w:val="13"/>
                  <w:color w:val="0000EE"/>
                </w:rPr>
                <w:t>Item 6.</w:t>
              </w:r>
            </w:hyperlink>
          </w:p>
        </w:tc>
        <w:tc>
          <w:tcPr>
            <w:tcW w:w="6620" w:type="dxa"/>
            <w:vAlign w:val="bottom"/>
            <w:gridSpan w:val="21"/>
          </w:tcPr>
          <w:p>
            <w:pPr>
              <w:spacing w:after="0"/>
              <w:rPr>
                <w:rFonts w:ascii="Arial" w:cs="Arial" w:eastAsia="Arial" w:hAnsi="Arial"/>
                <w:sz w:val="13"/>
                <w:szCs w:val="13"/>
                <w:color w:val="0000EE"/>
              </w:rPr>
            </w:pPr>
            <w:hyperlink w:anchor="page22">
              <w:r>
                <w:rPr>
                  <w:rFonts w:ascii="Arial" w:cs="Arial" w:eastAsia="Arial" w:hAnsi="Arial"/>
                  <w:sz w:val="13"/>
                  <w:szCs w:val="13"/>
                  <w:color w:val="0000EE"/>
                </w:rPr>
                <w:t>Selected Financial Data</w:t>
              </w:r>
            </w:hyperlink>
          </w:p>
        </w:tc>
        <w:tc>
          <w:tcPr>
            <w:tcW w:w="3760" w:type="dxa"/>
            <w:vAlign w:val="bottom"/>
            <w:gridSpan w:val="3"/>
          </w:tcPr>
          <w:p>
            <w:pPr>
              <w:jc w:val="right"/>
              <w:spacing w:after="0"/>
              <w:rPr>
                <w:rFonts w:ascii="Arial" w:cs="Arial" w:eastAsia="Arial" w:hAnsi="Arial"/>
                <w:sz w:val="13"/>
                <w:szCs w:val="13"/>
                <w:color w:val="0000EE"/>
              </w:rPr>
            </w:pPr>
            <w:hyperlink w:anchor="page22">
              <w:r>
                <w:rPr>
                  <w:rFonts w:ascii="Arial" w:cs="Arial" w:eastAsia="Arial" w:hAnsi="Arial"/>
                  <w:sz w:val="13"/>
                  <w:szCs w:val="13"/>
                  <w:color w:val="0000EE"/>
                </w:rPr>
                <w:t>22</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gridSpan w:val="5"/>
          </w:tcPr>
          <w:p>
            <w:pPr>
              <w:spacing w:after="0"/>
              <w:rPr>
                <w:rFonts w:ascii="Arial" w:cs="Arial" w:eastAsia="Arial" w:hAnsi="Arial"/>
                <w:sz w:val="13"/>
                <w:szCs w:val="13"/>
                <w:color w:val="0000EE"/>
              </w:rPr>
            </w:pPr>
            <w:hyperlink w:anchor="page22">
              <w:r>
                <w:rPr>
                  <w:rFonts w:ascii="Arial" w:cs="Arial" w:eastAsia="Arial" w:hAnsi="Arial"/>
                  <w:sz w:val="13"/>
                  <w:szCs w:val="13"/>
                  <w:color w:val="0000EE"/>
                </w:rPr>
                <w:t>Item 7.</w:t>
              </w:r>
            </w:hyperlink>
          </w:p>
        </w:tc>
        <w:tc>
          <w:tcPr>
            <w:tcW w:w="6620" w:type="dxa"/>
            <w:vAlign w:val="bottom"/>
            <w:gridSpan w:val="21"/>
          </w:tcPr>
          <w:p>
            <w:pPr>
              <w:spacing w:after="0"/>
              <w:rPr>
                <w:rFonts w:ascii="Arial" w:cs="Arial" w:eastAsia="Arial" w:hAnsi="Arial"/>
                <w:sz w:val="13"/>
                <w:szCs w:val="13"/>
                <w:color w:val="0000EE"/>
              </w:rPr>
            </w:pPr>
            <w:hyperlink w:anchor="page22">
              <w:r>
                <w:rPr>
                  <w:rFonts w:ascii="Arial" w:cs="Arial" w:eastAsia="Arial" w:hAnsi="Arial"/>
                  <w:sz w:val="13"/>
                  <w:szCs w:val="13"/>
                  <w:color w:val="0000EE"/>
                </w:rPr>
                <w:t>Management's Discussion and Analysis of Financial Condition and Results of Operations</w:t>
              </w:r>
            </w:hyperlink>
          </w:p>
        </w:tc>
        <w:tc>
          <w:tcPr>
            <w:tcW w:w="3760" w:type="dxa"/>
            <w:vAlign w:val="bottom"/>
            <w:gridSpan w:val="3"/>
          </w:tcPr>
          <w:p>
            <w:pPr>
              <w:jc w:val="right"/>
              <w:spacing w:after="0"/>
              <w:rPr>
                <w:rFonts w:ascii="Arial" w:cs="Arial" w:eastAsia="Arial" w:hAnsi="Arial"/>
                <w:sz w:val="13"/>
                <w:szCs w:val="13"/>
                <w:color w:val="0000EE"/>
              </w:rPr>
            </w:pPr>
            <w:hyperlink w:anchor="page22">
              <w:r>
                <w:rPr>
                  <w:rFonts w:ascii="Arial" w:cs="Arial" w:eastAsia="Arial" w:hAnsi="Arial"/>
                  <w:sz w:val="13"/>
                  <w:szCs w:val="13"/>
                  <w:color w:val="0000EE"/>
                </w:rPr>
                <w:t>22</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0"/>
              </w:rPr>
            </w:pPr>
            <w:hyperlink w:anchor="page35">
              <w:r>
                <w:rPr>
                  <w:rFonts w:ascii="Arial" w:cs="Arial" w:eastAsia="Arial" w:hAnsi="Arial"/>
                  <w:sz w:val="13"/>
                  <w:szCs w:val="13"/>
                  <w:color w:val="0000EE"/>
                  <w:w w:val="90"/>
                </w:rPr>
                <w:t>Item 7A.</w:t>
              </w:r>
            </w:hyperlink>
          </w:p>
        </w:tc>
        <w:tc>
          <w:tcPr>
            <w:tcW w:w="560" w:type="dxa"/>
            <w:vAlign w:val="bottom"/>
            <w:gridSpan w:val="2"/>
          </w:tcPr>
          <w:p>
            <w:pPr>
              <w:spacing w:after="0"/>
              <w:rPr>
                <w:sz w:val="15"/>
                <w:szCs w:val="15"/>
                <w:color w:val="auto"/>
              </w:rPr>
            </w:pPr>
          </w:p>
        </w:tc>
        <w:tc>
          <w:tcPr>
            <w:tcW w:w="6620" w:type="dxa"/>
            <w:vAlign w:val="bottom"/>
            <w:gridSpan w:val="21"/>
          </w:tcPr>
          <w:p>
            <w:pPr>
              <w:spacing w:after="0"/>
              <w:rPr>
                <w:rFonts w:ascii="Arial" w:cs="Arial" w:eastAsia="Arial" w:hAnsi="Arial"/>
                <w:sz w:val="13"/>
                <w:szCs w:val="13"/>
                <w:color w:val="0000EE"/>
              </w:rPr>
            </w:pPr>
            <w:hyperlink w:anchor="page35">
              <w:r>
                <w:rPr>
                  <w:rFonts w:ascii="Arial" w:cs="Arial" w:eastAsia="Arial" w:hAnsi="Arial"/>
                  <w:sz w:val="13"/>
                  <w:szCs w:val="13"/>
                  <w:color w:val="0000EE"/>
                </w:rPr>
                <w:t>Quantitative and Qualitative Disclosures About Market Risk</w:t>
              </w:r>
            </w:hyperlink>
          </w:p>
        </w:tc>
        <w:tc>
          <w:tcPr>
            <w:tcW w:w="3760" w:type="dxa"/>
            <w:vAlign w:val="bottom"/>
            <w:gridSpan w:val="3"/>
          </w:tcPr>
          <w:p>
            <w:pPr>
              <w:jc w:val="right"/>
              <w:spacing w:after="0"/>
              <w:rPr>
                <w:rFonts w:ascii="Arial" w:cs="Arial" w:eastAsia="Arial" w:hAnsi="Arial"/>
                <w:sz w:val="13"/>
                <w:szCs w:val="13"/>
                <w:color w:val="0000EE"/>
              </w:rPr>
            </w:pPr>
            <w:hyperlink w:anchor="page35">
              <w:r>
                <w:rPr>
                  <w:rFonts w:ascii="Arial" w:cs="Arial" w:eastAsia="Arial" w:hAnsi="Arial"/>
                  <w:sz w:val="13"/>
                  <w:szCs w:val="13"/>
                  <w:color w:val="0000EE"/>
                </w:rPr>
                <w:t>35</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Item 8.</w:t>
              </w:r>
            </w:hyperlink>
          </w:p>
        </w:tc>
        <w:tc>
          <w:tcPr>
            <w:tcW w:w="560" w:type="dxa"/>
            <w:vAlign w:val="bottom"/>
            <w:gridSpan w:val="2"/>
          </w:tcPr>
          <w:p>
            <w:pPr>
              <w:spacing w:after="0"/>
              <w:rPr>
                <w:sz w:val="15"/>
                <w:szCs w:val="15"/>
                <w:color w:val="auto"/>
              </w:rPr>
            </w:pPr>
          </w:p>
        </w:tc>
        <w:tc>
          <w:tcPr>
            <w:tcW w:w="3380" w:type="dxa"/>
            <w:vAlign w:val="bottom"/>
            <w:gridSpan w:val="16"/>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Financial Statements and Supplementary Data</w:t>
              </w:r>
            </w:hyperlink>
          </w:p>
        </w:tc>
        <w:tc>
          <w:tcPr>
            <w:tcW w:w="3240" w:type="dxa"/>
            <w:vAlign w:val="bottom"/>
            <w:gridSpan w:val="5"/>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37">
              <w:r>
                <w:rPr>
                  <w:rFonts w:ascii="Arial" w:cs="Arial" w:eastAsia="Arial" w:hAnsi="Arial"/>
                  <w:sz w:val="13"/>
                  <w:szCs w:val="13"/>
                  <w:color w:val="0000EE"/>
                </w:rPr>
                <w:t>37</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gridSpan w:val="5"/>
          </w:tcPr>
          <w:p>
            <w:pPr>
              <w:spacing w:after="0"/>
              <w:rPr>
                <w:rFonts w:ascii="Arial" w:cs="Arial" w:eastAsia="Arial" w:hAnsi="Arial"/>
                <w:sz w:val="13"/>
                <w:szCs w:val="13"/>
                <w:color w:val="0000EE"/>
              </w:rPr>
            </w:pPr>
            <w:hyperlink w:anchor="page66">
              <w:r>
                <w:rPr>
                  <w:rFonts w:ascii="Arial" w:cs="Arial" w:eastAsia="Arial" w:hAnsi="Arial"/>
                  <w:sz w:val="13"/>
                  <w:szCs w:val="13"/>
                  <w:color w:val="0000EE"/>
                </w:rPr>
                <w:t>Item 9.</w:t>
              </w:r>
            </w:hyperlink>
          </w:p>
        </w:tc>
        <w:tc>
          <w:tcPr>
            <w:tcW w:w="6620" w:type="dxa"/>
            <w:vAlign w:val="bottom"/>
            <w:gridSpan w:val="21"/>
          </w:tcPr>
          <w:p>
            <w:pPr>
              <w:spacing w:after="0"/>
              <w:rPr>
                <w:rFonts w:ascii="Arial" w:cs="Arial" w:eastAsia="Arial" w:hAnsi="Arial"/>
                <w:sz w:val="13"/>
                <w:szCs w:val="13"/>
                <w:color w:val="0000EE"/>
              </w:rPr>
            </w:pPr>
            <w:hyperlink w:anchor="page66">
              <w:r>
                <w:rPr>
                  <w:rFonts w:ascii="Arial" w:cs="Arial" w:eastAsia="Arial" w:hAnsi="Arial"/>
                  <w:sz w:val="13"/>
                  <w:szCs w:val="13"/>
                  <w:color w:val="0000EE"/>
                </w:rPr>
                <w:t>Changes in and Disagreements with Accountants on Accounting and Financial Disclosure</w:t>
              </w:r>
            </w:hyperlink>
          </w:p>
        </w:tc>
        <w:tc>
          <w:tcPr>
            <w:tcW w:w="3760" w:type="dxa"/>
            <w:vAlign w:val="bottom"/>
            <w:gridSpan w:val="3"/>
          </w:tcPr>
          <w:p>
            <w:pPr>
              <w:jc w:val="right"/>
              <w:spacing w:after="0"/>
              <w:rPr>
                <w:rFonts w:ascii="Arial" w:cs="Arial" w:eastAsia="Arial" w:hAnsi="Arial"/>
                <w:sz w:val="13"/>
                <w:szCs w:val="13"/>
                <w:color w:val="0000EE"/>
              </w:rPr>
            </w:pPr>
            <w:hyperlink w:anchor="page66">
              <w:r>
                <w:rPr>
                  <w:rFonts w:ascii="Arial" w:cs="Arial" w:eastAsia="Arial" w:hAnsi="Arial"/>
                  <w:sz w:val="13"/>
                  <w:szCs w:val="13"/>
                  <w:color w:val="0000EE"/>
                </w:rPr>
                <w:t>66</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0"/>
              </w:rPr>
            </w:pPr>
            <w:hyperlink w:anchor="page66">
              <w:r>
                <w:rPr>
                  <w:rFonts w:ascii="Arial" w:cs="Arial" w:eastAsia="Arial" w:hAnsi="Arial"/>
                  <w:sz w:val="13"/>
                  <w:szCs w:val="13"/>
                  <w:color w:val="0000EE"/>
                  <w:w w:val="90"/>
                </w:rPr>
                <w:t>Item 9A.</w:t>
              </w:r>
            </w:hyperlink>
          </w:p>
        </w:tc>
        <w:tc>
          <w:tcPr>
            <w:tcW w:w="560" w:type="dxa"/>
            <w:vAlign w:val="bottom"/>
            <w:gridSpan w:val="2"/>
          </w:tcPr>
          <w:p>
            <w:pPr>
              <w:spacing w:after="0"/>
              <w:rPr>
                <w:sz w:val="15"/>
                <w:szCs w:val="15"/>
                <w:color w:val="auto"/>
              </w:rPr>
            </w:pPr>
          </w:p>
        </w:tc>
        <w:tc>
          <w:tcPr>
            <w:tcW w:w="1440" w:type="dxa"/>
            <w:vAlign w:val="bottom"/>
            <w:gridSpan w:val="9"/>
          </w:tcPr>
          <w:p>
            <w:pPr>
              <w:spacing w:after="0"/>
              <w:rPr>
                <w:rFonts w:ascii="Arial" w:cs="Arial" w:eastAsia="Arial" w:hAnsi="Arial"/>
                <w:sz w:val="13"/>
                <w:szCs w:val="13"/>
                <w:color w:val="0000EE"/>
                <w:w w:val="98"/>
              </w:rPr>
            </w:pPr>
            <w:hyperlink w:anchor="page66">
              <w:r>
                <w:rPr>
                  <w:rFonts w:ascii="Arial" w:cs="Arial" w:eastAsia="Arial" w:hAnsi="Arial"/>
                  <w:sz w:val="13"/>
                  <w:szCs w:val="13"/>
                  <w:color w:val="0000EE"/>
                  <w:w w:val="98"/>
                </w:rPr>
                <w:t>Controls and Procedures</w:t>
              </w:r>
            </w:hyperlink>
          </w:p>
        </w:tc>
        <w:tc>
          <w:tcPr>
            <w:tcW w:w="5180" w:type="dxa"/>
            <w:vAlign w:val="bottom"/>
            <w:gridSpan w:val="12"/>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6">
              <w:r>
                <w:rPr>
                  <w:rFonts w:ascii="Arial" w:cs="Arial" w:eastAsia="Arial" w:hAnsi="Arial"/>
                  <w:sz w:val="13"/>
                  <w:szCs w:val="13"/>
                  <w:color w:val="0000EE"/>
                </w:rPr>
                <w:t>66</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0"/>
              </w:rPr>
            </w:pPr>
            <w:hyperlink w:anchor="page66">
              <w:r>
                <w:rPr>
                  <w:rFonts w:ascii="Arial" w:cs="Arial" w:eastAsia="Arial" w:hAnsi="Arial"/>
                  <w:sz w:val="13"/>
                  <w:szCs w:val="13"/>
                  <w:color w:val="0000EE"/>
                  <w:w w:val="90"/>
                </w:rPr>
                <w:t>Item 9B.</w:t>
              </w:r>
            </w:hyperlink>
          </w:p>
        </w:tc>
        <w:tc>
          <w:tcPr>
            <w:tcW w:w="560" w:type="dxa"/>
            <w:vAlign w:val="bottom"/>
            <w:gridSpan w:val="2"/>
          </w:tcPr>
          <w:p>
            <w:pPr>
              <w:spacing w:after="0"/>
              <w:rPr>
                <w:sz w:val="15"/>
                <w:szCs w:val="15"/>
                <w:color w:val="auto"/>
              </w:rPr>
            </w:pPr>
          </w:p>
        </w:tc>
        <w:tc>
          <w:tcPr>
            <w:tcW w:w="1440" w:type="dxa"/>
            <w:vAlign w:val="bottom"/>
            <w:gridSpan w:val="9"/>
          </w:tcPr>
          <w:p>
            <w:pPr>
              <w:spacing w:after="0"/>
              <w:rPr>
                <w:rFonts w:ascii="Arial" w:cs="Arial" w:eastAsia="Arial" w:hAnsi="Arial"/>
                <w:sz w:val="13"/>
                <w:szCs w:val="13"/>
                <w:color w:val="0000EE"/>
              </w:rPr>
            </w:pPr>
            <w:hyperlink w:anchor="page66">
              <w:r>
                <w:rPr>
                  <w:rFonts w:ascii="Arial" w:cs="Arial" w:eastAsia="Arial" w:hAnsi="Arial"/>
                  <w:sz w:val="13"/>
                  <w:szCs w:val="13"/>
                  <w:color w:val="0000EE"/>
                </w:rPr>
                <w:t>Other Information</w:t>
              </w:r>
            </w:hyperlink>
          </w:p>
        </w:tc>
        <w:tc>
          <w:tcPr>
            <w:tcW w:w="5180" w:type="dxa"/>
            <w:vAlign w:val="bottom"/>
            <w:gridSpan w:val="12"/>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6">
              <w:r>
                <w:rPr>
                  <w:rFonts w:ascii="Arial" w:cs="Arial" w:eastAsia="Arial" w:hAnsi="Arial"/>
                  <w:sz w:val="13"/>
                  <w:szCs w:val="13"/>
                  <w:color w:val="0000EE"/>
                </w:rPr>
                <w:t>66</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0" w:type="dxa"/>
            <w:vAlign w:val="bottom"/>
            <w:tcBorders>
              <w:bottom w:val="single" w:sz="8" w:color="0000EE"/>
            </w:tcBorders>
            <w:gridSpan w:val="3"/>
          </w:tcPr>
          <w:p>
            <w:pPr>
              <w:spacing w:after="0"/>
              <w:rPr>
                <w:rFonts w:ascii="Arial" w:cs="Arial" w:eastAsia="Arial" w:hAnsi="Arial"/>
                <w:sz w:val="13"/>
                <w:szCs w:val="13"/>
                <w:b w:val="1"/>
                <w:bCs w:val="1"/>
                <w:color w:val="0000EE"/>
                <w:w w:val="88"/>
              </w:rPr>
            </w:pPr>
            <w:hyperlink w:anchor="page67">
              <w:r>
                <w:rPr>
                  <w:rFonts w:ascii="Arial" w:cs="Arial" w:eastAsia="Arial" w:hAnsi="Arial"/>
                  <w:sz w:val="13"/>
                  <w:szCs w:val="13"/>
                  <w:b w:val="1"/>
                  <w:bCs w:val="1"/>
                  <w:color w:val="0000EE"/>
                  <w:w w:val="88"/>
                </w:rPr>
                <w:t>PART III</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7">
              <w:r>
                <w:rPr>
                  <w:rFonts w:ascii="Arial" w:cs="Arial" w:eastAsia="Arial" w:hAnsi="Arial"/>
                  <w:sz w:val="13"/>
                  <w:szCs w:val="13"/>
                  <w:color w:val="0000EE"/>
                </w:rPr>
                <w:t>67</w:t>
              </w:r>
            </w:hyperlink>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 w:type="dxa"/>
            <w:vAlign w:val="bottom"/>
            <w:gridSpan w:val="3"/>
          </w:tcPr>
          <w:p>
            <w:pPr>
              <w:spacing w:after="0"/>
              <w:rPr>
                <w:rFonts w:ascii="Arial" w:cs="Arial" w:eastAsia="Arial" w:hAnsi="Arial"/>
                <w:sz w:val="13"/>
                <w:szCs w:val="13"/>
                <w:color w:val="0000EE"/>
                <w:w w:val="93"/>
              </w:rPr>
            </w:pPr>
            <w:hyperlink w:anchor="page67">
              <w:r>
                <w:rPr>
                  <w:rFonts w:ascii="Arial" w:cs="Arial" w:eastAsia="Arial" w:hAnsi="Arial"/>
                  <w:sz w:val="13"/>
                  <w:szCs w:val="13"/>
                  <w:color w:val="0000EE"/>
                  <w:w w:val="93"/>
                </w:rPr>
                <w:t>Item 10.</w:t>
              </w:r>
            </w:hyperlink>
          </w:p>
        </w:tc>
        <w:tc>
          <w:tcPr>
            <w:tcW w:w="560" w:type="dxa"/>
            <w:vAlign w:val="bottom"/>
            <w:gridSpan w:val="2"/>
          </w:tcPr>
          <w:p>
            <w:pPr>
              <w:spacing w:after="0"/>
              <w:rPr>
                <w:sz w:val="13"/>
                <w:szCs w:val="13"/>
                <w:color w:val="auto"/>
              </w:rPr>
            </w:pPr>
          </w:p>
        </w:tc>
        <w:tc>
          <w:tcPr>
            <w:tcW w:w="3280" w:type="dxa"/>
            <w:vAlign w:val="bottom"/>
            <w:gridSpan w:val="15"/>
          </w:tcPr>
          <w:p>
            <w:pPr>
              <w:spacing w:after="0"/>
              <w:rPr>
                <w:rFonts w:ascii="Arial" w:cs="Arial" w:eastAsia="Arial" w:hAnsi="Arial"/>
                <w:sz w:val="13"/>
                <w:szCs w:val="13"/>
                <w:color w:val="0000EE"/>
                <w:w w:val="99"/>
              </w:rPr>
            </w:pPr>
            <w:hyperlink w:anchor="page67">
              <w:r>
                <w:rPr>
                  <w:rFonts w:ascii="Arial" w:cs="Arial" w:eastAsia="Arial" w:hAnsi="Arial"/>
                  <w:sz w:val="13"/>
                  <w:szCs w:val="13"/>
                  <w:color w:val="0000EE"/>
                  <w:w w:val="99"/>
                </w:rPr>
                <w:t>Directors, Executive Officers, and Corporate Governance</w:t>
              </w:r>
            </w:hyperlink>
          </w:p>
        </w:tc>
        <w:tc>
          <w:tcPr>
            <w:tcW w:w="3340" w:type="dxa"/>
            <w:vAlign w:val="bottom"/>
            <w:gridSpan w:val="6"/>
          </w:tcPr>
          <w:p>
            <w:pPr>
              <w:spacing w:after="0"/>
              <w:rPr>
                <w:sz w:val="13"/>
                <w:szCs w:val="13"/>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7">
              <w:r>
                <w:rPr>
                  <w:rFonts w:ascii="Arial" w:cs="Arial" w:eastAsia="Arial" w:hAnsi="Arial"/>
                  <w:sz w:val="13"/>
                  <w:szCs w:val="13"/>
                  <w:color w:val="0000EE"/>
                </w:rPr>
                <w:t>67</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3"/>
              </w:rPr>
            </w:pPr>
            <w:hyperlink w:anchor="page67">
              <w:r>
                <w:rPr>
                  <w:rFonts w:ascii="Arial" w:cs="Arial" w:eastAsia="Arial" w:hAnsi="Arial"/>
                  <w:sz w:val="13"/>
                  <w:szCs w:val="13"/>
                  <w:color w:val="0000EE"/>
                  <w:w w:val="93"/>
                </w:rPr>
                <w:t>Item 11.</w:t>
              </w:r>
            </w:hyperlink>
          </w:p>
        </w:tc>
        <w:tc>
          <w:tcPr>
            <w:tcW w:w="560" w:type="dxa"/>
            <w:vAlign w:val="bottom"/>
            <w:gridSpan w:val="2"/>
          </w:tcPr>
          <w:p>
            <w:pPr>
              <w:spacing w:after="0"/>
              <w:rPr>
                <w:sz w:val="15"/>
                <w:szCs w:val="15"/>
                <w:color w:val="auto"/>
              </w:rPr>
            </w:pPr>
          </w:p>
        </w:tc>
        <w:tc>
          <w:tcPr>
            <w:tcW w:w="1440" w:type="dxa"/>
            <w:vAlign w:val="bottom"/>
            <w:gridSpan w:val="9"/>
          </w:tcPr>
          <w:p>
            <w:pPr>
              <w:spacing w:after="0"/>
              <w:rPr>
                <w:rFonts w:ascii="Arial" w:cs="Arial" w:eastAsia="Arial" w:hAnsi="Arial"/>
                <w:sz w:val="13"/>
                <w:szCs w:val="13"/>
                <w:color w:val="0000EE"/>
                <w:w w:val="98"/>
              </w:rPr>
            </w:pPr>
            <w:hyperlink w:anchor="page67">
              <w:r>
                <w:rPr>
                  <w:rFonts w:ascii="Arial" w:cs="Arial" w:eastAsia="Arial" w:hAnsi="Arial"/>
                  <w:sz w:val="13"/>
                  <w:szCs w:val="13"/>
                  <w:color w:val="0000EE"/>
                  <w:w w:val="98"/>
                </w:rPr>
                <w:t>Executive Compensation</w:t>
              </w:r>
            </w:hyperlink>
          </w:p>
        </w:tc>
        <w:tc>
          <w:tcPr>
            <w:tcW w:w="1840" w:type="dxa"/>
            <w:vAlign w:val="bottom"/>
            <w:gridSpan w:val="6"/>
          </w:tcPr>
          <w:p>
            <w:pPr>
              <w:spacing w:after="0"/>
              <w:rPr>
                <w:sz w:val="15"/>
                <w:szCs w:val="15"/>
                <w:color w:val="auto"/>
              </w:rPr>
            </w:pPr>
          </w:p>
        </w:tc>
        <w:tc>
          <w:tcPr>
            <w:tcW w:w="3340" w:type="dxa"/>
            <w:vAlign w:val="bottom"/>
            <w:gridSpan w:val="6"/>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7">
              <w:r>
                <w:rPr>
                  <w:rFonts w:ascii="Arial" w:cs="Arial" w:eastAsia="Arial" w:hAnsi="Arial"/>
                  <w:sz w:val="13"/>
                  <w:szCs w:val="13"/>
                  <w:color w:val="0000EE"/>
                </w:rPr>
                <w:t>67</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3"/>
              </w:rPr>
            </w:pPr>
            <w:hyperlink w:anchor="page67">
              <w:r>
                <w:rPr>
                  <w:rFonts w:ascii="Arial" w:cs="Arial" w:eastAsia="Arial" w:hAnsi="Arial"/>
                  <w:sz w:val="13"/>
                  <w:szCs w:val="13"/>
                  <w:color w:val="0000EE"/>
                  <w:w w:val="93"/>
                </w:rPr>
                <w:t>Item 12.</w:t>
              </w:r>
            </w:hyperlink>
          </w:p>
        </w:tc>
        <w:tc>
          <w:tcPr>
            <w:tcW w:w="560" w:type="dxa"/>
            <w:vAlign w:val="bottom"/>
            <w:gridSpan w:val="2"/>
          </w:tcPr>
          <w:p>
            <w:pPr>
              <w:spacing w:after="0"/>
              <w:rPr>
                <w:sz w:val="15"/>
                <w:szCs w:val="15"/>
                <w:color w:val="auto"/>
              </w:rPr>
            </w:pPr>
          </w:p>
        </w:tc>
        <w:tc>
          <w:tcPr>
            <w:tcW w:w="5760" w:type="dxa"/>
            <w:vAlign w:val="bottom"/>
            <w:gridSpan w:val="20"/>
          </w:tcPr>
          <w:p>
            <w:pPr>
              <w:spacing w:after="0"/>
              <w:rPr>
                <w:rFonts w:ascii="Arial" w:cs="Arial" w:eastAsia="Arial" w:hAnsi="Arial"/>
                <w:sz w:val="13"/>
                <w:szCs w:val="13"/>
                <w:color w:val="0000EE"/>
                <w:w w:val="99"/>
              </w:rPr>
            </w:pPr>
            <w:hyperlink w:anchor="page67">
              <w:r>
                <w:rPr>
                  <w:rFonts w:ascii="Arial" w:cs="Arial" w:eastAsia="Arial" w:hAnsi="Arial"/>
                  <w:sz w:val="13"/>
                  <w:szCs w:val="13"/>
                  <w:color w:val="0000EE"/>
                  <w:w w:val="99"/>
                </w:rPr>
                <w:t>Security Ownership of Certain Beneficial Owners and Management and Related Stockholder Matters</w:t>
              </w:r>
            </w:hyperlink>
          </w:p>
        </w:tc>
        <w:tc>
          <w:tcPr>
            <w:tcW w:w="860" w:type="dxa"/>
            <w:vAlign w:val="bottom"/>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7">
              <w:r>
                <w:rPr>
                  <w:rFonts w:ascii="Arial" w:cs="Arial" w:eastAsia="Arial" w:hAnsi="Arial"/>
                  <w:sz w:val="13"/>
                  <w:szCs w:val="13"/>
                  <w:color w:val="0000EE"/>
                </w:rPr>
                <w:t>67</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3"/>
              </w:rPr>
            </w:pPr>
            <w:hyperlink w:anchor="page67">
              <w:r>
                <w:rPr>
                  <w:rFonts w:ascii="Arial" w:cs="Arial" w:eastAsia="Arial" w:hAnsi="Arial"/>
                  <w:sz w:val="13"/>
                  <w:szCs w:val="13"/>
                  <w:color w:val="0000EE"/>
                  <w:w w:val="93"/>
                </w:rPr>
                <w:t>Item 13.</w:t>
              </w:r>
            </w:hyperlink>
          </w:p>
        </w:tc>
        <w:tc>
          <w:tcPr>
            <w:tcW w:w="560" w:type="dxa"/>
            <w:vAlign w:val="bottom"/>
            <w:gridSpan w:val="2"/>
          </w:tcPr>
          <w:p>
            <w:pPr>
              <w:spacing w:after="0"/>
              <w:rPr>
                <w:sz w:val="15"/>
                <w:szCs w:val="15"/>
                <w:color w:val="auto"/>
              </w:rPr>
            </w:pPr>
          </w:p>
        </w:tc>
        <w:tc>
          <w:tcPr>
            <w:tcW w:w="4340" w:type="dxa"/>
            <w:vAlign w:val="bottom"/>
            <w:gridSpan w:val="17"/>
          </w:tcPr>
          <w:p>
            <w:pPr>
              <w:spacing w:after="0"/>
              <w:rPr>
                <w:rFonts w:ascii="Arial" w:cs="Arial" w:eastAsia="Arial" w:hAnsi="Arial"/>
                <w:sz w:val="13"/>
                <w:szCs w:val="13"/>
                <w:color w:val="0000EE"/>
                <w:w w:val="99"/>
              </w:rPr>
            </w:pPr>
            <w:hyperlink w:anchor="page67">
              <w:r>
                <w:rPr>
                  <w:rFonts w:ascii="Arial" w:cs="Arial" w:eastAsia="Arial" w:hAnsi="Arial"/>
                  <w:sz w:val="13"/>
                  <w:szCs w:val="13"/>
                  <w:color w:val="0000EE"/>
                  <w:w w:val="99"/>
                </w:rPr>
                <w:t>Certain Relationships and Related Transactions and Director Independence</w:t>
              </w:r>
            </w:hyperlink>
          </w:p>
        </w:tc>
        <w:tc>
          <w:tcPr>
            <w:tcW w:w="142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7">
              <w:r>
                <w:rPr>
                  <w:rFonts w:ascii="Arial" w:cs="Arial" w:eastAsia="Arial" w:hAnsi="Arial"/>
                  <w:sz w:val="13"/>
                  <w:szCs w:val="13"/>
                  <w:color w:val="0000EE"/>
                </w:rPr>
                <w:t>67</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3"/>
              </w:rPr>
            </w:pPr>
            <w:hyperlink w:anchor="page67">
              <w:r>
                <w:rPr>
                  <w:rFonts w:ascii="Arial" w:cs="Arial" w:eastAsia="Arial" w:hAnsi="Arial"/>
                  <w:sz w:val="13"/>
                  <w:szCs w:val="13"/>
                  <w:color w:val="0000EE"/>
                  <w:w w:val="93"/>
                </w:rPr>
                <w:t>Item 14.</w:t>
              </w:r>
            </w:hyperlink>
          </w:p>
        </w:tc>
        <w:tc>
          <w:tcPr>
            <w:tcW w:w="560" w:type="dxa"/>
            <w:vAlign w:val="bottom"/>
            <w:gridSpan w:val="2"/>
          </w:tcPr>
          <w:p>
            <w:pPr>
              <w:spacing w:after="0"/>
              <w:rPr>
                <w:sz w:val="15"/>
                <w:szCs w:val="15"/>
                <w:color w:val="auto"/>
              </w:rPr>
            </w:pPr>
          </w:p>
        </w:tc>
        <w:tc>
          <w:tcPr>
            <w:tcW w:w="4340" w:type="dxa"/>
            <w:vAlign w:val="bottom"/>
            <w:gridSpan w:val="17"/>
          </w:tcPr>
          <w:p>
            <w:pPr>
              <w:spacing w:after="0"/>
              <w:rPr>
                <w:rFonts w:ascii="Arial" w:cs="Arial" w:eastAsia="Arial" w:hAnsi="Arial"/>
                <w:sz w:val="13"/>
                <w:szCs w:val="13"/>
                <w:color w:val="0000EE"/>
              </w:rPr>
            </w:pPr>
            <w:hyperlink w:anchor="page67">
              <w:r>
                <w:rPr>
                  <w:rFonts w:ascii="Arial" w:cs="Arial" w:eastAsia="Arial" w:hAnsi="Arial"/>
                  <w:sz w:val="13"/>
                  <w:szCs w:val="13"/>
                  <w:color w:val="0000EE"/>
                </w:rPr>
                <w:t>Principal Accounting Fees and Services</w:t>
              </w:r>
            </w:hyperlink>
          </w:p>
        </w:tc>
        <w:tc>
          <w:tcPr>
            <w:tcW w:w="2280" w:type="dxa"/>
            <w:vAlign w:val="bottom"/>
            <w:gridSpan w:val="4"/>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7">
              <w:r>
                <w:rPr>
                  <w:rFonts w:ascii="Arial" w:cs="Arial" w:eastAsia="Arial" w:hAnsi="Arial"/>
                  <w:sz w:val="13"/>
                  <w:szCs w:val="13"/>
                  <w:color w:val="0000EE"/>
                </w:rPr>
                <w:t>67</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Borders>
              <w:bottom w:val="single" w:sz="8" w:color="0000EE"/>
            </w:tcBorders>
            <w:gridSpan w:val="4"/>
          </w:tcPr>
          <w:p>
            <w:pPr>
              <w:spacing w:after="0"/>
              <w:rPr>
                <w:rFonts w:ascii="Arial" w:cs="Arial" w:eastAsia="Arial" w:hAnsi="Arial"/>
                <w:sz w:val="13"/>
                <w:szCs w:val="13"/>
                <w:b w:val="1"/>
                <w:bCs w:val="1"/>
                <w:color w:val="0000EE"/>
                <w:w w:val="97"/>
              </w:rPr>
            </w:pPr>
            <w:hyperlink w:anchor="page68">
              <w:r>
                <w:rPr>
                  <w:rFonts w:ascii="Arial" w:cs="Arial" w:eastAsia="Arial" w:hAnsi="Arial"/>
                  <w:sz w:val="13"/>
                  <w:szCs w:val="13"/>
                  <w:b w:val="1"/>
                  <w:bCs w:val="1"/>
                  <w:color w:val="0000EE"/>
                  <w:w w:val="97"/>
                </w:rPr>
                <w:t>PART IV</w:t>
              </w:r>
            </w:hyperlink>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8">
              <w:r>
                <w:rPr>
                  <w:rFonts w:ascii="Arial" w:cs="Arial" w:eastAsia="Arial" w:hAnsi="Arial"/>
                  <w:sz w:val="13"/>
                  <w:szCs w:val="13"/>
                  <w:color w:val="0000EE"/>
                </w:rPr>
                <w:t>68</w:t>
              </w:r>
            </w:hyperlink>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 w:type="dxa"/>
            <w:vAlign w:val="bottom"/>
            <w:gridSpan w:val="3"/>
          </w:tcPr>
          <w:p>
            <w:pPr>
              <w:spacing w:after="0"/>
              <w:rPr>
                <w:rFonts w:ascii="Arial" w:cs="Arial" w:eastAsia="Arial" w:hAnsi="Arial"/>
                <w:sz w:val="13"/>
                <w:szCs w:val="13"/>
                <w:color w:val="0000EE"/>
                <w:w w:val="93"/>
              </w:rPr>
            </w:pPr>
            <w:hyperlink w:anchor="page68">
              <w:r>
                <w:rPr>
                  <w:rFonts w:ascii="Arial" w:cs="Arial" w:eastAsia="Arial" w:hAnsi="Arial"/>
                  <w:sz w:val="13"/>
                  <w:szCs w:val="13"/>
                  <w:color w:val="0000EE"/>
                  <w:w w:val="93"/>
                </w:rPr>
                <w:t>Item 15.</w:t>
              </w:r>
            </w:hyperlink>
          </w:p>
        </w:tc>
        <w:tc>
          <w:tcPr>
            <w:tcW w:w="560" w:type="dxa"/>
            <w:vAlign w:val="bottom"/>
            <w:gridSpan w:val="2"/>
          </w:tcPr>
          <w:p>
            <w:pPr>
              <w:spacing w:after="0"/>
              <w:rPr>
                <w:sz w:val="13"/>
                <w:szCs w:val="13"/>
                <w:color w:val="auto"/>
              </w:rPr>
            </w:pPr>
          </w:p>
        </w:tc>
        <w:tc>
          <w:tcPr>
            <w:tcW w:w="2320" w:type="dxa"/>
            <w:vAlign w:val="bottom"/>
            <w:gridSpan w:val="13"/>
          </w:tcPr>
          <w:p>
            <w:pPr>
              <w:spacing w:after="0"/>
              <w:rPr>
                <w:rFonts w:ascii="Arial" w:cs="Arial" w:eastAsia="Arial" w:hAnsi="Arial"/>
                <w:sz w:val="13"/>
                <w:szCs w:val="13"/>
                <w:color w:val="0000EE"/>
                <w:w w:val="99"/>
              </w:rPr>
            </w:pPr>
            <w:hyperlink w:anchor="page68">
              <w:r>
                <w:rPr>
                  <w:rFonts w:ascii="Arial" w:cs="Arial" w:eastAsia="Arial" w:hAnsi="Arial"/>
                  <w:sz w:val="13"/>
                  <w:szCs w:val="13"/>
                  <w:color w:val="0000EE"/>
                  <w:w w:val="99"/>
                </w:rPr>
                <w:t>Exhibits, Financial Statement Schedules</w:t>
              </w:r>
            </w:hyperlink>
          </w:p>
        </w:tc>
        <w:tc>
          <w:tcPr>
            <w:tcW w:w="4300" w:type="dxa"/>
            <w:vAlign w:val="bottom"/>
            <w:gridSpan w:val="8"/>
          </w:tcPr>
          <w:p>
            <w:pPr>
              <w:spacing w:after="0"/>
              <w:rPr>
                <w:sz w:val="13"/>
                <w:szCs w:val="13"/>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68">
              <w:r>
                <w:rPr>
                  <w:rFonts w:ascii="Arial" w:cs="Arial" w:eastAsia="Arial" w:hAnsi="Arial"/>
                  <w:sz w:val="13"/>
                  <w:szCs w:val="13"/>
                  <w:color w:val="0000EE"/>
                </w:rPr>
                <w:t>68</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0" w:type="dxa"/>
            <w:vAlign w:val="bottom"/>
            <w:gridSpan w:val="3"/>
          </w:tcPr>
          <w:p>
            <w:pPr>
              <w:spacing w:after="0"/>
              <w:rPr>
                <w:rFonts w:ascii="Arial" w:cs="Arial" w:eastAsia="Arial" w:hAnsi="Arial"/>
                <w:sz w:val="13"/>
                <w:szCs w:val="13"/>
                <w:color w:val="0000EE"/>
                <w:w w:val="93"/>
              </w:rPr>
            </w:pPr>
            <w:hyperlink w:anchor="page71">
              <w:r>
                <w:rPr>
                  <w:rFonts w:ascii="Arial" w:cs="Arial" w:eastAsia="Arial" w:hAnsi="Arial"/>
                  <w:sz w:val="13"/>
                  <w:szCs w:val="13"/>
                  <w:color w:val="0000EE"/>
                  <w:w w:val="93"/>
                </w:rPr>
                <w:t>Item 16.</w:t>
              </w:r>
            </w:hyperlink>
          </w:p>
        </w:tc>
        <w:tc>
          <w:tcPr>
            <w:tcW w:w="560" w:type="dxa"/>
            <w:vAlign w:val="bottom"/>
            <w:gridSpan w:val="2"/>
          </w:tcPr>
          <w:p>
            <w:pPr>
              <w:spacing w:after="0"/>
              <w:rPr>
                <w:sz w:val="15"/>
                <w:szCs w:val="15"/>
                <w:color w:val="auto"/>
              </w:rPr>
            </w:pPr>
          </w:p>
        </w:tc>
        <w:tc>
          <w:tcPr>
            <w:tcW w:w="2320" w:type="dxa"/>
            <w:vAlign w:val="bottom"/>
            <w:gridSpan w:val="13"/>
          </w:tcPr>
          <w:p>
            <w:pPr>
              <w:spacing w:after="0"/>
              <w:rPr>
                <w:rFonts w:ascii="Arial" w:cs="Arial" w:eastAsia="Arial" w:hAnsi="Arial"/>
                <w:sz w:val="13"/>
                <w:szCs w:val="13"/>
                <w:color w:val="0000EE"/>
              </w:rPr>
            </w:pPr>
            <w:hyperlink w:anchor="page71">
              <w:r>
                <w:rPr>
                  <w:rFonts w:ascii="Arial" w:cs="Arial" w:eastAsia="Arial" w:hAnsi="Arial"/>
                  <w:sz w:val="13"/>
                  <w:szCs w:val="13"/>
                  <w:color w:val="0000EE"/>
                </w:rPr>
                <w:t>Form 10-K Summary</w:t>
              </w:r>
            </w:hyperlink>
          </w:p>
        </w:tc>
        <w:tc>
          <w:tcPr>
            <w:tcW w:w="4300" w:type="dxa"/>
            <w:vAlign w:val="bottom"/>
            <w:gridSpan w:val="8"/>
          </w:tcPr>
          <w:p>
            <w:pPr>
              <w:spacing w:after="0"/>
              <w:rPr>
                <w:sz w:val="15"/>
                <w:szCs w:val="15"/>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71">
              <w:r>
                <w:rPr>
                  <w:rFonts w:ascii="Arial" w:cs="Arial" w:eastAsia="Arial" w:hAnsi="Arial"/>
                  <w:sz w:val="13"/>
                  <w:szCs w:val="13"/>
                  <w:color w:val="0000EE"/>
                </w:rPr>
                <w:t>71</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3"/>
                <w:szCs w:val="13"/>
                <w:b w:val="1"/>
                <w:bCs w:val="1"/>
                <w:color w:val="0000EE"/>
                <w:w w:val="96"/>
              </w:rPr>
            </w:pPr>
            <w:hyperlink w:anchor="page72">
              <w:r>
                <w:rPr>
                  <w:rFonts w:ascii="Arial" w:cs="Arial" w:eastAsia="Arial" w:hAnsi="Arial"/>
                  <w:sz w:val="13"/>
                  <w:szCs w:val="13"/>
                  <w:b w:val="1"/>
                  <w:bCs w:val="1"/>
                  <w:color w:val="0000EE"/>
                  <w:w w:val="96"/>
                </w:rPr>
                <w:t>SIGNATURES</w:t>
              </w:r>
            </w:hyperlink>
          </w:p>
        </w:tc>
        <w:tc>
          <w:tcPr>
            <w:tcW w:w="360" w:type="dxa"/>
            <w:vAlign w:val="bottom"/>
            <w:gridSpan w:val="3"/>
          </w:tcPr>
          <w:p>
            <w:pPr>
              <w:spacing w:after="0"/>
              <w:rPr>
                <w:sz w:val="24"/>
                <w:szCs w:val="24"/>
                <w:color w:val="auto"/>
              </w:rPr>
            </w:pPr>
          </w:p>
        </w:tc>
        <w:tc>
          <w:tcPr>
            <w:tcW w:w="5420" w:type="dxa"/>
            <w:vAlign w:val="bottom"/>
            <w:gridSpan w:val="14"/>
          </w:tcPr>
          <w:p>
            <w:pPr>
              <w:spacing w:after="0"/>
              <w:rPr>
                <w:sz w:val="24"/>
                <w:szCs w:val="24"/>
                <w:color w:val="auto"/>
              </w:rPr>
            </w:pPr>
          </w:p>
        </w:tc>
        <w:tc>
          <w:tcPr>
            <w:tcW w:w="3760" w:type="dxa"/>
            <w:vAlign w:val="bottom"/>
            <w:gridSpan w:val="3"/>
          </w:tcPr>
          <w:p>
            <w:pPr>
              <w:jc w:val="right"/>
              <w:spacing w:after="0"/>
              <w:rPr>
                <w:rFonts w:ascii="Arial" w:cs="Arial" w:eastAsia="Arial" w:hAnsi="Arial"/>
                <w:sz w:val="13"/>
                <w:szCs w:val="13"/>
                <w:color w:val="0000EE"/>
              </w:rPr>
            </w:pPr>
            <w:hyperlink w:anchor="page72">
              <w:r>
                <w:rPr>
                  <w:rFonts w:ascii="Arial" w:cs="Arial" w:eastAsia="Arial" w:hAnsi="Arial"/>
                  <w:sz w:val="13"/>
                  <w:szCs w:val="13"/>
                  <w:color w:val="0000EE"/>
                </w:rPr>
                <w:t>72</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80" w:type="dxa"/>
            <w:vAlign w:val="bottom"/>
            <w:gridSpan w:val="18"/>
            <w:vMerge w:val="restart"/>
          </w:tcPr>
          <w:p>
            <w:pPr>
              <w:ind w:left="4640"/>
              <w:spacing w:after="0"/>
              <w:rPr>
                <w:sz w:val="20"/>
                <w:szCs w:val="20"/>
                <w:color w:val="auto"/>
              </w:rPr>
            </w:pPr>
            <w:r>
              <w:rPr>
                <w:rFonts w:ascii="Arial" w:cs="Arial" w:eastAsia="Arial" w:hAnsi="Arial"/>
                <w:sz w:val="13"/>
                <w:szCs w:val="13"/>
                <w:color w:val="auto"/>
              </w:rPr>
              <w:t>2</w:t>
            </w: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gridSpan w:val="18"/>
            <w:vMerge w:val="continue"/>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319"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WINNEBAGO INDUSTRIES, INC.</w:t>
      </w:r>
    </w:p>
    <w:p>
      <w:pPr>
        <w:spacing w:after="0" w:line="17" w:lineRule="exact"/>
        <w:rPr>
          <w:sz w:val="20"/>
          <w:szCs w:val="20"/>
          <w:color w:val="auto"/>
        </w:rPr>
      </w:pPr>
    </w:p>
    <w:p>
      <w:pPr>
        <w:jc w:val="center"/>
        <w:ind w:right="-39"/>
        <w:spacing w:after="0" w:line="150" w:lineRule="exact"/>
        <w:rPr>
          <w:sz w:val="20"/>
          <w:szCs w:val="20"/>
          <w:color w:val="auto"/>
        </w:rPr>
      </w:pPr>
      <w:r>
        <w:rPr>
          <w:rFonts w:ascii="Arial" w:cs="Arial" w:eastAsia="Arial" w:hAnsi="Arial"/>
          <w:sz w:val="13"/>
          <w:szCs w:val="13"/>
          <w:color w:val="auto"/>
        </w:rPr>
        <w:t>FORM 10</w:t>
      </w:r>
      <w:r>
        <w:rPr>
          <w:rFonts w:ascii="MS PGothic" w:cs="MS PGothic" w:eastAsia="MS PGothic" w:hAnsi="MS PGothic"/>
          <w:sz w:val="13"/>
          <w:szCs w:val="13"/>
          <w:color w:val="auto"/>
        </w:rPr>
        <w:t>‑</w:t>
      </w:r>
      <w:r>
        <w:rPr>
          <w:rFonts w:ascii="Arial" w:cs="Arial" w:eastAsia="Arial" w:hAnsi="Arial"/>
          <w:sz w:val="13"/>
          <w:szCs w:val="13"/>
          <w:color w:val="auto"/>
        </w:rPr>
        <w:t>K</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Report for the Fiscal Year Ended August 31, 2019</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Information</w:t>
      </w:r>
    </w:p>
    <w:p>
      <w:pPr>
        <w:spacing w:after="0" w:line="168"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competition and new product introductions by competitors, our ability to attract and retain qualified personnel, increases in market compensation rates, business or production disruptions, sales order cancellations, risk related to the terms of our credit agreement and compliance with debt covenants and leverage ratios,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 will, risk related to cyclicality and seasonality of our business, slower than anticipated sales of new or existing products, integration of operations relating to merger and acquisition activities generally, our plans to acquire Newmar Corporation (“Newmar”), risk that our acquisition of Newmar (the “Newmar Acquisition”) will not be completed, the possibility that the Newmar acquisition may not perform as expected or may not result in earnings growth, difficulties and expenses related to integrating Newmar into our business, possible unknown liabilities of Newmar, significant costs related to the Newmar acquisition, increased focus of management attention and resources on the Newmar Acquisition,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the implementation of our Enterprise Resource Planning system, risk related to data security, governmental regulation, including for climate change, risk related to anti-takeover provisions applicable to us,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however, to consult any further disclosures made on related subjects in future quarterly reports on Form 10-Q and current reports on Form 8-K that are filed or furnished with the U.S. Securities and Exchange Commission ("SEC").</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20" w:top="141" w:right="25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Business.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"Company," "Winnebago Industries," "we," "our," and "us" are used interchangeably to refer to Winnebago Industries, Inc. and its wholly-owned subsidiaries, as appropriate in the context.</w:t>
      </w:r>
    </w:p>
    <w:p>
      <w:pPr>
        <w:spacing w:after="0" w:line="152"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Winnebago Industries, Inc. is a leading U.S. manufacturer with a diversified portfolio of recreation vehicles ("RV"s) and marine products used primarily in leisure travel and outdoor recreation activities. We produce our Towable units in IN; our Motorhome units in manufacturing facilities in IA; and our marine products in FL.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We were incorporated under the laws of the state of Iowa on February 12, 1958, and adopted our present name on February 28, 1961.</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68"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Our website, located at www.wgo.net,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Products</w:t>
      </w:r>
    </w:p>
    <w:p>
      <w:pPr>
        <w:spacing w:after="0" w:line="168" w:lineRule="exact"/>
        <w:rPr>
          <w:sz w:val="20"/>
          <w:szCs w:val="20"/>
          <w:color w:val="auto"/>
        </w:rPr>
      </w:pPr>
    </w:p>
    <w:p>
      <w:pPr>
        <w:ind w:right="160"/>
        <w:spacing w:after="0" w:line="246" w:lineRule="auto"/>
        <w:rPr>
          <w:sz w:val="20"/>
          <w:szCs w:val="20"/>
          <w:color w:val="auto"/>
        </w:rPr>
      </w:pPr>
      <w:r>
        <w:rPr>
          <w:rFonts w:ascii="Arial" w:cs="Arial" w:eastAsia="Arial" w:hAnsi="Arial"/>
          <w:sz w:val="13"/>
          <w:szCs w:val="13"/>
          <w:color w:val="auto"/>
        </w:rPr>
        <w:t xml:space="preserve">We have five operating segments: 1) Grand Design towables, 2) Winnebago towables, 3) Winnebago motorhomes, 4) Chris-Craft marine, and 5) Winnebago specialty vehicles. We evaluate performance based on each operating segment's Adjusted EBITDA, as defined within Item 7,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of this Annual Report on Form 10-K, which excludes certain corporate administration expenses and non-operating income and expense.</w:t>
      </w:r>
    </w:p>
    <w:p>
      <w:pPr>
        <w:spacing w:after="0" w:line="144" w:lineRule="exact"/>
        <w:rPr>
          <w:sz w:val="20"/>
          <w:szCs w:val="20"/>
          <w:color w:val="auto"/>
        </w:rPr>
      </w:pPr>
    </w:p>
    <w:p>
      <w:pPr>
        <w:ind w:right="140"/>
        <w:spacing w:after="0" w:line="246" w:lineRule="auto"/>
        <w:rPr>
          <w:sz w:val="20"/>
          <w:szCs w:val="20"/>
          <w:color w:val="auto"/>
        </w:rPr>
      </w:pPr>
      <w:r>
        <w:rPr>
          <w:rFonts w:ascii="Arial" w:cs="Arial" w:eastAsia="Arial" w:hAnsi="Arial"/>
          <w:sz w:val="13"/>
          <w:szCs w:val="13"/>
          <w:color w:val="auto"/>
        </w:rPr>
        <w:t>Our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 chassis as well as other related manufactured products and services).</w:t>
      </w:r>
    </w:p>
    <w:p>
      <w:pPr>
        <w:spacing w:after="0" w:line="144"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w:t>
      </w:r>
    </w:p>
    <w:p>
      <w:pPr>
        <w:spacing w:after="0" w:line="166" w:lineRule="exact"/>
        <w:rPr>
          <w:sz w:val="20"/>
          <w:szCs w:val="20"/>
          <w:color w:val="auto"/>
        </w:rPr>
      </w:pPr>
    </w:p>
    <w:p>
      <w:pPr>
        <w:jc w:val="both"/>
        <w:ind w:right="80"/>
        <w:spacing w:after="0" w:line="246" w:lineRule="auto"/>
        <w:rPr>
          <w:sz w:val="20"/>
          <w:szCs w:val="20"/>
          <w:color w:val="auto"/>
        </w:rPr>
      </w:pPr>
      <w:r>
        <w:rPr>
          <w:rFonts w:ascii="Arial" w:cs="Arial" w:eastAsia="Arial" w:hAnsi="Arial"/>
          <w:sz w:val="13"/>
          <w:szCs w:val="13"/>
          <w:color w:val="auto"/>
        </w:rPr>
        <w:t>A towable is a non-motorized vehicle that is designed to be towed by automobiles, pickup trucks, SUVs, or vans and is used as temporary living quarters for recreational travel. The Recreation Vehicle Industry Association ("RVIA") classifies towables in four types: conventional travel trailers, fifth wheels, folding camper trailers, and truck campers. We manufacture and sell conventional travel trailers and fifth wheels under the Winnebago and Grand Design brand names, which are defined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380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Description</w:t>
            </w:r>
          </w:p>
        </w:tc>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Winnebago product offerings</w:t>
            </w:r>
          </w:p>
        </w:tc>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Grand Design product offerings</w:t>
            </w:r>
          </w:p>
        </w:tc>
      </w:tr>
      <w:tr>
        <w:trPr>
          <w:trHeight w:val="173"/>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3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Towed by means of a hitch attached to the frame of the</w:t>
            </w:r>
          </w:p>
        </w:tc>
        <w:tc>
          <w:tcPr>
            <w:tcW w:w="3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Minnie Plus, Minnie, Micro Minnie, Minnie Drop, and</w:t>
            </w: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Transcend, Imagine, and Reflection</w:t>
            </w:r>
          </w:p>
        </w:tc>
      </w:tr>
      <w:tr>
        <w:trPr>
          <w:trHeight w:val="171"/>
        </w:trPr>
        <w:tc>
          <w:tcPr>
            <w:tcW w:w="1240" w:type="dxa"/>
            <w:vAlign w:val="bottom"/>
            <w:shd w:val="clear" w:color="auto" w:fill="CCEEFF"/>
          </w:tcPr>
          <w:p>
            <w:pPr>
              <w:spacing w:after="0"/>
              <w:rPr>
                <w:sz w:val="14"/>
                <w:szCs w:val="14"/>
                <w:color w:val="auto"/>
              </w:rPr>
            </w:pPr>
          </w:p>
        </w:tc>
        <w:tc>
          <w:tcPr>
            <w:tcW w:w="3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vehicle</w:t>
            </w:r>
          </w:p>
        </w:tc>
        <w:tc>
          <w:tcPr>
            <w:tcW w:w="3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Spyder</w:t>
            </w:r>
          </w:p>
        </w:tc>
        <w:tc>
          <w:tcPr>
            <w:tcW w:w="3180" w:type="dxa"/>
            <w:vAlign w:val="bottom"/>
            <w:shd w:val="clear" w:color="auto" w:fill="CCEEFF"/>
          </w:tcPr>
          <w:p>
            <w:pPr>
              <w:spacing w:after="0"/>
              <w:rPr>
                <w:sz w:val="14"/>
                <w:szCs w:val="14"/>
                <w:color w:val="auto"/>
              </w:rPr>
            </w:pPr>
          </w:p>
        </w:tc>
      </w:tr>
      <w:tr>
        <w:trPr>
          <w:trHeight w:val="174"/>
        </w:trPr>
        <w:tc>
          <w:tcPr>
            <w:tcW w:w="1240" w:type="dxa"/>
            <w:vAlign w:val="bottom"/>
          </w:tcPr>
          <w:p>
            <w:pPr>
              <w:ind w:left="20"/>
              <w:spacing w:after="0"/>
              <w:rPr>
                <w:sz w:val="20"/>
                <w:szCs w:val="20"/>
                <w:color w:val="auto"/>
              </w:rPr>
            </w:pPr>
            <w:r>
              <w:rPr>
                <w:rFonts w:ascii="Arial" w:cs="Arial" w:eastAsia="Arial" w:hAnsi="Arial"/>
                <w:sz w:val="13"/>
                <w:szCs w:val="13"/>
                <w:color w:val="auto"/>
              </w:rPr>
              <w:t>Fifth wheel</w:t>
            </w:r>
          </w:p>
        </w:tc>
        <w:tc>
          <w:tcPr>
            <w:tcW w:w="7040" w:type="dxa"/>
            <w:vAlign w:val="bottom"/>
            <w:gridSpan w:val="2"/>
          </w:tcPr>
          <w:p>
            <w:pPr>
              <w:ind w:left="520"/>
              <w:spacing w:after="0"/>
              <w:rPr>
                <w:sz w:val="20"/>
                <w:szCs w:val="20"/>
                <w:color w:val="auto"/>
              </w:rPr>
            </w:pPr>
            <w:r>
              <w:rPr>
                <w:rFonts w:ascii="Arial" w:cs="Arial" w:eastAsia="Arial" w:hAnsi="Arial"/>
                <w:sz w:val="13"/>
                <w:szCs w:val="13"/>
                <w:color w:val="auto"/>
              </w:rPr>
              <w:t>Constructed with a raised forward section that is connected Minnie Plus and Micro Minnie</w:t>
            </w:r>
          </w:p>
        </w:tc>
        <w:tc>
          <w:tcPr>
            <w:tcW w:w="3180" w:type="dxa"/>
            <w:vAlign w:val="bottom"/>
          </w:tcPr>
          <w:p>
            <w:pPr>
              <w:ind w:left="120"/>
              <w:spacing w:after="0"/>
              <w:rPr>
                <w:sz w:val="20"/>
                <w:szCs w:val="20"/>
                <w:color w:val="auto"/>
              </w:rPr>
            </w:pPr>
            <w:r>
              <w:rPr>
                <w:rFonts w:ascii="Arial" w:cs="Arial" w:eastAsia="Arial" w:hAnsi="Arial"/>
                <w:sz w:val="13"/>
                <w:szCs w:val="13"/>
                <w:color w:val="auto"/>
              </w:rPr>
              <w:t>Momentum, Reflection, and Solitude</w:t>
            </w:r>
          </w:p>
        </w:tc>
      </w:tr>
      <w:tr>
        <w:trPr>
          <w:trHeight w:val="155"/>
        </w:trPr>
        <w:tc>
          <w:tcPr>
            <w:tcW w:w="1240" w:type="dxa"/>
            <w:vAlign w:val="bottom"/>
          </w:tcPr>
          <w:p>
            <w:pPr>
              <w:spacing w:after="0"/>
              <w:rPr>
                <w:sz w:val="13"/>
                <w:szCs w:val="13"/>
                <w:color w:val="auto"/>
              </w:rPr>
            </w:pPr>
          </w:p>
        </w:tc>
        <w:tc>
          <w:tcPr>
            <w:tcW w:w="3800" w:type="dxa"/>
            <w:vAlign w:val="bottom"/>
          </w:tcPr>
          <w:p>
            <w:pPr>
              <w:ind w:left="520"/>
              <w:spacing w:after="0"/>
              <w:rPr>
                <w:sz w:val="20"/>
                <w:szCs w:val="20"/>
                <w:color w:val="auto"/>
              </w:rPr>
            </w:pPr>
            <w:r>
              <w:rPr>
                <w:rFonts w:ascii="Arial" w:cs="Arial" w:eastAsia="Arial" w:hAnsi="Arial"/>
                <w:sz w:val="13"/>
                <w:szCs w:val="13"/>
                <w:color w:val="auto"/>
              </w:rPr>
              <w:t>to the vehicle with a special fifth wheel hitch</w:t>
            </w:r>
          </w:p>
        </w:tc>
        <w:tc>
          <w:tcPr>
            <w:tcW w:w="3240" w:type="dxa"/>
            <w:vAlign w:val="bottom"/>
          </w:tcPr>
          <w:p>
            <w:pPr>
              <w:spacing w:after="0"/>
              <w:rPr>
                <w:sz w:val="13"/>
                <w:szCs w:val="13"/>
                <w:color w:val="auto"/>
              </w:rPr>
            </w:pPr>
          </w:p>
        </w:tc>
        <w:tc>
          <w:tcPr>
            <w:tcW w:w="3180" w:type="dxa"/>
            <w:vAlign w:val="bottom"/>
          </w:tcPr>
          <w:p>
            <w:pPr>
              <w:spacing w:after="0"/>
              <w:rPr>
                <w:sz w:val="13"/>
                <w:szCs w:val="13"/>
                <w:color w:val="auto"/>
              </w:rPr>
            </w:pPr>
          </w:p>
        </w:tc>
      </w:tr>
    </w:tbl>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Our travel trailer and fifth wheel towables are sold by dealers in the retail market with manufacturer's suggested retail prices ranging from approximately $20,000 to $110,000, depending on size and model, plus optional equipment and delivery charges.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14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2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503"/>
        </w:trPr>
        <w:tc>
          <w:tcPr>
            <w:tcW w:w="4340" w:type="dxa"/>
            <w:vAlign w:val="bottom"/>
            <w:gridSpan w:val="3"/>
          </w:tcPr>
          <w:p>
            <w:pPr>
              <w:spacing w:after="0"/>
              <w:rPr>
                <w:sz w:val="20"/>
                <w:szCs w:val="20"/>
                <w:color w:val="auto"/>
              </w:rPr>
            </w:pPr>
            <w:r>
              <w:rPr>
                <w:rFonts w:ascii="Arial" w:cs="Arial" w:eastAsia="Arial" w:hAnsi="Arial"/>
                <w:sz w:val="13"/>
                <w:szCs w:val="13"/>
                <w:color w:val="auto"/>
              </w:rPr>
              <w:t>Unit sales of our towables for the last three fiscal years were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10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11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11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135"/>
              <w:spacing w:after="0"/>
              <w:rPr>
                <w:sz w:val="20"/>
                <w:szCs w:val="20"/>
                <w:color w:val="auto"/>
              </w:rPr>
            </w:pPr>
            <w:r>
              <w:rPr>
                <w:rFonts w:ascii="Arial" w:cs="Arial" w:eastAsia="Arial" w:hAnsi="Arial"/>
                <w:sz w:val="13"/>
                <w:szCs w:val="13"/>
                <w:b w:val="1"/>
                <w:bCs w:val="1"/>
                <w:color w:val="auto"/>
              </w:rPr>
              <w:t>2017</w:t>
            </w:r>
          </w:p>
        </w:tc>
      </w:tr>
      <w:tr>
        <w:trPr>
          <w:trHeight w:val="214"/>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22,458</w:t>
            </w:r>
          </w:p>
        </w:tc>
        <w:tc>
          <w:tcPr>
            <w:tcW w:w="1520" w:type="dxa"/>
            <w:vAlign w:val="bottom"/>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22,360</w:t>
            </w:r>
          </w:p>
        </w:tc>
        <w:tc>
          <w:tcPr>
            <w:tcW w:w="152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13,650</w:t>
            </w:r>
          </w:p>
        </w:tc>
        <w:tc>
          <w:tcPr>
            <w:tcW w:w="152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60.7%</w:t>
            </w:r>
          </w:p>
        </w:tc>
      </w:tr>
      <w:tr>
        <w:trPr>
          <w:trHeight w:val="208"/>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Fifth wheel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14,371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39.0%</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38.9%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39.3%</w:t>
            </w:r>
          </w:p>
        </w:tc>
      </w:tr>
      <w:tr>
        <w:trPr>
          <w:trHeight w:val="190"/>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towables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36,829</w:t>
            </w:r>
          </w:p>
        </w:tc>
        <w:tc>
          <w:tcPr>
            <w:tcW w:w="1520" w:type="dxa"/>
            <w:vAlign w:val="bottom"/>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36,589</w:t>
            </w:r>
          </w:p>
        </w:tc>
        <w:tc>
          <w:tcPr>
            <w:tcW w:w="152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22,474</w:t>
            </w:r>
          </w:p>
        </w:tc>
        <w:tc>
          <w:tcPr>
            <w:tcW w:w="152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100.0%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w:t>
      </w:r>
    </w:p>
    <w:p>
      <w:pPr>
        <w:spacing w:after="0" w:line="177" w:lineRule="exact"/>
        <w:rPr>
          <w:sz w:val="20"/>
          <w:szCs w:val="20"/>
          <w:color w:val="auto"/>
        </w:rPr>
      </w:pPr>
    </w:p>
    <w:p>
      <w:pPr>
        <w:ind w:right="700"/>
        <w:spacing w:after="0" w:line="285" w:lineRule="auto"/>
        <w:rPr>
          <w:sz w:val="20"/>
          <w:szCs w:val="20"/>
          <w:color w:val="auto"/>
        </w:rPr>
      </w:pPr>
      <w:r>
        <w:rPr>
          <w:rFonts w:ascii="Arial" w:cs="Arial" w:eastAsia="Arial" w:hAnsi="Arial"/>
          <w:sz w:val="13"/>
          <w:szCs w:val="13"/>
          <w:color w:val="auto"/>
        </w:rPr>
        <w:t>A motorhome is a self-propelled mobile dwelling used primarily as temporary living quarters during vacation and camping trips, or to support active and mobile lifestyles. The RVIA classifies motorhomes into three types, all of which we manufacture and sell under the Winnebago brand name, which are defined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59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Description</w:t>
            </w: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Winnebago products offerings</w:t>
            </w:r>
          </w:p>
        </w:tc>
      </w:tr>
      <w:tr>
        <w:trPr>
          <w:trHeight w:val="177"/>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104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Built on a heavy truck chassis in both diesel and gas models with the ability to tow a small vehicle Gas: Adventurer, Intent, Vista, and Sunstar</w:t>
            </w:r>
          </w:p>
        </w:tc>
      </w:tr>
      <w:tr>
        <w:trPr>
          <w:trHeight w:val="210"/>
        </w:trPr>
        <w:tc>
          <w:tcPr>
            <w:tcW w:w="106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Diesel: Horizon and Forza</w:t>
            </w:r>
          </w:p>
        </w:tc>
      </w:tr>
      <w:tr>
        <w:trPr>
          <w:trHeight w:val="186"/>
        </w:trPr>
        <w:tc>
          <w:tcPr>
            <w:tcW w:w="1060" w:type="dxa"/>
            <w:vAlign w:val="bottom"/>
          </w:tcPr>
          <w:p>
            <w:pPr>
              <w:ind w:left="20"/>
              <w:spacing w:after="0"/>
              <w:rPr>
                <w:sz w:val="20"/>
                <w:szCs w:val="20"/>
                <w:color w:val="auto"/>
              </w:rPr>
            </w:pPr>
            <w:r>
              <w:rPr>
                <w:rFonts w:ascii="Arial" w:cs="Arial" w:eastAsia="Arial" w:hAnsi="Arial"/>
                <w:sz w:val="13"/>
                <w:szCs w:val="13"/>
                <w:color w:val="auto"/>
              </w:rPr>
              <w:t>Class B</w:t>
            </w:r>
          </w:p>
        </w:tc>
        <w:tc>
          <w:tcPr>
            <w:tcW w:w="5980" w:type="dxa"/>
            <w:vAlign w:val="bottom"/>
          </w:tcPr>
          <w:p>
            <w:pPr>
              <w:ind w:left="580"/>
              <w:spacing w:after="0"/>
              <w:rPr>
                <w:sz w:val="20"/>
                <w:szCs w:val="20"/>
                <w:color w:val="auto"/>
              </w:rPr>
            </w:pPr>
            <w:r>
              <w:rPr>
                <w:rFonts w:ascii="Arial" w:cs="Arial" w:eastAsia="Arial" w:hAnsi="Arial"/>
                <w:sz w:val="13"/>
                <w:szCs w:val="13"/>
                <w:color w:val="auto"/>
              </w:rPr>
              <w:t>Built by adding taller roof and amenities to existing van, which allows for easy maneuvering</w:t>
            </w:r>
          </w:p>
        </w:tc>
        <w:tc>
          <w:tcPr>
            <w:tcW w:w="4420" w:type="dxa"/>
            <w:vAlign w:val="bottom"/>
          </w:tcPr>
          <w:p>
            <w:pPr>
              <w:ind w:left="200"/>
              <w:spacing w:after="0"/>
              <w:rPr>
                <w:sz w:val="20"/>
                <w:szCs w:val="20"/>
                <w:color w:val="auto"/>
              </w:rPr>
            </w:pPr>
            <w:r>
              <w:rPr>
                <w:rFonts w:ascii="Arial" w:cs="Arial" w:eastAsia="Arial" w:hAnsi="Arial"/>
                <w:sz w:val="13"/>
                <w:szCs w:val="13"/>
                <w:color w:val="auto"/>
              </w:rPr>
              <w:t>Boldt, Revel, Travato, and Era</w:t>
            </w:r>
          </w:p>
        </w:tc>
      </w:tr>
      <w:tr>
        <w:trPr>
          <w:trHeight w:val="182"/>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59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Built on a medium truck chassis in both diesel and gas models with similar features and</w:t>
            </w:r>
          </w:p>
        </w:tc>
        <w:tc>
          <w:tcPr>
            <w:tcW w:w="4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View, Navion, Vita, Porto, Minnie Winnie, Spirit, Outlook, and Fuse</w:t>
            </w:r>
          </w:p>
        </w:tc>
      </w:tr>
      <w:tr>
        <w:trPr>
          <w:trHeight w:val="171"/>
        </w:trPr>
        <w:tc>
          <w:tcPr>
            <w:tcW w:w="1060" w:type="dxa"/>
            <w:vAlign w:val="bottom"/>
            <w:shd w:val="clear" w:color="auto" w:fill="CCEEFF"/>
          </w:tcPr>
          <w:p>
            <w:pPr>
              <w:spacing w:after="0"/>
              <w:rPr>
                <w:sz w:val="14"/>
                <w:szCs w:val="14"/>
                <w:color w:val="auto"/>
              </w:rPr>
            </w:pPr>
          </w:p>
        </w:tc>
        <w:tc>
          <w:tcPr>
            <w:tcW w:w="59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amenities to Class A models</w:t>
            </w:r>
          </w:p>
        </w:tc>
        <w:tc>
          <w:tcPr>
            <w:tcW w:w="4420" w:type="dxa"/>
            <w:vAlign w:val="bottom"/>
            <w:shd w:val="clear" w:color="auto" w:fill="CCEEFF"/>
          </w:tcPr>
          <w:p>
            <w:pPr>
              <w:spacing w:after="0"/>
              <w:rPr>
                <w:sz w:val="14"/>
                <w:szCs w:val="14"/>
                <w:color w:val="auto"/>
              </w:rPr>
            </w:pPr>
          </w:p>
        </w:tc>
      </w:tr>
    </w:tbl>
    <w:p>
      <w:pPr>
        <w:spacing w:after="0" w:line="152"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Our Class A, B, and C motorhomes are sold by dealers in the retail market with manufacturer's suggested retail prices ranging from approximately $80,000 to $500,000, depending on size and model, plus optional equipment and delivery charges. Our motorhomes range in length from 21 to 44 feet.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Unit sales of our motorhomes for the last three fiscal years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rPr>
              <w:t>2019</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13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1115"/>
              <w:spacing w:after="0"/>
              <w:rPr>
                <w:sz w:val="20"/>
                <w:szCs w:val="20"/>
                <w:color w:val="auto"/>
              </w:rPr>
            </w:pPr>
            <w:r>
              <w:rPr>
                <w:rFonts w:ascii="Arial" w:cs="Arial" w:eastAsia="Arial" w:hAnsi="Arial"/>
                <w:sz w:val="13"/>
                <w:szCs w:val="13"/>
                <w:b w:val="1"/>
                <w:bCs w:val="1"/>
                <w:color w:val="auto"/>
              </w:rPr>
              <w:t>2017</w:t>
            </w:r>
          </w:p>
        </w:tc>
      </w:tr>
      <w:tr>
        <w:trPr>
          <w:trHeight w:val="21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w:t>
            </w:r>
          </w:p>
        </w:tc>
        <w:tc>
          <w:tcPr>
            <w:tcW w:w="154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3,182</w:t>
            </w:r>
          </w:p>
        </w:tc>
        <w:tc>
          <w:tcPr>
            <w:tcW w:w="152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34.4%</w:t>
            </w:r>
          </w:p>
        </w:tc>
      </w:tr>
      <w:tr>
        <w:trPr>
          <w:trHeight w:val="208"/>
        </w:trPr>
        <w:tc>
          <w:tcPr>
            <w:tcW w:w="3200" w:type="dxa"/>
            <w:vAlign w:val="bottom"/>
          </w:tcPr>
          <w:p>
            <w:pPr>
              <w:ind w:left="20"/>
              <w:spacing w:after="0"/>
              <w:rPr>
                <w:sz w:val="20"/>
                <w:szCs w:val="20"/>
                <w:color w:val="auto"/>
              </w:rPr>
            </w:pPr>
            <w:r>
              <w:rPr>
                <w:rFonts w:ascii="Arial" w:cs="Arial" w:eastAsia="Arial" w:hAnsi="Arial"/>
                <w:sz w:val="13"/>
                <w:szCs w:val="13"/>
                <w:color w:val="auto"/>
              </w:rPr>
              <w:t>Class B</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2,784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2,012</w:t>
            </w:r>
          </w:p>
        </w:tc>
        <w:tc>
          <w:tcPr>
            <w:tcW w:w="1540" w:type="dxa"/>
            <w:vAlign w:val="bottom"/>
            <w:gridSpan w:val="3"/>
          </w:tcPr>
          <w:p>
            <w:pPr>
              <w:jc w:val="right"/>
              <w:ind w:right="75"/>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1,541</w:t>
            </w:r>
          </w:p>
        </w:tc>
        <w:tc>
          <w:tcPr>
            <w:tcW w:w="1520" w:type="dxa"/>
            <w:vAlign w:val="bottom"/>
            <w:gridSpan w:val="3"/>
          </w:tcPr>
          <w:p>
            <w:pPr>
              <w:jc w:val="right"/>
              <w:ind w:right="75"/>
              <w:spacing w:after="0"/>
              <w:rPr>
                <w:sz w:val="20"/>
                <w:szCs w:val="20"/>
                <w:color w:val="auto"/>
              </w:rPr>
            </w:pPr>
            <w:r>
              <w:rPr>
                <w:rFonts w:ascii="Arial" w:cs="Arial" w:eastAsia="Arial" w:hAnsi="Arial"/>
                <w:sz w:val="13"/>
                <w:szCs w:val="13"/>
                <w:color w:val="auto"/>
              </w:rPr>
              <w:t>16.6%</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3,225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49.0%</w:t>
            </w:r>
          </w:p>
        </w:tc>
      </w:tr>
      <w:tr>
        <w:trPr>
          <w:trHeight w:val="190"/>
        </w:trPr>
        <w:tc>
          <w:tcPr>
            <w:tcW w:w="3200" w:type="dxa"/>
            <w:vAlign w:val="bottom"/>
          </w:tcPr>
          <w:p>
            <w:pPr>
              <w:ind w:left="140"/>
              <w:spacing w:after="0"/>
              <w:rPr>
                <w:sz w:val="20"/>
                <w:szCs w:val="20"/>
                <w:color w:val="auto"/>
              </w:rPr>
            </w:pPr>
            <w:r>
              <w:rPr>
                <w:rFonts w:ascii="Arial" w:cs="Arial" w:eastAsia="Arial" w:hAnsi="Arial"/>
                <w:sz w:val="13"/>
                <w:szCs w:val="13"/>
                <w:color w:val="auto"/>
              </w:rPr>
              <w:t>Total motorhomes</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7,591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75"/>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9,548</w:t>
            </w:r>
          </w:p>
        </w:tc>
        <w:tc>
          <w:tcPr>
            <w:tcW w:w="1540" w:type="dxa"/>
            <w:vAlign w:val="bottom"/>
            <w:gridSpan w:val="3"/>
          </w:tcPr>
          <w:p>
            <w:pPr>
              <w:jc w:val="right"/>
              <w:ind w:right="75"/>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9,260</w:t>
            </w:r>
          </w:p>
        </w:tc>
        <w:tc>
          <w:tcPr>
            <w:tcW w:w="1520" w:type="dxa"/>
            <w:vAlign w:val="bottom"/>
            <w:gridSpan w:val="3"/>
          </w:tcPr>
          <w:p>
            <w:pPr>
              <w:jc w:val="right"/>
              <w:ind w:right="75"/>
              <w:spacing w:after="0"/>
              <w:rPr>
                <w:sz w:val="20"/>
                <w:szCs w:val="20"/>
                <w:color w:val="auto"/>
              </w:rPr>
            </w:pPr>
            <w:r>
              <w:rPr>
                <w:rFonts w:ascii="Arial" w:cs="Arial" w:eastAsia="Arial" w:hAnsi="Arial"/>
                <w:sz w:val="13"/>
                <w:szCs w:val="13"/>
                <w:color w:val="auto"/>
              </w:rPr>
              <w:t>100.0%</w:t>
            </w:r>
          </w:p>
        </w:tc>
      </w:tr>
      <w:tr>
        <w:trPr>
          <w:trHeight w:val="20"/>
        </w:trPr>
        <w:tc>
          <w:tcPr>
            <w:tcW w:w="3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Motorhome parts and service activities represent revenues generated by service work we perform for retail customers at our Forest City, IA facilities as well as revenues from the sale of unit parts. Our competitive strategy is to provide proprietary manufactured parts through our dealer network, which we believe increases customer satisfaction and the value of our motorhomes.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Chris-Craft</w:t>
      </w:r>
    </w:p>
    <w:p>
      <w:pPr>
        <w:spacing w:after="0" w:line="166" w:lineRule="exact"/>
        <w:rPr>
          <w:sz w:val="20"/>
          <w:szCs w:val="20"/>
          <w:color w:val="auto"/>
        </w:rPr>
      </w:pPr>
    </w:p>
    <w:p>
      <w:pPr>
        <w:ind w:right="480"/>
        <w:spacing w:after="0" w:line="251" w:lineRule="auto"/>
        <w:rPr>
          <w:sz w:val="20"/>
          <w:szCs w:val="20"/>
          <w:color w:val="auto"/>
        </w:rPr>
      </w:pPr>
      <w:r>
        <w:rPr>
          <w:rFonts w:ascii="Arial" w:cs="Arial" w:eastAsia="Arial" w:hAnsi="Arial"/>
          <w:sz w:val="13"/>
          <w:szCs w:val="13"/>
          <w:color w:val="auto"/>
        </w:rPr>
        <w:t>On June 4, 2018, we acquired 100% of the ownership interests of Chris-Craft USA, Inc. ("Chris-Craft"), a privately-owned company based in Sarasota, Florida. As a result of this acquisition, we manufacture and sell premium quality boats in the recreational powerboat industry through an established global network of independent authorized dealers.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Winnebago Specialty Vehicles</w:t>
      </w:r>
    </w:p>
    <w:p>
      <w:pPr>
        <w:spacing w:after="0" w:line="166" w:lineRule="exact"/>
        <w:rPr>
          <w:sz w:val="20"/>
          <w:szCs w:val="20"/>
          <w:color w:val="auto"/>
        </w:rPr>
      </w:pPr>
    </w:p>
    <w:p>
      <w:pPr>
        <w:ind w:right="200"/>
        <w:spacing w:after="0" w:line="246" w:lineRule="auto"/>
        <w:rPr>
          <w:sz w:val="20"/>
          <w:szCs w:val="20"/>
          <w:color w:val="auto"/>
        </w:rPr>
      </w:pPr>
      <w:r>
        <w:rPr>
          <w:rFonts w:ascii="Arial" w:cs="Arial" w:eastAsia="Arial" w:hAnsi="Arial"/>
          <w:sz w:val="13"/>
          <w:szCs w:val="13"/>
          <w:color w:val="auto"/>
        </w:rPr>
        <w:t>We also manufacture other specialty commercial vehicles primarily custom designed for the buyer's specific needs and requirements, such as law enforcement command centers, mobile medical clinics, and mobile office space. These specialty commercial vehicles are manufactured in Forest City, Iowa and sold through our dealer network. In addition, we also provide commercial vehicles as bare shells to third-party upfitters for conversion at their facilities.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w:t>
      </w:r>
    </w:p>
    <w:p>
      <w:pPr>
        <w:spacing w:after="0" w:line="168"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We generally produce towables and motorhomes to stock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and sizes as well as design and decor modifications. Most of our raw materials such as steel, aluminum, fiberglass, and wood products are obtainable from numerous sources.</w:t>
      </w:r>
    </w:p>
    <w:p>
      <w:pPr>
        <w:spacing w:after="0" w:line="144"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Our towables are produced at two assembly campuses located in Middlebury, IN. The majority of components are comprised of frames, appliances, and furniture, and are purchased from suppliers. In Fiscal 2019, we had one supplier that accounted for more than 10% of our Towable raw material purchases.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60"/>
          </w:cols>
          <w:pgMar w:left="220" w:top="119" w:right="21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46"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Our motorhomes are produced in the state of IA at four different campuses. Our motorhome business utilizes vertically integrated supply streams, with the principal exceptions being chassis, engines, generators, and appliances that we purchase from reputable manufacturers. Certain parts, especially motorhome chassis, are available from a small group of suppliers. In Fiscal 2019, we had three suppliers that each individually accounted for more than 10% of our Motorhome raw material purchases.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168"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 xml:space="preserve">We strive to balance timely order fulfillment to our dealers with the lead times suppliers require to efficiently source materials and manage costs. Production facility constraints at peak periods also lead to fluctuations in backlog orders which we manage closely. The approximate revenue of our Towable backlog was $234.3 million and $244.9 million as of August 31, 2019 and August 25, 2018, respectively. The approximate revenue of our Motorhome backlog was $165.4 million and $157.6 million as of August 31, 2019 and August 25, 2018, respectively. A more detailed description of our Motorhome and Towable order backlog is included in Item 7, </w:t>
      </w:r>
      <w:r>
        <w:rPr>
          <w:rFonts w:ascii="Arial" w:cs="Arial" w:eastAsia="Arial" w:hAnsi="Arial"/>
          <w:sz w:val="13"/>
          <w:szCs w:val="13"/>
          <w:i w:val="1"/>
          <w:iCs w:val="1"/>
          <w:color w:val="auto"/>
        </w:rPr>
        <w:t>Management's Discussion and Analysis of Financial Condition and Results of Operation</w:t>
      </w:r>
      <w:r>
        <w:rPr>
          <w:rFonts w:ascii="Arial" w:cs="Arial" w:eastAsia="Arial" w:hAnsi="Arial"/>
          <w:sz w:val="13"/>
          <w:szCs w:val="13"/>
          <w:color w:val="auto"/>
        </w:rPr>
        <w:t>s,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 and Financing</w:t>
      </w:r>
    </w:p>
    <w:p>
      <w:pPr>
        <w:spacing w:after="0" w:line="168" w:lineRule="exact"/>
        <w:rPr>
          <w:sz w:val="20"/>
          <w:szCs w:val="20"/>
          <w:color w:val="auto"/>
        </w:rPr>
      </w:pPr>
    </w:p>
    <w:p>
      <w:pPr>
        <w:ind w:right="240"/>
        <w:spacing w:after="0" w:line="251" w:lineRule="auto"/>
        <w:rPr>
          <w:sz w:val="20"/>
          <w:szCs w:val="20"/>
          <w:color w:val="auto"/>
        </w:rPr>
      </w:pPr>
      <w:r>
        <w:rPr>
          <w:rFonts w:ascii="Arial" w:cs="Arial" w:eastAsia="Arial" w:hAnsi="Arial"/>
          <w:sz w:val="13"/>
          <w:szCs w:val="13"/>
          <w:color w:val="auto"/>
        </w:rPr>
        <w:t>We market our products on a wholesale basis to a diversified independent dealer network located throughout the U.S. and, to a limited extent, in Canada, Africa, Asia, Europe, Australia, and South America. Foreign sales were 10% or less of Net revenues during each of the past three fiscal years.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As of August 31, 2019, our RV and marine dealer network in the U.S. and Canada included approximately 600 physical dealer locations, many of which carry more than one of our brands. None of our dealer organizations accounted for more than 10% of our Net revenues for Fiscal 2019, 2018, and 2017.</w:t>
      </w:r>
    </w:p>
    <w:p>
      <w:pPr>
        <w:spacing w:after="0" w:line="140"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We have sales and service agreements with dealers which are subject to annual review. Many of the dealers are also engaged in other areas of business, including the sale of automobiles, trailers, or boats, and most dealers carry one or more competitive lines of RVs. We continue to place high emphasis on the capability of our dealers to provide complete service for our products. Dealers are obligated to provide full service for owners of our products or, in lieu thereof, to secure such service from other authorized providers.</w:t>
      </w:r>
    </w:p>
    <w:p>
      <w:pPr>
        <w:spacing w:after="0" w:line="144"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We advertise and promote our products through national trade magazines, the distribution of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spacing w:after="0" w:line="144"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color w:val="auto"/>
        </w:rPr>
        <w:t>Sales to dealers are made on cash terms. Most dealers are financed on a "floorplan" basis under which a bank or finance company lends the dealer all, or substantially all, of the purchase price, collateralized by a security interest in the merchandise purchased. As is customary in our industries,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varies significantly from time to time, depending upon the level of dealer inventory, general economic conditions, demand for our products, dealer location, and access to and the cost of financing. See Note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i w:val="1"/>
          <w:iCs w:val="1"/>
          <w:color w:val="auto"/>
        </w:rPr>
        <w:t>Contingent Liabilities and Commitments</w:t>
      </w:r>
      <w:r>
        <w:rPr>
          <w:rFonts w:ascii="Arial" w:cs="Arial" w:eastAsia="Arial" w:hAnsi="Arial"/>
          <w:sz w:val="12"/>
          <w:szCs w:val="12"/>
          <w:color w:val="auto"/>
        </w:rPr>
        <w:t xml:space="preserve">, of the Notes to Consolidated Financial Statements, included in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68"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industry is based upon design, price, quality, features, and service of the products. We believe our principal competitive advantages are our brand strength, product quality, and our service after the sale. We also believe that our products have historically commanded a price premium as a result of these competitive advantages.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68"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The primary use of RVs and marine products for leisure travel and outdoor recreation has historically led to a peak retail selling season concentrated in the spring and summer months and lower sales during winter months. Our sales are generally influenced by this pattern in retail sales, but sales can also be affected by the level of dealer inventory. As a result, our RV sales are historically lowest during our second fiscal quarter, which ends in February.</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20"/>
          </w:cols>
          <w:pgMar w:left="220" w:top="141" w:right="25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Governmental Regulations</w:t>
      </w:r>
    </w:p>
    <w:p>
      <w:pPr>
        <w:spacing w:after="0" w:line="168" w:lineRule="exact"/>
        <w:rPr>
          <w:sz w:val="20"/>
          <w:szCs w:val="20"/>
          <w:color w:val="auto"/>
        </w:rPr>
      </w:pPr>
    </w:p>
    <w:p>
      <w:pPr>
        <w:jc w:val="both"/>
        <w:ind w:right="20"/>
        <w:spacing w:after="0" w:line="245" w:lineRule="auto"/>
        <w:rPr>
          <w:sz w:val="20"/>
          <w:szCs w:val="20"/>
          <w:color w:val="auto"/>
        </w:rPr>
      </w:pPr>
      <w:r>
        <w:rPr>
          <w:rFonts w:ascii="Arial" w:cs="Arial" w:eastAsia="Arial" w:hAnsi="Arial"/>
          <w:sz w:val="13"/>
          <w:szCs w:val="13"/>
          <w:color w:val="auto"/>
        </w:rPr>
        <w:t>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w:t>
      </w:r>
    </w:p>
    <w:p>
      <w:pPr>
        <w:spacing w:after="0" w:line="144" w:lineRule="exact"/>
        <w:rPr>
          <w:sz w:val="20"/>
          <w:szCs w:val="20"/>
          <w:color w:val="auto"/>
        </w:rPr>
      </w:pPr>
    </w:p>
    <w:p>
      <w:pPr>
        <w:jc w:val="both"/>
        <w:ind w:right="180"/>
        <w:spacing w:after="0" w:line="277" w:lineRule="auto"/>
        <w:rPr>
          <w:sz w:val="20"/>
          <w:szCs w:val="20"/>
          <w:color w:val="auto"/>
        </w:rPr>
      </w:pPr>
      <w:r>
        <w:rPr>
          <w:rFonts w:ascii="Arial" w:cs="Arial" w:eastAsia="Arial" w:hAnsi="Arial"/>
          <w:sz w:val="12"/>
          <w:szCs w:val="12"/>
          <w:color w:val="auto"/>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26" w:lineRule="exact"/>
        <w:rPr>
          <w:sz w:val="20"/>
          <w:szCs w:val="20"/>
          <w:color w:val="auto"/>
        </w:rPr>
      </w:pPr>
    </w:p>
    <w:p>
      <w:pPr>
        <w:ind w:right="500"/>
        <w:spacing w:after="0" w:line="251" w:lineRule="auto"/>
        <w:rPr>
          <w:sz w:val="20"/>
          <w:szCs w:val="20"/>
          <w:color w:val="auto"/>
        </w:rPr>
      </w:pPr>
      <w:r>
        <w:rPr>
          <w:rFonts w:ascii="Arial" w:cs="Arial" w:eastAsia="Arial" w:hAnsi="Arial"/>
          <w:sz w:val="13"/>
          <w:szCs w:val="13"/>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Trademarks</w:t>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We have several domestic and foreign trademark registrations and pending applications associated with our products which include: Winnebago, 3-finger Salute (design), 24 W 7 (logo), +Lounger, Adventurer, Affinity, Airlie, Aspect, Benchmark, Brave, Boldt, Bound by the W, Bryon, Cambria, CC (logo), Chalet, Chris Craft, Chris-Craft (logo), Commander, Corsair, Cottesloe, Country Coach, Destination, Dynomax, Ellipse, eMLU, Era, Forza, Fuse, Glide &amp; Dine, GoWinnebago, Grand Design, Grand Design Recreational Vehicles, Grand Design RV, Horizon, Imagine, InLounge, Inspire, Instinct, Intable, Intent, Intrigue, Itasca, Itasca (logo), Journey, Lancer, Latitude, Maxum Chassis, Meridian, Micro Minnie, Minnie, Minnie Drop, Minnie Winnie, MLU, Momentum, Navion, Outlook, Paseo, Porto Powerline Energy Management System (logo), Pure3 Energy Management System, Reflection, Rest Easy, Revel, Roamer, Scorpion, Sightseer, Solei, Solitude, Spirit, Spyder, Suncruiser, Sunova, Sunstar, Supershell, The Most Recognized Name in Motorhomes, Thermo-Panel, Transcend, Transcend Xplor, Travato, Trend, Tribute, True Air, True Trax, Via, View, Vista, Vita, Viva!, Voyage, W, Flying W (logo), Winnebago (logo), Winnebago Ind (logo), Winnebago Minnie, Winnebago Touring Coach, Winnebago Towables (logo), WinnebagoLife, WinnebagoLife (logo), Winnie Drop, WIT Club, and Design of motor home front end (trade dress).</w:t>
      </w:r>
    </w:p>
    <w:p>
      <w:pPr>
        <w:spacing w:after="0" w:line="158" w:lineRule="exact"/>
        <w:rPr>
          <w:sz w:val="20"/>
          <w:szCs w:val="20"/>
          <w:color w:val="auto"/>
        </w:rPr>
      </w:pPr>
    </w:p>
    <w:p>
      <w:pPr>
        <w:ind w:right="160"/>
        <w:spacing w:after="0" w:line="320" w:lineRule="auto"/>
        <w:rPr>
          <w:sz w:val="20"/>
          <w:szCs w:val="20"/>
          <w:color w:val="auto"/>
        </w:rPr>
      </w:pPr>
      <w:r>
        <w:rPr>
          <w:rFonts w:ascii="Arial" w:cs="Arial" w:eastAsia="Arial" w:hAnsi="Arial"/>
          <w:sz w:val="13"/>
          <w:szCs w:val="13"/>
          <w:color w:val="auto"/>
        </w:rPr>
        <w:t>We believe that our trademarks and trade names are significant assets to our business, and we have in the past and will in the future vigorously protect them against infringement by third parties. We are not dependent upon any patents or technology licenses of others for the conduct of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Resources</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At the end of Fiscal 2019, 2018, and 2017, we employed approximately 4,500, 4,700, and 4,060 persons, respectively. None of our employees are covered under a collective bargaining agreement. We believe our relations with our employees are good.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68"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Described below are certain risks that we believe apply to our business and the industry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report are not exclusive and other risk factors that we may consider immaterial or do not anticipate may emerge as significant risks and uncertainties.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industry in which we operate is highly competitive. Failure to compete effectively against competitors could negatively impact our business and operating results.</w:t>
      </w:r>
    </w:p>
    <w:p>
      <w:pPr>
        <w:spacing w:after="0" w:line="168"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The markets for RVs and marine products are very competitive. Competitive factors in the industry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141" w:right="21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30" w:lineRule="exact"/>
        <w:rPr>
          <w:sz w:val="20"/>
          <w:szCs w:val="20"/>
          <w:color w:val="auto"/>
        </w:rPr>
      </w:pPr>
    </w:p>
    <w:p>
      <w:pPr>
        <w:ind w:right="460"/>
        <w:spacing w:after="0" w:line="276" w:lineRule="auto"/>
        <w:rPr>
          <w:sz w:val="20"/>
          <w:szCs w:val="20"/>
          <w:color w:val="auto"/>
        </w:rPr>
      </w:pPr>
      <w:r>
        <w:rPr>
          <w:rFonts w:ascii="Arial" w:cs="Arial" w:eastAsia="Arial" w:hAnsi="Arial"/>
          <w:sz w:val="13"/>
          <w:szCs w:val="13"/>
          <w:b w:val="1"/>
          <w:bCs w:val="1"/>
          <w:color w:val="auto"/>
        </w:rPr>
        <w:t>If we fail to identify, attract, and retain appropriately qualified employees, including employees in key positions, our operations and profitability may be harmed. Changes in market compensation rates may adversely affect our profitability.</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operations are primarily centered in northern IA and northern IN. Any disruption at these sites could adversely affect our business and operating results.</w:t>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We currently manufacture most of our products in northern IA and northern IN.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terms of our Credit Agreement could adversely affect our operating flexibility and pose risks of default under our Credit Agreement.</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We incurred substantial indebtedness to finance the acquisition of Grand Design. We entered into new asset-based revolving credit ("ABL") and term loan ("Term Loan") agreements (collectively, the "Credit Agreement") with JPMorgan Chase Bank, N.A. ("JPMorgan Chase"), as administrative agent for certain lenders and the lenders from time to time party thereto. Under the terms of the Credit Agreement, we had a $165.0 million ABL credit facility, including a $10.0 million letter of credit facility, and a $300.0 million term loan as of August 31, 2019. On October 22, 2019, our ABL credit facility was amended and restated to increase the commitments thereunder to $192.5 million, which includes a $19.25 million letter of credit facility, and to extend the maturity to October 22, 2024 (subject to certain factors which may accelerate the maturity date). In addition to JPMorgan Chase, BMO Harris Bank N.A. and Goldman Sachs Bank USA are also committing lenders under the ABL credit facility.</w:t>
      </w:r>
    </w:p>
    <w:p>
      <w:pPr>
        <w:spacing w:after="0" w:line="132"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The Credit Agreement is secured by substantially all of our assets, including cash, inventory, accounts receivable, and certain machinery and equipment. The Credit Agreement contains certain requirements, including affirmative and negative financial covenants. If we are unable to comply with these requirements and covenants, we may be restricted in our ability to pay dividends or engage in certain other business transactions, the lender may obtain control of our cash accounts, and we may experience an event of default. If a default occurs, the lenders under the Credit Agreement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spacing w:after="0" w:line="140" w:lineRule="exact"/>
        <w:rPr>
          <w:sz w:val="20"/>
          <w:szCs w:val="20"/>
          <w:color w:val="auto"/>
        </w:rPr>
      </w:pPr>
    </w:p>
    <w:p>
      <w:pPr>
        <w:jc w:val="both"/>
        <w:ind w:right="80"/>
        <w:spacing w:after="0" w:line="246" w:lineRule="auto"/>
        <w:rPr>
          <w:sz w:val="20"/>
          <w:szCs w:val="20"/>
          <w:color w:val="auto"/>
        </w:rPr>
      </w:pPr>
      <w:r>
        <w:rPr>
          <w:rFonts w:ascii="Arial" w:cs="Arial" w:eastAsia="Arial" w:hAnsi="Arial"/>
          <w:sz w:val="13"/>
          <w:szCs w:val="13"/>
          <w:color w:val="auto"/>
        </w:rPr>
        <w:t>In addition, the Credit Agreement contains certain restrictions on our ability to undertake certain types of transactions. Therefore, we may need to seek permission from our lenders in order to engage in certain corporate actions and any additional indebtedness that we may incur, including any indebtedness needed to fund the acquisition of Newmar Corporation ("Newmar"), will need to comply with the terms of the Credit Agreement and will have its own restrictions on our ability to undertake certain types of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In addition, our indebtedness could:</w:t>
      </w:r>
    </w:p>
    <w:p>
      <w:pPr>
        <w:spacing w:after="0" w:line="1" w:lineRule="exact"/>
        <w:rPr>
          <w:sz w:val="20"/>
          <w:szCs w:val="20"/>
          <w:color w:val="auto"/>
        </w:rPr>
      </w:pPr>
    </w:p>
    <w:p>
      <w:pPr>
        <w:ind w:left="520" w:hanging="25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Make us more vulnerable to general adverse economic, regulatory, and industry conditions;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and opportunities in the markets in which we compete;</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Place us at a competitive disadvantage compared to our competitors that have less debt or could require us to dedicate a substantial portion of our cash flow to service our debt; and</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Restrict us from making strategic acquisitions or exploiting other business opportunities.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60"/>
          </w:cols>
          <w:pgMar w:left="220" w:top="141" w:right="21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Various factors, including share dilution, changes to credit terms, and our ability to meet financial performance expectations, could result in a decline in our stock price.</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Our stock price may fluctuate based on many factors. Our acquisition of Grand Design, for example, provided important strategic positioning and earnings growth potential, but to partially finance the transaction we issued $124.1 million worth of common stock to the owners of Grand Design and registered these shares for resale after the transaction closed. Under the terms of our agreement to acquire Newmar, we will issue 2.0 million shares of our common stock to the owners of Newmar at closing of the transaction. Any future stock issuance by us or liquidation of stock holding by the former owners of Grand Design or the owners or Newmar may cause dilution of earnings per share or put selling pressure on our share price. Changing credit agreements and leverage ratios may also impact stock price. In general, analysts' expectations and our ability to meet those expectations quarterly may cause stock price fluctuations. If we fail to meet expectations related to future growth, profitability, debt repayment, dividends, share issuance or repurchase, or other market expectations, our stock price may decline significantly.</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current facility expansions may not provide the results that were planned, which could negatively impact our production and operating results at these locations.</w:t>
      </w:r>
    </w:p>
    <w:p>
      <w:pPr>
        <w:spacing w:after="0" w:line="168" w:lineRule="exact"/>
        <w:rPr>
          <w:sz w:val="20"/>
          <w:szCs w:val="20"/>
          <w:color w:val="auto"/>
        </w:rPr>
      </w:pPr>
    </w:p>
    <w:p>
      <w:pPr>
        <w:ind w:right="100"/>
        <w:spacing w:after="0" w:line="246" w:lineRule="auto"/>
        <w:rPr>
          <w:sz w:val="20"/>
          <w:szCs w:val="20"/>
          <w:color w:val="auto"/>
        </w:rPr>
      </w:pPr>
      <w:r>
        <w:rPr>
          <w:rFonts w:ascii="Arial" w:cs="Arial" w:eastAsia="Arial" w:hAnsi="Arial"/>
          <w:sz w:val="13"/>
          <w:szCs w:val="13"/>
          <w:color w:val="auto"/>
        </w:rPr>
        <w:t>We are expanding our production capabilities within our Towable segment and our Chris-Craft operating segment. The expansions and renovations entail risks that could cause disruption in the operations of our business and unanticipated cost increases. Should we experience production variances, quality, or safety issues as we ramp up these operations, our business and operating results could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could be impacted by the potential adverse effects of union activities.</w:t>
      </w:r>
    </w:p>
    <w:p>
      <w:pPr>
        <w:spacing w:after="0" w:line="168" w:lineRule="exact"/>
        <w:rPr>
          <w:sz w:val="20"/>
          <w:szCs w:val="20"/>
          <w:color w:val="auto"/>
        </w:rPr>
      </w:pPr>
    </w:p>
    <w:p>
      <w:pPr>
        <w:ind w:right="140"/>
        <w:spacing w:after="0" w:line="245" w:lineRule="auto"/>
        <w:rPr>
          <w:sz w:val="20"/>
          <w:szCs w:val="20"/>
          <w:color w:val="auto"/>
        </w:rPr>
      </w:pPr>
      <w:r>
        <w:rPr>
          <w:rFonts w:ascii="Arial" w:cs="Arial" w:eastAsia="Arial" w:hAnsi="Arial"/>
          <w:sz w:val="13"/>
          <w:szCs w:val="13"/>
          <w:color w:val="auto"/>
        </w:rPr>
        <w:t>Although none of our employees are currently represented by a labor union, unionization could result in higher employee costs and increased risk of work stoppages. We are, directly or indirectly, dependent upon companies with unionized work forces, such as parts suppliers and trucking and freight companies, and work stoppages or strikes organized by such unions could have a material adverse impact on our business, financial condition, or operating results. If a work stoppage occurs, it could delay the manufacture and sale of our products and have a material adverse effect on our business, prospects, operating results, or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may be sensitive to economic conditions, including those that impact consumer spending.</w:t>
      </w:r>
    </w:p>
    <w:p>
      <w:pPr>
        <w:spacing w:after="0" w:line="168"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Companies within the RV and marine industries are subject to volatility in operating results due primarily to general economic conditions because the purchase of a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and marine industries include:</w:t>
      </w:r>
    </w:p>
    <w:p>
      <w:pPr>
        <w:spacing w:after="0" w:line="145" w:lineRule="exact"/>
        <w:rPr>
          <w:sz w:val="20"/>
          <w:szCs w:val="20"/>
          <w:color w:val="auto"/>
        </w:rPr>
      </w:pPr>
    </w:p>
    <w:p>
      <w:pPr>
        <w:ind w:left="520" w:hanging="255"/>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Overall consumer confidence and the level of discretionary consumer spending;</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Employment trends;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adverse impact of global tensions on consumer spending and travel-related activities; and</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adverse impact on margins due to increases in raw material costs, which we are unable to pass on to customers without negatively affecting sales.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 impairment in the carrying value of goodwill and trade names could negatively impact our consolidated results of operations.</w:t>
      </w:r>
    </w:p>
    <w:p>
      <w:pPr>
        <w:spacing w:after="0" w:line="168"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Goodwill and indefinite-lived intangible assets, such as our trade names,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Significant and unanticipated changes in circumstances, such as significant and long-term adverse changes in business climate, unanticipated competition, and/or changes in technology or markets, could require a provision for impairment in a future period that could negatively impact our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market deterioration and volatility may restrict the ability of our dealers and retail customers to finance the purchase of our products.</w:t>
      </w:r>
    </w:p>
    <w:p>
      <w:pPr>
        <w:spacing w:after="0" w:line="168" w:lineRule="exact"/>
        <w:rPr>
          <w:sz w:val="20"/>
          <w:szCs w:val="20"/>
          <w:color w:val="auto"/>
        </w:rPr>
      </w:pPr>
    </w:p>
    <w:p>
      <w:pPr>
        <w:jc w:val="both"/>
        <w:ind w:right="120"/>
        <w:spacing w:after="0" w:line="246" w:lineRule="auto"/>
        <w:rPr>
          <w:sz w:val="20"/>
          <w:szCs w:val="20"/>
          <w:color w:val="auto"/>
        </w:rPr>
      </w:pPr>
      <w:r>
        <w:rPr>
          <w:rFonts w:ascii="Arial" w:cs="Arial" w:eastAsia="Arial" w:hAnsi="Arial"/>
          <w:sz w:val="13"/>
          <w:szCs w:val="13"/>
          <w:color w:val="auto"/>
        </w:rPr>
        <w:t>Our business is affected by the availability and terms of the financing to dealers. Generally, RV and marine dealers finance their purchases of inventory with financing provided by lending institutions. One financial flooring institution held 36.8% of our total financed dealer inventory dollars that were outstanding at August 31, 2019. In the event that this lending institution limits or discontinues dealer financing, we could experience a material adverse effect on our results of operations.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40"/>
          </w:cols>
          <w:pgMar w:left="220" w:top="14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business is also affected by the availability and terms of financing to retail purchasers. Retail buyers purchasing one of our products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is both cyclical and seasonal and is subject to fluctuations in sales and net income.</w:t>
      </w:r>
    </w:p>
    <w:p>
      <w:pPr>
        <w:spacing w:after="0" w:line="168" w:lineRule="exact"/>
        <w:rPr>
          <w:sz w:val="20"/>
          <w:szCs w:val="20"/>
          <w:color w:val="auto"/>
        </w:rPr>
      </w:pPr>
    </w:p>
    <w:p>
      <w:pPr>
        <w:ind w:right="140"/>
        <w:spacing w:after="0" w:line="251" w:lineRule="auto"/>
        <w:rPr>
          <w:sz w:val="20"/>
          <w:szCs w:val="20"/>
          <w:color w:val="auto"/>
        </w:rPr>
      </w:pPr>
      <w:r>
        <w:rPr>
          <w:rFonts w:ascii="Arial" w:cs="Arial" w:eastAsia="Arial" w:hAnsi="Arial"/>
          <w:sz w:val="13"/>
          <w:szCs w:val="13"/>
          <w:color w:val="auto"/>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in some markets may impact demand.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Failure to effectively manage strategic acquisitions and alliances, joint ventures, or partnerships could have a negative impact on our business.</w:t>
      </w:r>
    </w:p>
    <w:p>
      <w:pPr>
        <w:spacing w:after="0" w:line="168"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In September 2019, we entered into a definitive agreement to acquire Newmar (the "Newmar Acquisition"), a leading manufacturer of Class A and Super C motorized RVs, which is expected to close in early Fiscal 2020.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including the pending Newmar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147" w:lineRule="exact"/>
        <w:rPr>
          <w:sz w:val="20"/>
          <w:szCs w:val="20"/>
          <w:color w:val="auto"/>
        </w:rPr>
      </w:pPr>
    </w:p>
    <w:p>
      <w:pPr>
        <w:ind w:left="520" w:hanging="255"/>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Diversion of management’s attention;</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Disruption to our existing operations and plans;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Inability to effectively manage our expanded operations;</w:t>
      </w:r>
    </w:p>
    <w:p>
      <w:pPr>
        <w:spacing w:after="0" w:line="1" w:lineRule="exact"/>
        <w:rPr>
          <w:rFonts w:ascii="Arial" w:cs="Arial" w:eastAsia="Arial" w:hAnsi="Arial"/>
          <w:sz w:val="13"/>
          <w:szCs w:val="13"/>
          <w:color w:val="auto"/>
        </w:rPr>
      </w:pPr>
    </w:p>
    <w:p>
      <w:pPr>
        <w:ind w:left="520" w:right="320" w:hanging="255"/>
        <w:spacing w:after="0" w:line="242"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520" w:hanging="255"/>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Inability to successfully integrate or develop a distribution channel for acquired product lines;</w:t>
      </w:r>
    </w:p>
    <w:p>
      <w:pPr>
        <w:spacing w:after="0" w:line="1" w:lineRule="exact"/>
        <w:rPr>
          <w:rFonts w:ascii="Arial" w:cs="Arial" w:eastAsia="Arial" w:hAnsi="Arial"/>
          <w:sz w:val="13"/>
          <w:szCs w:val="13"/>
          <w:color w:val="auto"/>
        </w:rPr>
      </w:pPr>
    </w:p>
    <w:p>
      <w:pPr>
        <w:ind w:left="520" w:hanging="255"/>
        <w:spacing w:after="0" w:line="242"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Potential loss of key employees, customers, distributors, or dealers of the acquired businesses or adverse effects on existing business relationships with suppliers, customers, distributors, and dealers;</w:t>
      </w:r>
    </w:p>
    <w:p>
      <w:pPr>
        <w:ind w:left="520" w:hanging="255"/>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impact on overall profitability, if our expanded operations do not achieve the financial results projected in our valuation model;</w:t>
      </w:r>
    </w:p>
    <w:p>
      <w:pPr>
        <w:spacing w:after="0" w:line="1" w:lineRule="exact"/>
        <w:rPr>
          <w:rFonts w:ascii="Arial" w:cs="Arial" w:eastAsia="Arial" w:hAnsi="Arial"/>
          <w:sz w:val="13"/>
          <w:szCs w:val="13"/>
          <w:color w:val="auto"/>
        </w:rPr>
      </w:pPr>
    </w:p>
    <w:p>
      <w:pPr>
        <w:ind w:left="520" w:right="600" w:hanging="255"/>
        <w:spacing w:after="0" w:line="242"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520" w:right="40" w:hanging="255"/>
        <w:spacing w:after="0" w:line="251"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Incorrect estimates made in the accounting for acquisitions, occurrence of non-recurring charges, and write-off of significant amounts of goodwill or other assets that could adversely affect our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For further information on the risks of the Newmar Acquisition, see “Risk Factors-Risks Related to the Newmar Acquisition.”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are unable to properly forecast future demand of our products, our production levels may not meet demands, which could negatively impact our operating results.</w:t>
      </w:r>
    </w:p>
    <w:p>
      <w:pPr>
        <w:spacing w:after="0" w:line="168"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Unanticipated changes to our distribution channel customers' inventory levels could negatively impact our operating results.</w:t>
      </w:r>
    </w:p>
    <w:p>
      <w:pPr>
        <w:spacing w:after="0" w:line="168"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We sell many of our products through distribution channels and are subject to risks relating to their inventory management decisions and operational and sourcing practices. Our distribution channel customers carry inventories of our products as part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40"/>
          </w:cols>
          <w:pgMar w:left="220" w:top="141"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w:t>
      </w:r>
    </w:p>
    <w:p>
      <w:pPr>
        <w:spacing w:after="0" w:line="128" w:lineRule="exact"/>
        <w:rPr>
          <w:sz w:val="20"/>
          <w:szCs w:val="20"/>
          <w:color w:val="auto"/>
        </w:rPr>
      </w:pPr>
    </w:p>
    <w:p>
      <w:pPr>
        <w:ind w:right="320"/>
        <w:spacing w:after="0" w:line="276" w:lineRule="auto"/>
        <w:rPr>
          <w:sz w:val="20"/>
          <w:szCs w:val="20"/>
          <w:color w:val="auto"/>
        </w:rPr>
      </w:pPr>
      <w:r>
        <w:rPr>
          <w:rFonts w:ascii="Arial" w:cs="Arial" w:eastAsia="Arial" w:hAnsi="Arial"/>
          <w:sz w:val="13"/>
          <w:szCs w:val="13"/>
          <w:b w:val="1"/>
          <w:bCs w:val="1"/>
          <w:color w:val="auto"/>
        </w:rPr>
        <w:t>If we are unable to continue to enhance existing products and develop and market new or enhanced products that respond to customer needs and preferences, we may experience a decrease in demand for our products and our business could suffer.</w:t>
      </w:r>
    </w:p>
    <w:p>
      <w:pPr>
        <w:spacing w:after="0" w:line="125" w:lineRule="exact"/>
        <w:rPr>
          <w:sz w:val="20"/>
          <w:szCs w:val="20"/>
          <w:color w:val="auto"/>
        </w:rPr>
      </w:pPr>
    </w:p>
    <w:p>
      <w:pPr>
        <w:ind w:right="100"/>
        <w:spacing w:after="0" w:line="267" w:lineRule="auto"/>
        <w:rPr>
          <w:sz w:val="20"/>
          <w:szCs w:val="20"/>
          <w:color w:val="auto"/>
        </w:rPr>
      </w:pPr>
      <w:r>
        <w:rPr>
          <w:rFonts w:ascii="Arial" w:cs="Arial" w:eastAsia="Arial" w:hAnsi="Arial"/>
          <w:sz w:val="12"/>
          <w:szCs w:val="12"/>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loss of a large dealer organization could have a significant impact on our business.</w:t>
      </w:r>
    </w:p>
    <w:p>
      <w:pPr>
        <w:spacing w:after="0" w:line="168" w:lineRule="exact"/>
        <w:rPr>
          <w:sz w:val="20"/>
          <w:szCs w:val="20"/>
          <w:color w:val="auto"/>
        </w:rPr>
      </w:pPr>
    </w:p>
    <w:p>
      <w:pPr>
        <w:ind w:right="480"/>
        <w:spacing w:after="0" w:line="246" w:lineRule="auto"/>
        <w:rPr>
          <w:sz w:val="20"/>
          <w:szCs w:val="20"/>
          <w:color w:val="auto"/>
        </w:rPr>
      </w:pPr>
      <w:r>
        <w:rPr>
          <w:rFonts w:ascii="Arial" w:cs="Arial" w:eastAsia="Arial" w:hAnsi="Arial"/>
          <w:sz w:val="13"/>
          <w:szCs w:val="13"/>
          <w:color w:val="auto"/>
        </w:rPr>
        <w:t>While none of our dealer organizations accounted for more than 10% of our Net revenues for Fiscal 2019, 2018, and 2017, the loss of a major dealer or multiple dealers could have a significant adverse effect on our business. In addition, deterioration in the liquidity or creditworthiness of a major dealer or multiple dealers could negatively impact our sales and could trigger repurchase obligations under our repurchase agreements.</w:t>
      </w:r>
    </w:p>
    <w:p>
      <w:pPr>
        <w:spacing w:after="0" w:line="128"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b w:val="1"/>
          <w:bCs w:val="1"/>
          <w:color w:val="auto"/>
        </w:rPr>
        <w:t>If we are obligated to repurchase a substantially larger number of our products in the future than estimated due to dealer default, these purchases could result in adverse effects on our results of operations, financial condition, and cash flows.</w:t>
      </w:r>
    </w:p>
    <w:p>
      <w:pPr>
        <w:spacing w:after="0" w:line="125"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w:t>
      </w:r>
    </w:p>
    <w:p>
      <w:pPr>
        <w:spacing w:after="0" w:line="13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Most of our RV and marine components are readily available from numerous sources. However, a few of our components are produced by a small group of suppliers. In the case of Motorhome chassis, Mercedes-Benz (USA and Canada), Ford Motor Company, and Chrysler of Forest City Inc.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 In Fiscal 2019, none of our manufacturers individually accounted for more than 10% of our consolidated raw material purchases.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Increases in raw material, commodity, and transportation costs and shortages of certain raw materials could negatively impact our business.</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and others that are integrated into our end products. Our profitability is affected by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141" w:right="21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significant fluctuations in the prices of the raw materials and the components and parts we use in our products. Additionally, the current political landscape has introduced significant uncertainty with respect to future trade regulations and existing international trade agreements. The U.S. has initiated tariffs on certain foreign goods, including raw materials, commodities, and products manufactured outside the U.S. that are used in our manufacturing processes, which has increased our cost of goods sold. In response, certain foreign governments have imposed tariffs on certain U.S. goods, and are considering imposing additional tariffs on other U.S. goods, including goods that we sell internationally. The tariffs imposed to date and the possibility of additional retaliatory trade actions stemming from these tariffs could continue to increase our cost of goods sold, both directly and as a result of price increases implemented by domestic suppliers, which we may not be able to pass on to our customers. The impact from these tariffs could also result in decreased demand for our products. All of these could materially and adversely affect our results of operations and financial condition.</w:t>
      </w:r>
    </w:p>
    <w:p>
      <w:pPr>
        <w:spacing w:after="0" w:line="13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28" w:lineRule="exact"/>
        <w:rPr>
          <w:sz w:val="20"/>
          <w:szCs w:val="20"/>
          <w:color w:val="auto"/>
        </w:rPr>
      </w:pPr>
    </w:p>
    <w:p>
      <w:pPr>
        <w:ind w:right="420"/>
        <w:spacing w:after="0" w:line="276" w:lineRule="auto"/>
        <w:rPr>
          <w:sz w:val="20"/>
          <w:szCs w:val="20"/>
          <w:color w:val="auto"/>
        </w:rPr>
      </w:pPr>
      <w:r>
        <w:rPr>
          <w:rFonts w:ascii="Arial" w:cs="Arial" w:eastAsia="Arial" w:hAnsi="Arial"/>
          <w:sz w:val="13"/>
          <w:szCs w:val="13"/>
          <w:b w:val="1"/>
          <w:bCs w:val="1"/>
          <w:color w:val="auto"/>
        </w:rPr>
        <w:t>Significant product repair and/or replacement costs due to product warranty claims and product recalls could have a material adverse impact on our results of operations, financial condition, and cash flows.</w:t>
      </w:r>
    </w:p>
    <w:p>
      <w:pPr>
        <w:spacing w:after="0" w:line="125"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44" w:lineRule="exact"/>
        <w:rPr>
          <w:sz w:val="20"/>
          <w:szCs w:val="20"/>
          <w:color w:val="auto"/>
        </w:rPr>
      </w:pPr>
    </w:p>
    <w:p>
      <w:pPr>
        <w:ind w:right="400"/>
        <w:spacing w:after="0" w:line="246"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continued success is dependent on positive perceptions of our brands which, if impaired, could adversely affect our results of operations or financial condition.</w:t>
      </w:r>
    </w:p>
    <w:p>
      <w:pPr>
        <w:spacing w:after="0" w:line="168"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the frequency and size of product liability and other claims against us increase, our reputation and business may be harmed.</w:t>
      </w:r>
    </w:p>
    <w:p>
      <w:pPr>
        <w:spacing w:after="0" w:line="168"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We are subject, in the ordinary course of business, to litigation including a variety of warranty, "Lemon Law," and product liability claims typical in the RV and marine industries. Although we have an insurance policy with a $50.0 million limit covering product liability, we are self-insured for the first $1.0 million of product liability claims on a per occurrence basis, with a $2.0 million aggregate per policy year.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3"/>
          <w:szCs w:val="13"/>
          <w:b w:val="1"/>
          <w:bCs w:val="1"/>
          <w:color w:val="auto"/>
        </w:rPr>
        <w:t>We may be subject to information technology system failures, network disruptions, and breaches in data security that could adversely affect our business. In addition, the benefits of our new enterprise resource planning system may not be realized, or we may incur unanticipated costs or delays, which may result in decreased sales, increased overhead costs, excess or obsolete inventory, and product shortages, causing our business, reputation, financial condition, and operating results to suffer.</w:t>
      </w:r>
    </w:p>
    <w:p>
      <w:pPr>
        <w:spacing w:after="0" w:line="136"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60"/>
          </w:cols>
          <w:pgMar w:left="220" w:top="141" w:right="21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46" w:lineRule="exact"/>
        <w:rPr>
          <w:sz w:val="20"/>
          <w:szCs w:val="20"/>
          <w:color w:val="auto"/>
        </w:rPr>
      </w:pPr>
    </w:p>
    <w:p>
      <w:pPr>
        <w:jc w:val="both"/>
        <w:ind w:right="100"/>
        <w:spacing w:after="0" w:line="246" w:lineRule="auto"/>
        <w:rPr>
          <w:sz w:val="20"/>
          <w:szCs w:val="20"/>
          <w:color w:val="auto"/>
        </w:rPr>
      </w:pPr>
      <w:r>
        <w:rPr>
          <w:rFonts w:ascii="Arial" w:cs="Arial" w:eastAsia="Arial" w:hAnsi="Arial"/>
          <w:sz w:val="13"/>
          <w:szCs w:val="13"/>
          <w:color w:val="auto"/>
        </w:rPr>
        <w:t>In addition to our general reliance on information systems, we began implementation of a new enterprise resource planning system at the end of Fiscal 2015. Though we perform planning and testing to reduce risks associated with such a complex, enterprise-wide systems change, failure to meet requirements of the business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128"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b w:val="1"/>
          <w:bCs w:val="1"/>
          <w:color w:val="auto"/>
        </w:rPr>
        <w:t>Failure to prevent or effectively respond to a breach of the security or privacy of our customers', clients', and suppliers' confidential information could expose us to substantial costs and reputational damage, as well as litigation and enforcement actions.</w:t>
      </w:r>
    </w:p>
    <w:p>
      <w:pPr>
        <w:spacing w:after="0" w:line="125" w:lineRule="exact"/>
        <w:rPr>
          <w:sz w:val="20"/>
          <w:szCs w:val="20"/>
          <w:color w:val="auto"/>
        </w:rPr>
      </w:pPr>
    </w:p>
    <w:p>
      <w:pPr>
        <w:ind w:right="40"/>
        <w:spacing w:after="0" w:line="266" w:lineRule="auto"/>
        <w:rPr>
          <w:sz w:val="20"/>
          <w:szCs w:val="20"/>
          <w:color w:val="auto"/>
        </w:rPr>
      </w:pPr>
      <w:r>
        <w:rPr>
          <w:rFonts w:ascii="Arial" w:cs="Arial" w:eastAsia="Arial" w:hAnsi="Arial"/>
          <w:sz w:val="12"/>
          <w:szCs w:val="12"/>
          <w:color w:val="auto"/>
        </w:rPr>
        <w:t>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or the information we are trying to protect.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are subject to certain government regulations that could have a material adverse impact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We are subject to numerous federal, state, and local regulations and the following summarizes some, but not all, of the laws and regulations that apply to us.</w:t>
      </w:r>
    </w:p>
    <w:p>
      <w:pPr>
        <w:spacing w:after="0" w:line="15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147" w:lineRule="exact"/>
        <w:rPr>
          <w:sz w:val="20"/>
          <w:szCs w:val="20"/>
          <w:color w:val="auto"/>
        </w:rPr>
      </w:pPr>
    </w:p>
    <w:p>
      <w:pPr>
        <w:jc w:val="both"/>
        <w:ind w:right="20"/>
        <w:spacing w:after="0" w:line="246" w:lineRule="auto"/>
        <w:rPr>
          <w:sz w:val="20"/>
          <w:szCs w:val="20"/>
          <w:color w:val="auto"/>
        </w:rPr>
      </w:pPr>
      <w:r>
        <w:rPr>
          <w:rFonts w:ascii="Arial" w:cs="Arial" w:eastAsia="Arial" w:hAnsi="Arial"/>
          <w:sz w:val="13"/>
          <w:szCs w:val="13"/>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44" w:lineRule="exact"/>
        <w:rPr>
          <w:sz w:val="20"/>
          <w:szCs w:val="20"/>
          <w:color w:val="auto"/>
        </w:rPr>
      </w:pPr>
    </w:p>
    <w:p>
      <w:pPr>
        <w:ind w:right="600"/>
        <w:spacing w:after="0" w:line="251" w:lineRule="auto"/>
        <w:rPr>
          <w:sz w:val="20"/>
          <w:szCs w:val="20"/>
          <w:color w:val="auto"/>
        </w:rPr>
      </w:pPr>
      <w:r>
        <w:rPr>
          <w:rFonts w:ascii="Arial" w:cs="Arial" w:eastAsia="Arial" w:hAnsi="Arial"/>
          <w:sz w:val="13"/>
          <w:szCs w:val="13"/>
          <w:color w:val="auto"/>
        </w:rPr>
        <w:t>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w:t>
      </w:r>
    </w:p>
    <w:p>
      <w:pPr>
        <w:spacing w:after="0" w:line="140" w:lineRule="exact"/>
        <w:rPr>
          <w:sz w:val="20"/>
          <w:szCs w:val="20"/>
          <w:color w:val="auto"/>
        </w:rPr>
      </w:pPr>
    </w:p>
    <w:p>
      <w:pPr>
        <w:ind w:right="300"/>
        <w:spacing w:after="0" w:line="246" w:lineRule="auto"/>
        <w:rPr>
          <w:sz w:val="20"/>
          <w:szCs w:val="20"/>
          <w:color w:val="auto"/>
        </w:rPr>
      </w:pPr>
      <w:r>
        <w:rPr>
          <w:rFonts w:ascii="Arial" w:cs="Arial" w:eastAsia="Arial" w:hAnsi="Arial"/>
          <w:sz w:val="13"/>
          <w:szCs w:val="13"/>
          <w:color w:val="auto"/>
        </w:rPr>
        <w:t>Finally, federal and state authorities also have various environmental control standards relating to air, water, noise pollution,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Changing climate-related regulations may require us to incur additional costs in order to be in compliance.</w:t>
      </w:r>
    </w:p>
    <w:p>
      <w:pPr>
        <w:spacing w:after="0" w:line="168" w:lineRule="exact"/>
        <w:rPr>
          <w:sz w:val="20"/>
          <w:szCs w:val="20"/>
          <w:color w:val="auto"/>
        </w:rPr>
      </w:pPr>
    </w:p>
    <w:p>
      <w:pPr>
        <w:jc w:val="both"/>
        <w:ind w:right="140"/>
        <w:spacing w:after="0" w:line="246" w:lineRule="auto"/>
        <w:rPr>
          <w:sz w:val="20"/>
          <w:szCs w:val="20"/>
          <w:color w:val="auto"/>
        </w:rPr>
      </w:pPr>
      <w:r>
        <w:rPr>
          <w:rFonts w:ascii="Arial" w:cs="Arial" w:eastAsia="Arial" w:hAnsi="Arial"/>
          <w:sz w:val="13"/>
          <w:szCs w:val="13"/>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40"/>
          </w:cols>
          <w:pgMar w:left="220" w:top="141"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provisions that we are subject to may reduce the ability of a third-party to acquire us, even if beneficial to shareholders.</w:t>
      </w:r>
    </w:p>
    <w:p>
      <w:pPr>
        <w:spacing w:after="0" w:line="168"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Provisions of our articles of incorporation, by-laws, the Iowa Business Corporation Act, and provisions in our credit agreements and certain of our compensation programs that we may enter into from time to time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the Newmar Acquisition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Newmar Acquisition may not be consummated, and if consummated, may not perform as expected.</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Completion of the Newmar Acquisition is subject to a number of risks and uncertainties, and we can provide no assurance that the various closing conditions to the acquisition agreement will be satisfied. To fund the Newmar Acquisition, we have obtained a commitment to fund a Bridge Facility, which is subject to certain conditions; however, we intend to raise the necessary funds to provide permanent financing through a combination of the issuance of equity and debt securities and new debt financing, which is subject to market conditions and other risks and uncertainties. In addition, if we are not able to raise gross proceeds in the amounts contemplated or at all, we may draw funds under the Bridge Facility. The timing, amounts, and terms of any such issuance will depend on market conditions and other factors, and our financing plans may change. There can be no assurance that we will be able to raise the necessary funds on terms we consider favorable, or at all. The inability to complete the Newmar Acquisition, or to obtain permanent financing on terms that are favorable, or at all, could have a material adverse effect on our results of operations, financial condition and prospects.</w:t>
      </w:r>
    </w:p>
    <w:p>
      <w:pPr>
        <w:spacing w:after="0" w:line="147"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The Newmar Acquisition is also subject to other risks and uncertainties, including: (1) the risk that the Newmar Acquisition may not be completed, or completed within the expected timeframe; (2) costs relating to the Newmar Acquisition (including in respect</w:t>
      </w:r>
    </w:p>
    <w:p>
      <w:pPr>
        <w:jc w:val="both"/>
        <w:ind w:right="20"/>
        <w:spacing w:after="0" w:line="245" w:lineRule="auto"/>
        <w:rPr>
          <w:sz w:val="20"/>
          <w:szCs w:val="20"/>
          <w:color w:val="auto"/>
        </w:rPr>
      </w:pPr>
      <w:r>
        <w:rPr>
          <w:rFonts w:ascii="Arial" w:cs="Arial" w:eastAsia="Arial" w:hAnsi="Arial"/>
          <w:sz w:val="13"/>
          <w:szCs w:val="13"/>
          <w:color w:val="auto"/>
        </w:rPr>
        <w:t>of the financing transactions described above) may be greater than expected; and (3) the possibility that the closing conditions in the acquisition agreement will not be satisfied in a timely manner or at all. If the Newmar Acquisition does not close, we may be required to pay a termination fee of $5.0 million. We cannot assure you that the Newmar business will perform as expected, that integration or other one-time costs will not be greater than expected, that we will not incur unforeseen obligations or liabilities, or that the rate of return from such businesses will justify our decision to invest capital to acquire them.</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experience difficulties in integrating the operations of Newmar into our business and in realizing the expected benefits of the Newmar Acquisition.</w:t>
      </w:r>
    </w:p>
    <w:p>
      <w:pPr>
        <w:spacing w:after="0" w:line="168"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The success of the proposed acquisition of Newmar, if completed, will depend in part on our ability to realize the anticipated business opportunities from combining the operations of Newmar with our business in an efficient and effective manner. The integration process could take longer than anticipated and could result in the loss of key employees, the disruption of each company’s ongoing businesses, tax costs or inefficiencies, or inconsistencies in standards, controls, information technology systems, procedures, and policies, any of which could adversely affect our ability to maintain relationships with customers, employees or other third parties, or our ability to achieve the anticipated benefits of the Newmar Acquisition, and could harm our financial performance. If we are unable to successfully or timely integrate the operations of Newmar with our business, we may incur unanticipated liabilities and be unable to realize the revenue growth, synergies, and other anticipated benefits resulting from the Newmar Acquisition, and our business, results of operations, and financial condition could be materially and adversely affected.</w:t>
      </w:r>
    </w:p>
    <w:p>
      <w:pPr>
        <w:spacing w:after="0" w:line="148"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The Newmar Acquisition also involves risks associated with acquisitions and integrating acquired assets into existing operations which could have a material adverse effect on our business, financial condition, results of operations, and cash flows, including, among others:</w:t>
      </w:r>
    </w:p>
    <w:p>
      <w:pPr>
        <w:spacing w:after="0" w:line="140"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to implement our business plan for the combined business;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unanticipated issues in integrating equipment, logistics, information, communications, and other systems;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possible inconsistencies in standards, controls, contracts, procedures, and policies;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impacts of change in control provisions in contracts and agreements;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to retain key customers and suppliers;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unanticipated changes in applicable laws and regulations;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60"/>
          </w:cols>
          <w:pgMar w:left="220" w:top="141" w:right="21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failure to recruit and retain key employees to operate the combined business;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increased competition within the industries in which Newmar operates;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difficulties in managing the expanded operations of a significantly larger and more complex combined company;</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inherent operating risks in the business;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unanticipated issues, expenses, and liabilities;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additional reporting requirements pursuant to applicable rules and regulations;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additional requirements relating to internal control over financial reporting;</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diversion of our senior management’s attention from the management of daily operations to the integration of the assets acquired in the acquisition of Newmar;</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significant unknown and contingent liabilities we incur for which we have limited or no contractual remedies or insurance coverage;</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assets to be acquired failing to perform as well as we anticipate; and</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unexpected costs, delays, and challenges arising from integrating the assets acquired in the Newmar Acquisition</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into our existing operations.</w:t>
      </w:r>
    </w:p>
    <w:p>
      <w:pPr>
        <w:spacing w:after="0" w:line="152" w:lineRule="exact"/>
        <w:rPr>
          <w:sz w:val="20"/>
          <w:szCs w:val="20"/>
          <w:color w:val="auto"/>
        </w:rPr>
      </w:pPr>
    </w:p>
    <w:p>
      <w:pPr>
        <w:ind w:right="100"/>
        <w:spacing w:after="0" w:line="292" w:lineRule="auto"/>
        <w:rPr>
          <w:sz w:val="20"/>
          <w:szCs w:val="20"/>
          <w:color w:val="auto"/>
        </w:rPr>
      </w:pPr>
      <w:r>
        <w:rPr>
          <w:rFonts w:ascii="Arial" w:cs="Arial" w:eastAsia="Arial" w:hAnsi="Arial"/>
          <w:sz w:val="12"/>
          <w:szCs w:val="12"/>
          <w:color w:val="auto"/>
        </w:rPr>
        <w:t>Even if we successfully integrate the assets acquired in the Newmar Acquisition into our operations, it may not be possible to realize the full benefits we anticipate or we may not realize these benefits within the expected time frame. If we fail to realize the benefits we anticipate from the Newmar Acquisition, our business, results of operations, and financial condition may be adversely affected.</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Newmar may have liabilities that are not known, probable, or estimable at this time.</w:t>
      </w:r>
    </w:p>
    <w:p>
      <w:pPr>
        <w:spacing w:after="0" w:line="168" w:lineRule="exact"/>
        <w:rPr>
          <w:sz w:val="20"/>
          <w:szCs w:val="20"/>
          <w:color w:val="auto"/>
        </w:rPr>
      </w:pPr>
    </w:p>
    <w:p>
      <w:pPr>
        <w:ind w:right="400"/>
        <w:spacing w:after="0" w:line="246" w:lineRule="auto"/>
        <w:rPr>
          <w:sz w:val="20"/>
          <w:szCs w:val="20"/>
          <w:color w:val="auto"/>
        </w:rPr>
      </w:pPr>
      <w:r>
        <w:rPr>
          <w:rFonts w:ascii="Arial" w:cs="Arial" w:eastAsia="Arial" w:hAnsi="Arial"/>
          <w:sz w:val="13"/>
          <w:szCs w:val="13"/>
          <w:color w:val="auto"/>
        </w:rPr>
        <w:t>As a result of the Newmar Acquisition, Newmar will become our subsidiary and it will remain subject to all of its liabilities. There could be unasserted claims or assessments that we failed or were unable to discover or identify in the course of performing due diligence investigations of Newmar. In addition, there may be liabilities that are neither probable nor estimable at this time that may become probable or estimable in the future. Any such liabilities, individually or in the aggregate, could have a material adverse effect on our financial results.</w:t>
      </w:r>
    </w:p>
    <w:p>
      <w:pPr>
        <w:spacing w:after="0" w:line="144"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Additionally, Newmar is subject to various rules, regulations, laws, and other legal requirements, enforced by governments or other public authorities. Misconduct, fraud, non-compliance with applicable laws and regulations, or other improper activities by any of Newmar’s directors, officers, employees, or agents could have a significant impact on Newmar’s business and reputation and could subject Newmar to fines and penalties and criminal, civil, and administrative legal sanctions, resulting in reduced revenues and profits.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will incur significant transaction costs and merger-related integration costs in connection with the Newmar Acquisition.</w:t>
      </w:r>
    </w:p>
    <w:p>
      <w:pPr>
        <w:spacing w:after="0" w:line="168" w:lineRule="exact"/>
        <w:rPr>
          <w:sz w:val="20"/>
          <w:szCs w:val="20"/>
          <w:color w:val="auto"/>
        </w:rPr>
      </w:pPr>
    </w:p>
    <w:p>
      <w:pPr>
        <w:ind w:right="320"/>
        <w:spacing w:after="0" w:line="251" w:lineRule="auto"/>
        <w:rPr>
          <w:sz w:val="20"/>
          <w:szCs w:val="20"/>
          <w:color w:val="auto"/>
        </w:rPr>
      </w:pPr>
      <w:r>
        <w:rPr>
          <w:rFonts w:ascii="Arial" w:cs="Arial" w:eastAsia="Arial" w:hAnsi="Arial"/>
          <w:sz w:val="13"/>
          <w:szCs w:val="13"/>
          <w:color w:val="auto"/>
        </w:rPr>
        <w:t>We will incur significant costs in connection with the Newmar Acquisition. The substantial majority of these costs will be non-recurring expenses related to the acquisition. In addition, we may incur additional costs in the integration of Newmar's business and may not achieve cost synergies and other benefits sufficient to offset the incremental costs of the Newmar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Newmar Acquisition may significantly increase our goodwill and other intangible assets.</w:t>
      </w:r>
    </w:p>
    <w:p>
      <w:pPr>
        <w:spacing w:after="0" w:line="168" w:lineRule="exact"/>
        <w:rPr>
          <w:sz w:val="20"/>
          <w:szCs w:val="20"/>
          <w:color w:val="auto"/>
        </w:rPr>
      </w:pPr>
    </w:p>
    <w:p>
      <w:pPr>
        <w:ind w:right="140"/>
        <w:spacing w:after="0" w:line="246" w:lineRule="auto"/>
        <w:rPr>
          <w:sz w:val="20"/>
          <w:szCs w:val="20"/>
          <w:color w:val="auto"/>
        </w:rPr>
      </w:pPr>
      <w:r>
        <w:rPr>
          <w:rFonts w:ascii="Arial" w:cs="Arial" w:eastAsia="Arial" w:hAnsi="Arial"/>
          <w:sz w:val="13"/>
          <w:szCs w:val="13"/>
          <w:color w:val="auto"/>
        </w:rPr>
        <w:t>We have a significant amount, and following the Newmar Acquisition we expect to have an additional amount, of goodwill and other intangible assets on our consolidated financial statements that are subject to impairment based upon future adverse changes in our business or prospects. The impairment of any goodwill and other intangible assets may have a negative impact on our consolidated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Newmar Acquisition may not achieve its intended results, including anticipated investment opportunities and earnings growth.</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Although we expect the Newmar Acquisition to result in various benefits, we cannot assure you regarding when or the extent to which we will be able to realize these or other benefits. Achieving the anticipated benefits, is subject to a number of uncertainties, including whether the businesses acquired can be operated in the manner we intend and whether our costs to finance the Newmar Acquisition will be consistent with our expectations. Events outside of our control, including but not limited to regulatory changes or developments, could also adversely affect our ability to realize the anticipated benefits from the Newmar Acquisition. Thus, the integration of Newmar may be unpredictable, subject to delays, or changed circumstances, and we cannot assure you that Newmar will perform in accordance with our expectations or that our expectations with respect to the Newmar Acquisition will be achieved. While we expect the Newmar Acquisition to be accretive in the first year following the Newmar Acquisition, excluding transaction-related amortization and one-time costs, we cannot assure you that the Newmar Acquisition will be accretive to the extent we anticipate or at all. In addition, we cannot assure you that the Acquisition will result in higher operating or EBITDA margins, less cyclicality in our business, greater cash flow predictability, or that the Newmar Acquisition will lead to the return on invested capital currently anticipated. We cannot assure you that we will be able to drive further operating improvements to Newmar’s business, improve or expand Newmar’s operating or EBITDA margins, or be able to grow Newmar’s business, revenues, or profitability.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60"/>
          </w:cols>
          <w:pgMar w:left="220" w:top="141" w:right="21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30" w:lineRule="exact"/>
        <w:rPr>
          <w:sz w:val="20"/>
          <w:szCs w:val="20"/>
          <w:color w:val="auto"/>
        </w:rPr>
      </w:pPr>
    </w:p>
    <w:p>
      <w:pPr>
        <w:ind w:right="380"/>
        <w:spacing w:after="0" w:line="276" w:lineRule="auto"/>
        <w:rPr>
          <w:sz w:val="20"/>
          <w:szCs w:val="20"/>
          <w:color w:val="auto"/>
        </w:rPr>
      </w:pPr>
      <w:r>
        <w:rPr>
          <w:rFonts w:ascii="Arial" w:cs="Arial" w:eastAsia="Arial" w:hAnsi="Arial"/>
          <w:sz w:val="13"/>
          <w:szCs w:val="13"/>
          <w:b w:val="1"/>
          <w:bCs w:val="1"/>
          <w:color w:val="auto"/>
        </w:rPr>
        <w:t>Integrating Newmar’s business into our business may divert management’s attention away from operations, and we may also encounter significant difficulties in integrating the two businesses.</w:t>
      </w:r>
    </w:p>
    <w:p>
      <w:pPr>
        <w:spacing w:after="0" w:line="125" w:lineRule="exact"/>
        <w:rPr>
          <w:sz w:val="20"/>
          <w:szCs w:val="20"/>
          <w:color w:val="auto"/>
        </w:rPr>
      </w:pPr>
    </w:p>
    <w:p>
      <w:pPr>
        <w:jc w:val="both"/>
        <w:ind w:right="4540"/>
        <w:spacing w:after="0" w:line="262" w:lineRule="auto"/>
        <w:rPr>
          <w:sz w:val="20"/>
          <w:szCs w:val="20"/>
          <w:color w:val="auto"/>
        </w:rPr>
      </w:pPr>
      <w:r>
        <w:rPr>
          <w:rFonts w:ascii="Arial" w:cs="Arial" w:eastAsia="Arial" w:hAnsi="Arial"/>
          <w:sz w:val="12"/>
          <w:szCs w:val="12"/>
          <w:color w:val="auto"/>
        </w:rPr>
        <w:t>The Newmar Acquisition involve, among other things, the integration into our business platform of Newmar. The success of the Newmar Acquisition and its anticipated financial and operational benefits, including increased revenues, synergies,</w:t>
      </w:r>
    </w:p>
    <w:p>
      <w:pPr>
        <w:ind w:right="80"/>
        <w:spacing w:after="0" w:line="251" w:lineRule="auto"/>
        <w:rPr>
          <w:sz w:val="20"/>
          <w:szCs w:val="20"/>
          <w:color w:val="auto"/>
        </w:rPr>
      </w:pPr>
      <w:r>
        <w:rPr>
          <w:rFonts w:ascii="Arial" w:cs="Arial" w:eastAsia="Arial" w:hAnsi="Arial"/>
          <w:sz w:val="13"/>
          <w:szCs w:val="13"/>
          <w:color w:val="auto"/>
        </w:rPr>
        <w:t>and cost savings, will depend in part on our ability to successfully combine and integrate Newmar’s business into ours, and there can be no assurance regarding when or the extent to which we will be able to realize these increased revenues, synergies, cost savings, or other benefits. These benefits may not be achieved within the anticipated time frame, or at all.</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Successful integration of Newmar’s operations, products and personnel may place a significant burden on management and other internal resources. The diversion of management’s attention, and any difficulties encountered in the transition and integration process, could harm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222" w:lineRule="exact"/>
        <w:rPr>
          <w:sz w:val="20"/>
          <w:szCs w:val="20"/>
          <w:color w:val="auto"/>
        </w:rPr>
      </w:pPr>
    </w:p>
    <w:p>
      <w:pPr>
        <w:ind w:right="320"/>
        <w:spacing w:after="0" w:line="285" w:lineRule="auto"/>
        <w:rPr>
          <w:sz w:val="20"/>
          <w:szCs w:val="20"/>
          <w:color w:val="auto"/>
        </w:rPr>
      </w:pPr>
      <w:r>
        <w:rPr>
          <w:rFonts w:ascii="Arial" w:cs="Arial" w:eastAsia="Arial" w:hAnsi="Arial"/>
          <w:sz w:val="13"/>
          <w:szCs w:val="13"/>
          <w:color w:val="auto"/>
        </w:rPr>
        <w:t>Our principal manufacturing, maintenance, and service operations are conducted in multi-building complexes owned or leased by us. The following sets forth our material facilities as of August 31, 2019: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235"/>
              <w:spacing w:after="0"/>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Owned or</w:t>
            </w:r>
          </w:p>
        </w:tc>
        <w:tc>
          <w:tcPr>
            <w:tcW w:w="1240" w:type="dxa"/>
            <w:vAlign w:val="bottom"/>
          </w:tcPr>
          <w:p>
            <w:pPr>
              <w:jc w:val="right"/>
              <w:ind w:right="335"/>
              <w:spacing w:after="0"/>
              <w:rPr>
                <w:sz w:val="20"/>
                <w:szCs w:val="20"/>
                <w:color w:val="auto"/>
              </w:rPr>
            </w:pPr>
            <w:r>
              <w:rPr>
                <w:rFonts w:ascii="Arial" w:cs="Arial" w:eastAsia="Arial" w:hAnsi="Arial"/>
                <w:sz w:val="13"/>
                <w:szCs w:val="13"/>
                <w:b w:val="1"/>
                <w:bCs w:val="1"/>
                <w:color w:val="auto"/>
              </w:rPr>
              <w:t>Square</w:t>
            </w:r>
          </w:p>
        </w:tc>
      </w:tr>
      <w:tr>
        <w:trPr>
          <w:trHeight w:val="179"/>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Facility Type/Use</w:t>
            </w:r>
          </w:p>
        </w:tc>
        <w:tc>
          <w:tcPr>
            <w:tcW w:w="12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Reportable Segment</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97"/>
              </w:rPr>
              <w:t>Buildings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Leased</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Footage</w:t>
            </w:r>
          </w:p>
        </w:tc>
      </w:tr>
      <w:tr>
        <w:trPr>
          <w:trHeight w:val="203"/>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Charles City, IA</w:t>
            </w:r>
          </w:p>
        </w:tc>
        <w:tc>
          <w:tcPr>
            <w:tcW w:w="3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Manufacturing</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Motorhome</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Owned</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161,000</w:t>
            </w:r>
          </w:p>
        </w:tc>
      </w:tr>
      <w:tr>
        <w:trPr>
          <w:trHeight w:val="174"/>
        </w:trPr>
        <w:tc>
          <w:tcPr>
            <w:tcW w:w="1500" w:type="dxa"/>
            <w:vAlign w:val="bottom"/>
          </w:tcPr>
          <w:p>
            <w:pPr>
              <w:spacing w:after="0"/>
              <w:rPr>
                <w:sz w:val="15"/>
                <w:szCs w:val="15"/>
                <w:color w:val="auto"/>
              </w:rPr>
            </w:pPr>
          </w:p>
        </w:tc>
        <w:tc>
          <w:tcPr>
            <w:tcW w:w="3680" w:type="dxa"/>
            <w:vAlign w:val="bottom"/>
            <w:gridSpan w:val="2"/>
          </w:tcPr>
          <w:p>
            <w:pPr>
              <w:ind w:left="480"/>
              <w:spacing w:after="0"/>
              <w:rPr>
                <w:sz w:val="20"/>
                <w:szCs w:val="20"/>
                <w:color w:val="auto"/>
              </w:rPr>
            </w:pPr>
            <w:r>
              <w:rPr>
                <w:rFonts w:ascii="Arial" w:cs="Arial" w:eastAsia="Arial" w:hAnsi="Arial"/>
                <w:sz w:val="13"/>
                <w:szCs w:val="13"/>
                <w:color w:val="auto"/>
              </w:rPr>
              <w:t>Manufacturing, warehouse, maintenance, service,</w:t>
            </w: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3"/>
        </w:trPr>
        <w:tc>
          <w:tcPr>
            <w:tcW w:w="1500" w:type="dxa"/>
            <w:vAlign w:val="bottom"/>
          </w:tcPr>
          <w:p>
            <w:pPr>
              <w:ind w:left="20"/>
              <w:spacing w:after="0"/>
              <w:rPr>
                <w:sz w:val="20"/>
                <w:szCs w:val="20"/>
                <w:color w:val="auto"/>
              </w:rPr>
            </w:pPr>
            <w:r>
              <w:rPr>
                <w:rFonts w:ascii="Arial" w:cs="Arial" w:eastAsia="Arial" w:hAnsi="Arial"/>
                <w:sz w:val="13"/>
                <w:szCs w:val="13"/>
                <w:color w:val="auto"/>
              </w:rPr>
              <w:t>Forest City, IA</w:t>
            </w:r>
          </w:p>
        </w:tc>
        <w:tc>
          <w:tcPr>
            <w:tcW w:w="3680" w:type="dxa"/>
            <w:vAlign w:val="bottom"/>
            <w:gridSpan w:val="2"/>
          </w:tcPr>
          <w:p>
            <w:pPr>
              <w:ind w:left="480"/>
              <w:spacing w:after="0"/>
              <w:rPr>
                <w:sz w:val="20"/>
                <w:szCs w:val="20"/>
                <w:color w:val="auto"/>
              </w:rPr>
            </w:pPr>
            <w:r>
              <w:rPr>
                <w:rFonts w:ascii="Arial" w:cs="Arial" w:eastAsia="Arial" w:hAnsi="Arial"/>
                <w:sz w:val="13"/>
                <w:szCs w:val="13"/>
                <w:color w:val="auto"/>
              </w:rPr>
              <w:t>and office</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rPr>
              <w:t>Motorhome</w:t>
            </w:r>
          </w:p>
        </w:tc>
        <w:tc>
          <w:tcPr>
            <w:tcW w:w="960" w:type="dxa"/>
            <w:vAlign w:val="bottom"/>
          </w:tcPr>
          <w:p>
            <w:pPr>
              <w:spacing w:after="0"/>
              <w:rPr>
                <w:sz w:val="14"/>
                <w:szCs w:val="14"/>
                <w:color w:val="auto"/>
              </w:rPr>
            </w:pPr>
          </w:p>
        </w:tc>
        <w:tc>
          <w:tcPr>
            <w:tcW w:w="300" w:type="dxa"/>
            <w:vAlign w:val="bottom"/>
          </w:tcPr>
          <w:p>
            <w:pPr>
              <w:jc w:val="right"/>
              <w:ind w:right="55"/>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Owned</w:t>
            </w: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2,005,000</w:t>
            </w: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Forest City, IA</w:t>
            </w:r>
          </w:p>
        </w:tc>
        <w:tc>
          <w:tcPr>
            <w:tcW w:w="3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Warehouse</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Motorhome</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Leased</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1,000</w:t>
            </w:r>
          </w:p>
        </w:tc>
      </w:tr>
      <w:tr>
        <w:trPr>
          <w:trHeight w:val="208"/>
        </w:trPr>
        <w:tc>
          <w:tcPr>
            <w:tcW w:w="1500" w:type="dxa"/>
            <w:vAlign w:val="bottom"/>
          </w:tcPr>
          <w:p>
            <w:pPr>
              <w:ind w:left="20"/>
              <w:spacing w:after="0"/>
              <w:rPr>
                <w:sz w:val="20"/>
                <w:szCs w:val="20"/>
                <w:color w:val="auto"/>
              </w:rPr>
            </w:pPr>
            <w:r>
              <w:rPr>
                <w:rFonts w:ascii="Arial" w:cs="Arial" w:eastAsia="Arial" w:hAnsi="Arial"/>
                <w:sz w:val="13"/>
                <w:szCs w:val="13"/>
                <w:color w:val="auto"/>
              </w:rPr>
              <w:t>Lake Mills, IA</w:t>
            </w:r>
          </w:p>
        </w:tc>
        <w:tc>
          <w:tcPr>
            <w:tcW w:w="3680" w:type="dxa"/>
            <w:vAlign w:val="bottom"/>
            <w:gridSpan w:val="2"/>
          </w:tcPr>
          <w:p>
            <w:pPr>
              <w:ind w:left="480"/>
              <w:spacing w:after="0"/>
              <w:rPr>
                <w:sz w:val="20"/>
                <w:szCs w:val="20"/>
                <w:color w:val="auto"/>
              </w:rPr>
            </w:pPr>
            <w:r>
              <w:rPr>
                <w:rFonts w:ascii="Arial" w:cs="Arial" w:eastAsia="Arial" w:hAnsi="Arial"/>
                <w:sz w:val="13"/>
                <w:szCs w:val="13"/>
                <w:color w:val="auto"/>
              </w:rPr>
              <w:t>Manufacturing</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rPr>
              <w:t>Motorhome</w:t>
            </w:r>
          </w:p>
        </w:tc>
        <w:tc>
          <w:tcPr>
            <w:tcW w:w="960" w:type="dxa"/>
            <w:vAlign w:val="bottom"/>
          </w:tcPr>
          <w:p>
            <w:pPr>
              <w:spacing w:after="0"/>
              <w:rPr>
                <w:sz w:val="18"/>
                <w:szCs w:val="18"/>
                <w:color w:val="auto"/>
              </w:rPr>
            </w:pPr>
          </w:p>
        </w:tc>
        <w:tc>
          <w:tcPr>
            <w:tcW w:w="30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Owned</w:t>
            </w: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99,000</w:t>
            </w: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Waverly, IA</w:t>
            </w:r>
          </w:p>
        </w:tc>
        <w:tc>
          <w:tcPr>
            <w:tcW w:w="3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Manufacturing</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Motorhome</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Owned</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33,000</w:t>
            </w:r>
          </w:p>
        </w:tc>
      </w:tr>
      <w:tr>
        <w:trPr>
          <w:trHeight w:val="208"/>
        </w:trPr>
        <w:tc>
          <w:tcPr>
            <w:tcW w:w="1500" w:type="dxa"/>
            <w:vAlign w:val="bottom"/>
          </w:tcPr>
          <w:p>
            <w:pPr>
              <w:ind w:left="20"/>
              <w:spacing w:after="0"/>
              <w:rPr>
                <w:sz w:val="20"/>
                <w:szCs w:val="20"/>
                <w:color w:val="auto"/>
              </w:rPr>
            </w:pPr>
            <w:r>
              <w:rPr>
                <w:rFonts w:ascii="Arial" w:cs="Arial" w:eastAsia="Arial" w:hAnsi="Arial"/>
                <w:sz w:val="13"/>
                <w:szCs w:val="13"/>
                <w:color w:val="auto"/>
              </w:rPr>
              <w:t>Junction City, OR</w:t>
            </w:r>
          </w:p>
        </w:tc>
        <w:tc>
          <w:tcPr>
            <w:tcW w:w="3680" w:type="dxa"/>
            <w:vAlign w:val="bottom"/>
            <w:gridSpan w:val="2"/>
          </w:tcPr>
          <w:p>
            <w:pPr>
              <w:ind w:left="480"/>
              <w:spacing w:after="0"/>
              <w:rPr>
                <w:sz w:val="20"/>
                <w:szCs w:val="20"/>
                <w:color w:val="auto"/>
              </w:rPr>
            </w:pPr>
            <w:r>
              <w:rPr>
                <w:rFonts w:ascii="Arial" w:cs="Arial" w:eastAsia="Arial" w:hAnsi="Arial"/>
                <w:sz w:val="13"/>
                <w:szCs w:val="13"/>
                <w:color w:val="auto"/>
              </w:rPr>
              <w:t>Manufacturing, service, and office</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rPr>
              <w:t>Motorhome</w:t>
            </w:r>
          </w:p>
        </w:tc>
        <w:tc>
          <w:tcPr>
            <w:tcW w:w="960" w:type="dxa"/>
            <w:vAlign w:val="bottom"/>
          </w:tcPr>
          <w:p>
            <w:pPr>
              <w:spacing w:after="0"/>
              <w:rPr>
                <w:sz w:val="18"/>
                <w:szCs w:val="18"/>
                <w:color w:val="auto"/>
              </w:rPr>
            </w:pPr>
          </w:p>
        </w:tc>
        <w:tc>
          <w:tcPr>
            <w:tcW w:w="300" w:type="dxa"/>
            <w:vAlign w:val="bottom"/>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Owned</w:t>
            </w: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305,000</w:t>
            </w: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Middlebury, IN</w:t>
            </w:r>
          </w:p>
        </w:tc>
        <w:tc>
          <w:tcPr>
            <w:tcW w:w="3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Manufacturing and office</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Towable</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Owned</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449,000</w:t>
            </w:r>
          </w:p>
        </w:tc>
      </w:tr>
      <w:tr>
        <w:trPr>
          <w:trHeight w:val="208"/>
        </w:trPr>
        <w:tc>
          <w:tcPr>
            <w:tcW w:w="1500" w:type="dxa"/>
            <w:vAlign w:val="bottom"/>
          </w:tcPr>
          <w:p>
            <w:pPr>
              <w:ind w:left="20"/>
              <w:spacing w:after="0"/>
              <w:rPr>
                <w:sz w:val="20"/>
                <w:szCs w:val="20"/>
                <w:color w:val="auto"/>
              </w:rPr>
            </w:pPr>
            <w:r>
              <w:rPr>
                <w:rFonts w:ascii="Arial" w:cs="Arial" w:eastAsia="Arial" w:hAnsi="Arial"/>
                <w:sz w:val="13"/>
                <w:szCs w:val="13"/>
                <w:color w:val="auto"/>
              </w:rPr>
              <w:t>Middlebury, IN</w:t>
            </w:r>
          </w:p>
        </w:tc>
        <w:tc>
          <w:tcPr>
            <w:tcW w:w="3680" w:type="dxa"/>
            <w:vAlign w:val="bottom"/>
            <w:gridSpan w:val="2"/>
          </w:tcPr>
          <w:p>
            <w:pPr>
              <w:ind w:left="480"/>
              <w:spacing w:after="0"/>
              <w:rPr>
                <w:sz w:val="20"/>
                <w:szCs w:val="20"/>
                <w:color w:val="auto"/>
              </w:rPr>
            </w:pPr>
            <w:r>
              <w:rPr>
                <w:rFonts w:ascii="Arial" w:cs="Arial" w:eastAsia="Arial" w:hAnsi="Arial"/>
                <w:sz w:val="13"/>
                <w:szCs w:val="13"/>
                <w:color w:val="auto"/>
              </w:rPr>
              <w:t>Manufacturing, service, and office</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Towable</w:t>
            </w:r>
          </w:p>
        </w:tc>
        <w:tc>
          <w:tcPr>
            <w:tcW w:w="960" w:type="dxa"/>
            <w:vAlign w:val="bottom"/>
          </w:tcPr>
          <w:p>
            <w:pPr>
              <w:spacing w:after="0"/>
              <w:rPr>
                <w:sz w:val="18"/>
                <w:szCs w:val="18"/>
                <w:color w:val="auto"/>
              </w:rPr>
            </w:pPr>
          </w:p>
        </w:tc>
        <w:tc>
          <w:tcPr>
            <w:tcW w:w="300" w:type="dxa"/>
            <w:vAlign w:val="bottom"/>
          </w:tcPr>
          <w:p>
            <w:pPr>
              <w:jc w:val="right"/>
              <w:ind w:right="55"/>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rPr>
              <w:t>Leased</w:t>
            </w: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995,000</w:t>
            </w: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Bristol, IN</w:t>
            </w:r>
          </w:p>
        </w:tc>
        <w:tc>
          <w:tcPr>
            <w:tcW w:w="3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Manufacturing and maintenance</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Towable</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Leased</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50,000</w:t>
            </w:r>
          </w:p>
        </w:tc>
      </w:tr>
      <w:tr>
        <w:trPr>
          <w:trHeight w:val="208"/>
        </w:trPr>
        <w:tc>
          <w:tcPr>
            <w:tcW w:w="1500" w:type="dxa"/>
            <w:vAlign w:val="bottom"/>
          </w:tcPr>
          <w:p>
            <w:pPr>
              <w:ind w:left="20"/>
              <w:spacing w:after="0"/>
              <w:rPr>
                <w:sz w:val="20"/>
                <w:szCs w:val="20"/>
                <w:color w:val="auto"/>
              </w:rPr>
            </w:pPr>
            <w:r>
              <w:rPr>
                <w:rFonts w:ascii="Arial" w:cs="Arial" w:eastAsia="Arial" w:hAnsi="Arial"/>
                <w:sz w:val="13"/>
                <w:szCs w:val="13"/>
                <w:color w:val="auto"/>
              </w:rPr>
              <w:t>Sarasota, FL</w:t>
            </w:r>
          </w:p>
        </w:tc>
        <w:tc>
          <w:tcPr>
            <w:tcW w:w="3680" w:type="dxa"/>
            <w:vAlign w:val="bottom"/>
            <w:gridSpan w:val="2"/>
          </w:tcPr>
          <w:p>
            <w:pPr>
              <w:ind w:left="480"/>
              <w:spacing w:after="0"/>
              <w:rPr>
                <w:sz w:val="20"/>
                <w:szCs w:val="20"/>
                <w:color w:val="auto"/>
              </w:rPr>
            </w:pPr>
            <w:r>
              <w:rPr>
                <w:rFonts w:ascii="Arial" w:cs="Arial" w:eastAsia="Arial" w:hAnsi="Arial"/>
                <w:sz w:val="13"/>
                <w:szCs w:val="13"/>
                <w:color w:val="auto"/>
              </w:rPr>
              <w:t>Manufacturing, warehouse, and office</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Corporate / All Other</w:t>
            </w:r>
          </w:p>
        </w:tc>
        <w:tc>
          <w:tcPr>
            <w:tcW w:w="960" w:type="dxa"/>
            <w:vAlign w:val="bottom"/>
          </w:tcPr>
          <w:p>
            <w:pPr>
              <w:spacing w:after="0"/>
              <w:rPr>
                <w:sz w:val="18"/>
                <w:szCs w:val="18"/>
                <w:color w:val="auto"/>
              </w:rPr>
            </w:pPr>
          </w:p>
        </w:tc>
        <w:tc>
          <w:tcPr>
            <w:tcW w:w="30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Owned</w:t>
            </w: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136,000</w:t>
            </w:r>
          </w:p>
        </w:tc>
      </w:tr>
      <w:tr>
        <w:trPr>
          <w:trHeight w:val="216"/>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Eden Prairie, MN</w:t>
            </w:r>
          </w:p>
        </w:tc>
        <w:tc>
          <w:tcPr>
            <w:tcW w:w="3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Office</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Corporate / All Other</w:t>
            </w:r>
          </w:p>
        </w:tc>
        <w:tc>
          <w:tcPr>
            <w:tcW w:w="9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Leased</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30,000</w:t>
            </w:r>
          </w:p>
        </w:tc>
      </w:tr>
      <w:tr>
        <w:trPr>
          <w:trHeight w:val="185"/>
        </w:trPr>
        <w:tc>
          <w:tcPr>
            <w:tcW w:w="1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4,264,000</w:t>
            </w:r>
          </w:p>
        </w:tc>
      </w:tr>
      <w:tr>
        <w:trPr>
          <w:trHeight w:val="20"/>
        </w:trPr>
        <w:tc>
          <w:tcPr>
            <w:tcW w:w="1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right="460"/>
        <w:spacing w:after="0" w:line="289" w:lineRule="auto"/>
        <w:rPr>
          <w:sz w:val="20"/>
          <w:szCs w:val="20"/>
          <w:color w:val="auto"/>
        </w:rPr>
      </w:pPr>
      <w:r>
        <w:rPr>
          <w:rFonts w:ascii="Arial" w:cs="Arial" w:eastAsia="Arial" w:hAnsi="Arial"/>
          <w:sz w:val="11"/>
          <w:szCs w:val="11"/>
          <w:color w:val="auto"/>
        </w:rPr>
        <w:t xml:space="preserve">Refer to Note 11, </w:t>
      </w:r>
      <w:r>
        <w:rPr>
          <w:rFonts w:ascii="Arial" w:cs="Arial" w:eastAsia="Arial" w:hAnsi="Arial"/>
          <w:sz w:val="11"/>
          <w:szCs w:val="11"/>
          <w:i w:val="1"/>
          <w:iCs w:val="1"/>
          <w:color w:val="auto"/>
        </w:rPr>
        <w:t>Contingent Liabilities and Commitments</w:t>
      </w:r>
      <w:r>
        <w:rPr>
          <w:rFonts w:ascii="Arial" w:cs="Arial" w:eastAsia="Arial" w:hAnsi="Arial"/>
          <w:sz w:val="11"/>
          <w:szCs w:val="11"/>
          <w:color w:val="auto"/>
        </w:rPr>
        <w:t xml:space="preserve">, of the Notes to Consolidated Financial Statements, included in Item 8, </w:t>
      </w:r>
      <w:r>
        <w:rPr>
          <w:rFonts w:ascii="Arial" w:cs="Arial" w:eastAsia="Arial" w:hAnsi="Arial"/>
          <w:sz w:val="11"/>
          <w:szCs w:val="11"/>
          <w:i w:val="1"/>
          <w:iCs w:val="1"/>
          <w:color w:val="auto"/>
        </w:rPr>
        <w:t>Financial Statements and Supplementary Data</w:t>
      </w:r>
      <w:r>
        <w:rPr>
          <w:rFonts w:ascii="Arial" w:cs="Arial" w:eastAsia="Arial" w:hAnsi="Arial"/>
          <w:sz w:val="11"/>
          <w:szCs w:val="11"/>
          <w:color w:val="auto"/>
        </w:rPr>
        <w:t>, of this Annual Report on Form 10-K for additional information on our leases.</w:t>
      </w:r>
    </w:p>
    <w:p>
      <w:pPr>
        <w:spacing w:after="0" w:line="93"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Most of our buildings are of steel or steel and concrete construction and are protected from fire with high</w:t>
      </w:r>
      <w:r>
        <w:rPr>
          <w:rFonts w:ascii="MS PGothic" w:cs="MS PGothic" w:eastAsia="MS PGothic" w:hAnsi="MS PGothic"/>
          <w:sz w:val="13"/>
          <w:szCs w:val="13"/>
          <w:color w:val="auto"/>
        </w:rPr>
        <w:t>‑</w:t>
      </w:r>
      <w:r>
        <w:rPr>
          <w:rFonts w:ascii="Arial" w:cs="Arial" w:eastAsia="Arial" w:hAnsi="Arial"/>
          <w:sz w:val="13"/>
          <w:szCs w:val="13"/>
          <w:color w:val="auto"/>
        </w:rPr>
        <w:t>pressure sprinkler systems, dust collector systems, automatic fire doors, and alarm systems.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our facilities and equipment are well maintained and suitable for the purposes for which they are intended.</w:t>
      </w:r>
    </w:p>
    <w:p>
      <w:pPr>
        <w:spacing w:after="0" w:line="138" w:lineRule="exact"/>
        <w:rPr>
          <w:sz w:val="20"/>
          <w:szCs w:val="20"/>
          <w:color w:val="auto"/>
        </w:rPr>
      </w:pPr>
    </w:p>
    <w:p>
      <w:pPr>
        <w:ind w:right="200"/>
        <w:spacing w:after="0" w:line="273" w:lineRule="auto"/>
        <w:rPr>
          <w:sz w:val="20"/>
          <w:szCs w:val="20"/>
          <w:color w:val="auto"/>
        </w:rPr>
      </w:pPr>
      <w:r>
        <w:rPr>
          <w:rFonts w:ascii="Arial" w:cs="Arial" w:eastAsia="Arial" w:hAnsi="Arial"/>
          <w:sz w:val="13"/>
          <w:szCs w:val="13"/>
          <w:color w:val="auto"/>
        </w:rPr>
        <w:t xml:space="preserve">Under terms of our Credit Agreement, we have encumbered substantially all of our real property for the benefit of the lenders under those facilities. For additional information, see Note 9, </w:t>
      </w:r>
      <w:r>
        <w:rPr>
          <w:rFonts w:ascii="Arial" w:cs="Arial" w:eastAsia="Arial" w:hAnsi="Arial"/>
          <w:sz w:val="13"/>
          <w:szCs w:val="13"/>
          <w:i w:val="1"/>
          <w:iCs w:val="1"/>
          <w:color w:val="auto"/>
        </w:rPr>
        <w:t>Long-Term</w:t>
      </w:r>
      <w:r>
        <w:rPr>
          <w:rFonts w:ascii="Arial" w:cs="Arial" w:eastAsia="Arial" w:hAnsi="Arial"/>
          <w:sz w:val="13"/>
          <w:szCs w:val="13"/>
          <w:color w:val="auto"/>
        </w:rPr>
        <w:t xml:space="preserve"> </w:t>
      </w:r>
      <w:r>
        <w:rPr>
          <w:rFonts w:ascii="Arial" w:cs="Arial" w:eastAsia="Arial" w:hAnsi="Arial"/>
          <w:sz w:val="13"/>
          <w:szCs w:val="13"/>
          <w:i w:val="1"/>
          <w:iCs w:val="1"/>
          <w:color w:val="auto"/>
        </w:rPr>
        <w:t>Debt</w:t>
      </w:r>
      <w:r>
        <w:rPr>
          <w:rFonts w:ascii="Arial" w:cs="Arial" w:eastAsia="Arial" w:hAnsi="Arial"/>
          <w:sz w:val="13"/>
          <w:szCs w:val="13"/>
          <w:color w:val="auto"/>
        </w:rPr>
        <w:t>, of the Notes to Consolidated Financial Statements, included in Item 8,</w:t>
      </w:r>
      <w:r>
        <w:rPr>
          <w:rFonts w:ascii="Arial" w:cs="Arial" w:eastAsia="Arial" w:hAnsi="Arial"/>
          <w:sz w:val="13"/>
          <w:szCs w:val="13"/>
          <w:i w:val="1"/>
          <w:iCs w:val="1"/>
          <w:color w:val="auto"/>
        </w:rPr>
        <w:t xml:space="preserve"> Financial Statements and Supplementary Data</w:t>
      </w:r>
      <w:r>
        <w:rPr>
          <w:rFonts w:ascii="Arial" w:cs="Arial" w:eastAsia="Arial" w:hAnsi="Arial"/>
          <w:sz w:val="13"/>
          <w:szCs w:val="13"/>
          <w:color w:val="auto"/>
        </w:rPr>
        <w:t>, of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Legal Proceedings.</w:t>
      </w:r>
    </w:p>
    <w:p>
      <w:pPr>
        <w:spacing w:after="0" w:line="154" w:lineRule="exact"/>
        <w:rPr>
          <w:sz w:val="20"/>
          <w:szCs w:val="20"/>
          <w:color w:val="auto"/>
        </w:rPr>
      </w:pPr>
    </w:p>
    <w:p>
      <w:pPr>
        <w:ind w:right="400"/>
        <w:spacing w:after="0" w:line="273" w:lineRule="auto"/>
        <w:rPr>
          <w:sz w:val="20"/>
          <w:szCs w:val="20"/>
          <w:color w:val="auto"/>
        </w:rPr>
      </w:pPr>
      <w:r>
        <w:rPr>
          <w:rFonts w:ascii="Arial" w:cs="Arial" w:eastAsia="Arial" w:hAnsi="Arial"/>
          <w:sz w:val="13"/>
          <w:szCs w:val="13"/>
          <w:color w:val="auto"/>
        </w:rPr>
        <w:t xml:space="preserve">For a description of our legal proceedings, see Note 11, </w:t>
      </w:r>
      <w:r>
        <w:rPr>
          <w:rFonts w:ascii="Arial" w:cs="Arial" w:eastAsia="Arial" w:hAnsi="Arial"/>
          <w:sz w:val="13"/>
          <w:szCs w:val="13"/>
          <w:i w:val="1"/>
          <w:iCs w:val="1"/>
          <w:color w:val="auto"/>
        </w:rPr>
        <w:t>Contingent Liabilities and Commitments</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 and</w:t>
      </w:r>
      <w:r>
        <w:rPr>
          <w:rFonts w:ascii="Arial" w:cs="Arial" w:eastAsia="Arial" w:hAnsi="Arial"/>
          <w:sz w:val="13"/>
          <w:szCs w:val="13"/>
          <w:color w:val="auto"/>
        </w:rPr>
        <w:t xml:space="preserve"> </w:t>
      </w:r>
      <w:r>
        <w:rPr>
          <w:rFonts w:ascii="Arial" w:cs="Arial" w:eastAsia="Arial" w:hAnsi="Arial"/>
          <w:sz w:val="13"/>
          <w:szCs w:val="13"/>
          <w:i w:val="1"/>
          <w:iCs w:val="1"/>
          <w:color w:val="auto"/>
        </w:rPr>
        <w:t>Supplementary Data</w:t>
      </w:r>
      <w:r>
        <w:rPr>
          <w:rFonts w:ascii="Arial" w:cs="Arial" w:eastAsia="Arial" w:hAnsi="Arial"/>
          <w:sz w:val="13"/>
          <w:szCs w:val="13"/>
          <w:color w:val="auto"/>
        </w:rPr>
        <w:t>, of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60"/>
          </w:cols>
          <w:pgMar w:left="220" w:top="141"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16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352"/>
        </w:trPr>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Information about our Executive Officers</w:t>
            </w:r>
          </w:p>
        </w:tc>
        <w:tc>
          <w:tcPr>
            <w:tcW w:w="68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88"/>
        </w:trPr>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6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Office (Year First Elected an Officer)</w:t>
            </w:r>
          </w:p>
        </w:tc>
        <w:tc>
          <w:tcPr>
            <w:tcW w:w="1900" w:type="dxa"/>
            <w:vAlign w:val="bottom"/>
            <w:tcBorders>
              <w:bottom w:val="single" w:sz="8" w:color="auto"/>
            </w:tcBorders>
          </w:tcPr>
          <w:p>
            <w:pPr>
              <w:jc w:val="center"/>
              <w:ind w:left="935"/>
              <w:spacing w:after="0"/>
              <w:rPr>
                <w:sz w:val="20"/>
                <w:szCs w:val="20"/>
                <w:color w:val="auto"/>
              </w:rPr>
            </w:pPr>
            <w:r>
              <w:rPr>
                <w:rFonts w:ascii="Arial" w:cs="Arial" w:eastAsia="Arial" w:hAnsi="Arial"/>
                <w:sz w:val="13"/>
                <w:szCs w:val="13"/>
                <w:b w:val="1"/>
                <w:bCs w:val="1"/>
                <w:color w:val="auto"/>
              </w:rPr>
              <w:t>Age</w:t>
            </w:r>
          </w:p>
        </w:tc>
      </w:tr>
      <w:tr>
        <w:trPr>
          <w:trHeight w:val="193"/>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Michael J. Happe</w:t>
            </w:r>
          </w:p>
        </w:tc>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President and Chief Executive Officer (2016)</w:t>
            </w:r>
          </w:p>
        </w:tc>
        <w:tc>
          <w:tcPr>
            <w:tcW w:w="1900" w:type="dxa"/>
            <w:vAlign w:val="bottom"/>
            <w:shd w:val="clear" w:color="auto" w:fill="CCEEFF"/>
          </w:tcPr>
          <w:p>
            <w:pPr>
              <w:jc w:val="center"/>
              <w:ind w:left="935"/>
              <w:spacing w:after="0"/>
              <w:rPr>
                <w:sz w:val="20"/>
                <w:szCs w:val="20"/>
                <w:color w:val="auto"/>
              </w:rPr>
            </w:pPr>
            <w:r>
              <w:rPr>
                <w:rFonts w:ascii="Arial" w:cs="Arial" w:eastAsia="Arial" w:hAnsi="Arial"/>
                <w:sz w:val="13"/>
                <w:szCs w:val="13"/>
                <w:color w:val="auto"/>
                <w:w w:val="96"/>
              </w:rPr>
              <w:t>48</w:t>
            </w:r>
          </w:p>
        </w:tc>
      </w:tr>
      <w:tr>
        <w:trPr>
          <w:trHeight w:val="186"/>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Ashis N. Bhattacharya</w:t>
            </w:r>
          </w:p>
        </w:tc>
        <w:tc>
          <w:tcPr>
            <w:tcW w:w="6800" w:type="dxa"/>
            <w:vAlign w:val="bottom"/>
          </w:tcPr>
          <w:p>
            <w:pPr>
              <w:ind w:left="120"/>
              <w:spacing w:after="0"/>
              <w:rPr>
                <w:sz w:val="20"/>
                <w:szCs w:val="20"/>
                <w:color w:val="auto"/>
              </w:rPr>
            </w:pPr>
            <w:r>
              <w:rPr>
                <w:rFonts w:ascii="Arial" w:cs="Arial" w:eastAsia="Arial" w:hAnsi="Arial"/>
                <w:sz w:val="13"/>
                <w:szCs w:val="13"/>
                <w:color w:val="auto"/>
              </w:rPr>
              <w:t>Vice President, Business Development, Specialty Vehicles, and Advanced Technology (2016)</w:t>
            </w:r>
          </w:p>
        </w:tc>
        <w:tc>
          <w:tcPr>
            <w:tcW w:w="1900" w:type="dxa"/>
            <w:vAlign w:val="bottom"/>
          </w:tcPr>
          <w:p>
            <w:pPr>
              <w:jc w:val="center"/>
              <w:ind w:left="935"/>
              <w:spacing w:after="0"/>
              <w:rPr>
                <w:sz w:val="20"/>
                <w:szCs w:val="20"/>
                <w:color w:val="auto"/>
              </w:rPr>
            </w:pPr>
            <w:r>
              <w:rPr>
                <w:rFonts w:ascii="Arial" w:cs="Arial" w:eastAsia="Arial" w:hAnsi="Arial"/>
                <w:sz w:val="13"/>
                <w:szCs w:val="13"/>
                <w:color w:val="auto"/>
                <w:w w:val="96"/>
              </w:rPr>
              <w:t>56</w:t>
            </w:r>
          </w:p>
        </w:tc>
      </w:tr>
      <w:tr>
        <w:trPr>
          <w:trHeight w:val="20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Stacy L. Bogart</w:t>
            </w:r>
          </w:p>
        </w:tc>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Vice President, General Counsel and Secretary (2018)</w:t>
            </w:r>
          </w:p>
        </w:tc>
        <w:tc>
          <w:tcPr>
            <w:tcW w:w="1900" w:type="dxa"/>
            <w:vAlign w:val="bottom"/>
            <w:shd w:val="clear" w:color="auto" w:fill="CCEEFF"/>
          </w:tcPr>
          <w:p>
            <w:pPr>
              <w:jc w:val="center"/>
              <w:ind w:left="935"/>
              <w:spacing w:after="0"/>
              <w:rPr>
                <w:sz w:val="20"/>
                <w:szCs w:val="20"/>
                <w:color w:val="auto"/>
              </w:rPr>
            </w:pPr>
            <w:r>
              <w:rPr>
                <w:rFonts w:ascii="Arial" w:cs="Arial" w:eastAsia="Arial" w:hAnsi="Arial"/>
                <w:sz w:val="13"/>
                <w:szCs w:val="13"/>
                <w:color w:val="auto"/>
                <w:w w:val="96"/>
              </w:rPr>
              <w:t>55</w:t>
            </w:r>
          </w:p>
        </w:tc>
      </w:tr>
      <w:tr>
        <w:trPr>
          <w:trHeight w:val="186"/>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Donald J. Clark</w:t>
            </w:r>
          </w:p>
        </w:tc>
        <w:tc>
          <w:tcPr>
            <w:tcW w:w="6800" w:type="dxa"/>
            <w:vAlign w:val="bottom"/>
          </w:tcPr>
          <w:p>
            <w:pPr>
              <w:ind w:left="120"/>
              <w:spacing w:after="0"/>
              <w:rPr>
                <w:sz w:val="20"/>
                <w:szCs w:val="20"/>
                <w:color w:val="auto"/>
              </w:rPr>
            </w:pPr>
            <w:r>
              <w:rPr>
                <w:rFonts w:ascii="Arial" w:cs="Arial" w:eastAsia="Arial" w:hAnsi="Arial"/>
                <w:sz w:val="13"/>
                <w:szCs w:val="13"/>
                <w:color w:val="auto"/>
              </w:rPr>
              <w:t>President of Grand Design RV; Vice President of Winnebago Industries (2016)</w:t>
            </w:r>
          </w:p>
        </w:tc>
        <w:tc>
          <w:tcPr>
            <w:tcW w:w="1900" w:type="dxa"/>
            <w:vAlign w:val="bottom"/>
          </w:tcPr>
          <w:p>
            <w:pPr>
              <w:jc w:val="center"/>
              <w:ind w:left="935"/>
              <w:spacing w:after="0"/>
              <w:rPr>
                <w:sz w:val="20"/>
                <w:szCs w:val="20"/>
                <w:color w:val="auto"/>
              </w:rPr>
            </w:pPr>
            <w:r>
              <w:rPr>
                <w:rFonts w:ascii="Arial" w:cs="Arial" w:eastAsia="Arial" w:hAnsi="Arial"/>
                <w:sz w:val="13"/>
                <w:szCs w:val="13"/>
                <w:color w:val="auto"/>
                <w:w w:val="96"/>
              </w:rPr>
              <w:t>59</w:t>
            </w:r>
          </w:p>
        </w:tc>
      </w:tr>
      <w:tr>
        <w:trPr>
          <w:trHeight w:val="20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 Scott Degnan</w:t>
            </w:r>
          </w:p>
        </w:tc>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Vice President and General Manager, Towables Business (2012)</w:t>
            </w:r>
          </w:p>
        </w:tc>
        <w:tc>
          <w:tcPr>
            <w:tcW w:w="1900" w:type="dxa"/>
            <w:vAlign w:val="bottom"/>
            <w:shd w:val="clear" w:color="auto" w:fill="CCEEFF"/>
          </w:tcPr>
          <w:p>
            <w:pPr>
              <w:jc w:val="center"/>
              <w:ind w:left="935"/>
              <w:spacing w:after="0"/>
              <w:rPr>
                <w:sz w:val="20"/>
                <w:szCs w:val="20"/>
                <w:color w:val="auto"/>
              </w:rPr>
            </w:pPr>
            <w:r>
              <w:rPr>
                <w:rFonts w:ascii="Arial" w:cs="Arial" w:eastAsia="Arial" w:hAnsi="Arial"/>
                <w:sz w:val="13"/>
                <w:szCs w:val="13"/>
                <w:color w:val="auto"/>
                <w:w w:val="96"/>
              </w:rPr>
              <w:t>54</w:t>
            </w:r>
          </w:p>
        </w:tc>
      </w:tr>
      <w:tr>
        <w:trPr>
          <w:trHeight w:val="186"/>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Brian D. Hazelton</w:t>
            </w:r>
          </w:p>
        </w:tc>
        <w:tc>
          <w:tcPr>
            <w:tcW w:w="6800" w:type="dxa"/>
            <w:vAlign w:val="bottom"/>
          </w:tcPr>
          <w:p>
            <w:pPr>
              <w:ind w:left="120"/>
              <w:spacing w:after="0"/>
              <w:rPr>
                <w:sz w:val="20"/>
                <w:szCs w:val="20"/>
                <w:color w:val="auto"/>
              </w:rPr>
            </w:pPr>
            <w:r>
              <w:rPr>
                <w:rFonts w:ascii="Arial" w:cs="Arial" w:eastAsia="Arial" w:hAnsi="Arial"/>
                <w:sz w:val="13"/>
                <w:szCs w:val="13"/>
                <w:color w:val="auto"/>
              </w:rPr>
              <w:t>Vice President and General Manager, Motorhome Business (2016)</w:t>
            </w:r>
          </w:p>
        </w:tc>
        <w:tc>
          <w:tcPr>
            <w:tcW w:w="1900" w:type="dxa"/>
            <w:vAlign w:val="bottom"/>
          </w:tcPr>
          <w:p>
            <w:pPr>
              <w:jc w:val="center"/>
              <w:ind w:left="935"/>
              <w:spacing w:after="0"/>
              <w:rPr>
                <w:sz w:val="20"/>
                <w:szCs w:val="20"/>
                <w:color w:val="auto"/>
              </w:rPr>
            </w:pPr>
            <w:r>
              <w:rPr>
                <w:rFonts w:ascii="Arial" w:cs="Arial" w:eastAsia="Arial" w:hAnsi="Arial"/>
                <w:sz w:val="13"/>
                <w:szCs w:val="13"/>
                <w:color w:val="auto"/>
                <w:w w:val="96"/>
              </w:rPr>
              <w:t>53</w:t>
            </w:r>
          </w:p>
        </w:tc>
      </w:tr>
      <w:tr>
        <w:trPr>
          <w:trHeight w:val="20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Bryan L. Hughes</w:t>
            </w:r>
          </w:p>
        </w:tc>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Vice President, Chief Financial Officer (2017)</w:t>
            </w:r>
          </w:p>
        </w:tc>
        <w:tc>
          <w:tcPr>
            <w:tcW w:w="1900" w:type="dxa"/>
            <w:vAlign w:val="bottom"/>
            <w:shd w:val="clear" w:color="auto" w:fill="CCEEFF"/>
          </w:tcPr>
          <w:p>
            <w:pPr>
              <w:jc w:val="center"/>
              <w:ind w:left="935"/>
              <w:spacing w:after="0"/>
              <w:rPr>
                <w:sz w:val="20"/>
                <w:szCs w:val="20"/>
                <w:color w:val="auto"/>
              </w:rPr>
            </w:pPr>
            <w:r>
              <w:rPr>
                <w:rFonts w:ascii="Arial" w:cs="Arial" w:eastAsia="Arial" w:hAnsi="Arial"/>
                <w:sz w:val="13"/>
                <w:szCs w:val="13"/>
                <w:color w:val="auto"/>
                <w:w w:val="96"/>
              </w:rPr>
              <w:t>50</w:t>
            </w:r>
          </w:p>
        </w:tc>
      </w:tr>
      <w:tr>
        <w:trPr>
          <w:trHeight w:val="186"/>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Jeff D. Kubacki</w:t>
            </w:r>
          </w:p>
        </w:tc>
        <w:tc>
          <w:tcPr>
            <w:tcW w:w="6800" w:type="dxa"/>
            <w:vAlign w:val="bottom"/>
          </w:tcPr>
          <w:p>
            <w:pPr>
              <w:ind w:left="120"/>
              <w:spacing w:after="0"/>
              <w:rPr>
                <w:sz w:val="20"/>
                <w:szCs w:val="20"/>
                <w:color w:val="auto"/>
              </w:rPr>
            </w:pPr>
            <w:r>
              <w:rPr>
                <w:rFonts w:ascii="Arial" w:cs="Arial" w:eastAsia="Arial" w:hAnsi="Arial"/>
                <w:sz w:val="13"/>
                <w:szCs w:val="13"/>
                <w:color w:val="auto"/>
              </w:rPr>
              <w:t>Vice President, Information Technology, Chief Information Officer (2016)</w:t>
            </w:r>
          </w:p>
        </w:tc>
        <w:tc>
          <w:tcPr>
            <w:tcW w:w="1900" w:type="dxa"/>
            <w:vAlign w:val="bottom"/>
          </w:tcPr>
          <w:p>
            <w:pPr>
              <w:jc w:val="center"/>
              <w:ind w:left="935"/>
              <w:spacing w:after="0"/>
              <w:rPr>
                <w:sz w:val="20"/>
                <w:szCs w:val="20"/>
                <w:color w:val="auto"/>
              </w:rPr>
            </w:pPr>
            <w:r>
              <w:rPr>
                <w:rFonts w:ascii="Arial" w:cs="Arial" w:eastAsia="Arial" w:hAnsi="Arial"/>
                <w:sz w:val="13"/>
                <w:szCs w:val="13"/>
                <w:color w:val="auto"/>
                <w:w w:val="96"/>
              </w:rPr>
              <w:t>61</w:t>
            </w:r>
          </w:p>
        </w:tc>
      </w:tr>
      <w:tr>
        <w:trPr>
          <w:trHeight w:val="20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Christopher D. West</w:t>
            </w:r>
          </w:p>
        </w:tc>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Vice President, Operations (2016)</w:t>
            </w:r>
          </w:p>
        </w:tc>
        <w:tc>
          <w:tcPr>
            <w:tcW w:w="1900" w:type="dxa"/>
            <w:vAlign w:val="bottom"/>
            <w:shd w:val="clear" w:color="auto" w:fill="CCEEFF"/>
          </w:tcPr>
          <w:p>
            <w:pPr>
              <w:jc w:val="center"/>
              <w:ind w:left="935"/>
              <w:spacing w:after="0"/>
              <w:rPr>
                <w:sz w:val="20"/>
                <w:szCs w:val="20"/>
                <w:color w:val="auto"/>
              </w:rPr>
            </w:pPr>
            <w:r>
              <w:rPr>
                <w:rFonts w:ascii="Arial" w:cs="Arial" w:eastAsia="Arial" w:hAnsi="Arial"/>
                <w:sz w:val="13"/>
                <w:szCs w:val="13"/>
                <w:color w:val="auto"/>
                <w:w w:val="96"/>
              </w:rPr>
              <w:t>47</w:t>
            </w:r>
          </w:p>
        </w:tc>
      </w:tr>
      <w:tr>
        <w:trPr>
          <w:trHeight w:val="178"/>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Bret A. Woodson</w:t>
            </w:r>
          </w:p>
        </w:tc>
        <w:tc>
          <w:tcPr>
            <w:tcW w:w="6800" w:type="dxa"/>
            <w:vAlign w:val="bottom"/>
          </w:tcPr>
          <w:p>
            <w:pPr>
              <w:ind w:left="120"/>
              <w:spacing w:after="0"/>
              <w:rPr>
                <w:sz w:val="20"/>
                <w:szCs w:val="20"/>
                <w:color w:val="auto"/>
              </w:rPr>
            </w:pPr>
            <w:r>
              <w:rPr>
                <w:rFonts w:ascii="Arial" w:cs="Arial" w:eastAsia="Arial" w:hAnsi="Arial"/>
                <w:sz w:val="13"/>
                <w:szCs w:val="13"/>
                <w:color w:val="auto"/>
              </w:rPr>
              <w:t>Vice President, Administration (2015)</w:t>
            </w:r>
          </w:p>
        </w:tc>
        <w:tc>
          <w:tcPr>
            <w:tcW w:w="1900" w:type="dxa"/>
            <w:vAlign w:val="bottom"/>
          </w:tcPr>
          <w:p>
            <w:pPr>
              <w:jc w:val="center"/>
              <w:ind w:left="935"/>
              <w:spacing w:after="0"/>
              <w:rPr>
                <w:sz w:val="20"/>
                <w:szCs w:val="20"/>
                <w:color w:val="auto"/>
              </w:rPr>
            </w:pPr>
            <w:r>
              <w:rPr>
                <w:rFonts w:ascii="Arial" w:cs="Arial" w:eastAsia="Arial" w:hAnsi="Arial"/>
                <w:sz w:val="13"/>
                <w:szCs w:val="13"/>
                <w:color w:val="auto"/>
                <w:w w:val="96"/>
              </w:rPr>
              <w:t>49</w:t>
            </w:r>
          </w:p>
        </w:tc>
      </w:tr>
    </w:tbl>
    <w:p>
      <w:pPr>
        <w:spacing w:after="0" w:line="168" w:lineRule="exact"/>
        <w:rPr>
          <w:sz w:val="20"/>
          <w:szCs w:val="20"/>
          <w:color w:val="auto"/>
        </w:rPr>
      </w:pPr>
    </w:p>
    <w:p>
      <w:pPr>
        <w:ind w:right="380"/>
        <w:spacing w:after="0" w:line="251" w:lineRule="auto"/>
        <w:rPr>
          <w:sz w:val="20"/>
          <w:szCs w:val="20"/>
          <w:color w:val="auto"/>
        </w:rPr>
      </w:pPr>
      <w:r>
        <w:rPr>
          <w:rFonts w:ascii="Arial" w:cs="Arial" w:eastAsia="Arial" w:hAnsi="Arial"/>
          <w:sz w:val="13"/>
          <w:szCs w:val="13"/>
          <w:color w:val="auto"/>
        </w:rPr>
        <w:t>Officers are elected annually by the Board of Directors and hold office until their successors are chosen and qualify or until their death or resignation. There are no family relationships between or among any of the Executive Officers or Directors of the Company.</w:t>
      </w:r>
    </w:p>
    <w:p>
      <w:pPr>
        <w:spacing w:after="0" w:line="140"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Mr. Happe joined Winnebago Industries in January 2016 as President and Chief Executive Officer. Prior to joining Winnebago,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144" w:lineRule="exact"/>
        <w:rPr>
          <w:sz w:val="20"/>
          <w:szCs w:val="20"/>
          <w:color w:val="auto"/>
        </w:rPr>
      </w:pPr>
    </w:p>
    <w:p>
      <w:pPr>
        <w:ind w:right="140"/>
        <w:spacing w:after="0" w:line="246" w:lineRule="auto"/>
        <w:rPr>
          <w:sz w:val="20"/>
          <w:szCs w:val="20"/>
          <w:color w:val="auto"/>
        </w:rPr>
      </w:pPr>
      <w:r>
        <w:rPr>
          <w:rFonts w:ascii="Arial" w:cs="Arial" w:eastAsia="Arial" w:hAnsi="Arial"/>
          <w:sz w:val="13"/>
          <w:szCs w:val="13"/>
          <w:color w:val="auto"/>
        </w:rPr>
        <w:t>Mr. Bhattacharya joined Winnebago Industries in May 2016 as Vice President, Strategic Planning and Development. He became Vice President, Business Development, Specialty Vehicles, and Advanced Technology in 2019. Prior to joining Winnebago, Mr. Bhattacharya served at Honeywell International, Inc., a software industrial company, as Vice President, Strategy, Alliances &amp; Internet of Things for the Sensing and Productivity Solutions division from 2010 to 2016. Prior to that, he was employed with Moog, Motorola, and Bain &amp; Company in a variety of roles.</w:t>
      </w:r>
    </w:p>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Ms. Stacy Bogart joined Winnebago Industries in January 2018 as Vice President, General Counsel and Secretary.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spacing w:after="0" w:line="126" w:lineRule="exact"/>
        <w:rPr>
          <w:sz w:val="20"/>
          <w:szCs w:val="20"/>
          <w:color w:val="auto"/>
        </w:rPr>
      </w:pPr>
    </w:p>
    <w:p>
      <w:pPr>
        <w:ind w:right="300"/>
        <w:spacing w:after="0" w:line="251" w:lineRule="auto"/>
        <w:rPr>
          <w:sz w:val="20"/>
          <w:szCs w:val="20"/>
          <w:color w:val="auto"/>
        </w:rPr>
      </w:pPr>
      <w:r>
        <w:rPr>
          <w:rFonts w:ascii="Arial" w:cs="Arial" w:eastAsia="Arial" w:hAnsi="Arial"/>
          <w:sz w:val="13"/>
          <w:szCs w:val="13"/>
          <w:color w:val="auto"/>
        </w:rPr>
        <w:t>Mr. Clark, President of Grand Design RV and Vice President of Winnebago Industries, became an officer of Winnebago Industries in November 2016 in accordance with terms of the Grand Design acquisition. He co-founded Grand Design RV, LLC in 2012 and built the team at Grand Design RV. Mr. Clark has over 30 years of successful RV industry experience.</w:t>
      </w:r>
    </w:p>
    <w:p>
      <w:pPr>
        <w:spacing w:after="0" w:line="140"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Mr. Degnan joined Winnebago Industries in May 2012 as Vice President of Sales and Product Management. He became Vice President and General Manager, Towables Business in 2016. Prior to joining Winnebago,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Mr. Hazelton joined Winnebago Industries in August 2016 as Vice President and General Manager, Motorhome Business. He previously was CEO of Schwing America, Inc., a manufacturer of concrete pumps and truck mixers, from 2009 to 2016. Prior to his employment with Schwing, he worked for Terex Corporation and Detroit Diesel Corporation in various executive roles.</w:t>
      </w:r>
    </w:p>
    <w:p>
      <w:pPr>
        <w:spacing w:after="0" w:line="140"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Mr. Hughes joined Winnebago Industries in April 2017 and was appointed Vice President, Chief Financial Officer of the Company in May 2017. Mr. Hughes joined Winnebago Industries from Ecolab, Inc., a water technologies and services company, where he served as Senior Vice President and Corporate Controller from 2014 to 2017, as Vice President of Finance from 2008 to 2014 and in various management positions from 1996 to 2008. Prior to his employment with Ecolab, Inc., he worked for Ernst &amp; Young, a public accounting firm.</w:t>
      </w:r>
    </w:p>
    <w:p>
      <w:pPr>
        <w:spacing w:after="0" w:line="144"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Mr. Kubacki joined Winnebago Industries in November 2016 as Vice President, Information Technology, Chief Information Officer. He previously was Vice President and Chief Information Officer at Westinghouse Electric Company, a global provider of nuclear power plant products and services, in 2016. Prior to his employment with Westinghouse, he worked as Chief Information Officer at Alliant Techsystems, a defense, aerospace, sporting goods, and retail markets company, from 2010 to 2015, and at Kroll, a global risk consulting firm, from 2007 to 2010. He also held various IT roles with Ecolab, Inc.</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60"/>
          </w:cols>
          <w:pgMar w:left="220" w:top="119" w:right="21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Mr. West joined Winnebago Industries in September 2016 as Vice President, Operations. He previously was Vice President of Global Supply Chain for Joy Global, a worldwide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w:t>
      </w:r>
    </w:p>
    <w:p>
      <w:pPr>
        <w:spacing w:after="0" w:line="144" w:lineRule="exact"/>
        <w:rPr>
          <w:sz w:val="20"/>
          <w:szCs w:val="20"/>
          <w:color w:val="auto"/>
        </w:rPr>
      </w:pPr>
    </w:p>
    <w:p>
      <w:pPr>
        <w:jc w:val="both"/>
        <w:ind w:right="240"/>
        <w:spacing w:after="0" w:line="246" w:lineRule="auto"/>
        <w:rPr>
          <w:sz w:val="20"/>
          <w:szCs w:val="20"/>
          <w:color w:val="auto"/>
        </w:rPr>
      </w:pPr>
      <w:r>
        <w:rPr>
          <w:rFonts w:ascii="Arial" w:cs="Arial" w:eastAsia="Arial" w:hAnsi="Arial"/>
          <w:sz w:val="13"/>
          <w:szCs w:val="13"/>
          <w:color w:val="auto"/>
        </w:rPr>
        <w:t>Mr. Woodson joined Winnebago Industries in January 2015 as Vice President, Administration. Prior to joining Winnebago, Mr. Woodson was Vice President of Human Resources at Corbion N.V., a food and biochemicals company, from 2007 to 2014 and Director, Human Resources at Sara Lee Corporation from 1999 to 2007. Mr. Woodson has over 24 years of business and human resources experience.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0"/>
          </w:cols>
          <w:pgMar w:left="220" w:top="141" w:right="21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Market for the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Our common stock is listed on the New York Stock Exchange with the ticker symbol of WGO.</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Holders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Shareholders of record as of October 7, 2019: 2,445</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 Paid Per Share</w:t>
      </w:r>
    </w:p>
    <w:p>
      <w:pPr>
        <w:spacing w:after="0" w:line="168" w:lineRule="exact"/>
        <w:rPr>
          <w:sz w:val="20"/>
          <w:szCs w:val="20"/>
          <w:color w:val="auto"/>
        </w:rPr>
      </w:pPr>
    </w:p>
    <w:p>
      <w:pPr>
        <w:ind w:right="160"/>
        <w:spacing w:after="0" w:line="246" w:lineRule="auto"/>
        <w:rPr>
          <w:sz w:val="20"/>
          <w:szCs w:val="20"/>
          <w:color w:val="auto"/>
        </w:rPr>
      </w:pPr>
      <w:r>
        <w:rPr>
          <w:rFonts w:ascii="Arial" w:cs="Arial" w:eastAsia="Arial" w:hAnsi="Arial"/>
          <w:sz w:val="13"/>
          <w:szCs w:val="13"/>
          <w:color w:val="auto"/>
        </w:rPr>
        <w:t>On August 14, 2019, our Board of Directors declared a quarterly cash dividend of $0.11 per share, totaling $3.5 million, paid on September 25, 2019 to common stockholders of record at the close of business on September 11, 2019. The Board currently intends to continue to pay quarterly cash dividends payments in the future; however, declaration of future dividends, if any, will be based on several factors including our financial performance, outlook, and liquidity.</w:t>
      </w:r>
    </w:p>
    <w:p>
      <w:pPr>
        <w:spacing w:after="0" w:line="130" w:lineRule="exact"/>
        <w:rPr>
          <w:sz w:val="20"/>
          <w:szCs w:val="20"/>
          <w:color w:val="auto"/>
        </w:rPr>
      </w:pPr>
    </w:p>
    <w:p>
      <w:pPr>
        <w:ind w:right="220"/>
        <w:spacing w:after="0" w:line="273" w:lineRule="auto"/>
        <w:rPr>
          <w:sz w:val="20"/>
          <w:szCs w:val="20"/>
          <w:color w:val="auto"/>
        </w:rPr>
      </w:pPr>
      <w:r>
        <w:rPr>
          <w:rFonts w:ascii="Arial" w:cs="Arial" w:eastAsia="Arial" w:hAnsi="Arial"/>
          <w:sz w:val="13"/>
          <w:szCs w:val="13"/>
          <w:color w:val="auto"/>
        </w:rPr>
        <w:t xml:space="preserve">Our Credit Agreement, as further described in Note 9,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of this Annual Report on Form 10-K, contains restrictions that may limit our ability to pay dividends, if we fail to maintain certain financial covenants.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68" w:lineRule="exact"/>
        <w:rPr>
          <w:sz w:val="20"/>
          <w:szCs w:val="20"/>
          <w:color w:val="auto"/>
        </w:rPr>
      </w:pPr>
    </w:p>
    <w:p>
      <w:pPr>
        <w:jc w:val="both"/>
        <w:ind w:right="120"/>
        <w:spacing w:after="0" w:line="277" w:lineRule="auto"/>
        <w:rPr>
          <w:sz w:val="20"/>
          <w:szCs w:val="20"/>
          <w:color w:val="auto"/>
        </w:rPr>
      </w:pPr>
      <w:r>
        <w:rPr>
          <w:rFonts w:ascii="Arial" w:cs="Arial" w:eastAsia="Arial" w:hAnsi="Arial"/>
          <w:sz w:val="12"/>
          <w:szCs w:val="12"/>
          <w:color w:val="auto"/>
        </w:rPr>
        <w:t xml:space="preserve">Our Credit Agreement contains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 See additional information on our ABL in Note 9,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of the Notes to Consolidated Financial Statements, included in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 of this Annual Report on Form 10-K.</w:t>
      </w:r>
    </w:p>
    <w:p>
      <w:pPr>
        <w:spacing w:after="0" w:line="126" w:lineRule="exact"/>
        <w:rPr>
          <w:sz w:val="20"/>
          <w:szCs w:val="20"/>
          <w:color w:val="auto"/>
        </w:rPr>
      </w:pPr>
    </w:p>
    <w:p>
      <w:pPr>
        <w:ind w:right="160"/>
        <w:spacing w:after="0" w:line="245" w:lineRule="auto"/>
        <w:rPr>
          <w:sz w:val="20"/>
          <w:szCs w:val="20"/>
          <w:color w:val="auto"/>
        </w:rPr>
      </w:pPr>
      <w:r>
        <w:rPr>
          <w:rFonts w:ascii="Arial" w:cs="Arial" w:eastAsia="Arial" w:hAnsi="Arial"/>
          <w:sz w:val="13"/>
          <w:szCs w:val="13"/>
          <w:color w:val="auto"/>
        </w:rPr>
        <w:t>On October 18, 2017, our Board of Directors authorized a share repurchase program in the amount of $70.0 million. There is no time restriction on the authorization. During Fiscal 2019, we repurchased 0.2 million shares of our common stock at a cost of $6.1 million. An additional 0.1 million shares of our common stock at a cost of $2.1 million were repurchased to satisfy tax obligations on employee equity awards as they vested. We continually evaluate if share repurchases reflect a prudent use of our capital and, subject to compliance with our Credit Agreement, we may purchase shares in the future. At August 31, 2019, we have $58.9 million remaining on our board repurchase authorization.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Purchases of our common stock during each fiscal month of the fourth quarter of Fiscal 2019 were: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Approximate Dollar Value of Shares That May</w:t>
            </w:r>
          </w:p>
        </w:tc>
      </w:tr>
      <w:tr>
        <w:trPr>
          <w:trHeight w:val="151"/>
        </w:trPr>
        <w:tc>
          <w:tcPr>
            <w:tcW w:w="2520" w:type="dxa"/>
            <w:vAlign w:val="bottom"/>
          </w:tcPr>
          <w:p>
            <w:pPr>
              <w:spacing w:after="0"/>
              <w:rPr>
                <w:sz w:val="13"/>
                <w:szCs w:val="13"/>
                <w:color w:val="auto"/>
              </w:rPr>
            </w:pPr>
          </w:p>
        </w:tc>
        <w:tc>
          <w:tcPr>
            <w:tcW w:w="1620" w:type="dxa"/>
            <w:vAlign w:val="bottom"/>
          </w:tcPr>
          <w:p>
            <w:pPr>
              <w:jc w:val="right"/>
              <w:ind w:right="15"/>
              <w:spacing w:after="0"/>
              <w:rPr>
                <w:sz w:val="20"/>
                <w:szCs w:val="20"/>
                <w:color w:val="auto"/>
              </w:rPr>
            </w:pPr>
            <w:r>
              <w:rPr>
                <w:rFonts w:ascii="Arial" w:cs="Arial" w:eastAsia="Arial" w:hAnsi="Arial"/>
                <w:sz w:val="13"/>
                <w:szCs w:val="13"/>
                <w:b w:val="1"/>
                <w:bCs w:val="1"/>
                <w:color w:val="auto"/>
              </w:rPr>
              <w:t>Total Number of Shares</w:t>
            </w:r>
          </w:p>
        </w:tc>
        <w:tc>
          <w:tcPr>
            <w:tcW w:w="1520" w:type="dxa"/>
            <w:vAlign w:val="bottom"/>
            <w:gridSpan w:val="2"/>
          </w:tcPr>
          <w:p>
            <w:pPr>
              <w:jc w:val="right"/>
              <w:ind w:right="115"/>
              <w:spacing w:after="0"/>
              <w:rPr>
                <w:sz w:val="20"/>
                <w:szCs w:val="20"/>
                <w:color w:val="auto"/>
              </w:rPr>
            </w:pPr>
            <w:r>
              <w:rPr>
                <w:rFonts w:ascii="Arial" w:cs="Arial" w:eastAsia="Arial" w:hAnsi="Arial"/>
                <w:sz w:val="13"/>
                <w:szCs w:val="13"/>
                <w:b w:val="1"/>
                <w:bCs w:val="1"/>
                <w:color w:val="auto"/>
              </w:rPr>
              <w:t>Average Price Paid</w:t>
            </w:r>
          </w:p>
        </w:tc>
        <w:tc>
          <w:tcPr>
            <w:tcW w:w="2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Number of Shares Purchased as Part of</w:t>
            </w:r>
          </w:p>
        </w:tc>
        <w:tc>
          <w:tcPr>
            <w:tcW w:w="180" w:type="dxa"/>
            <w:vAlign w:val="bottom"/>
          </w:tcPr>
          <w:p>
            <w:pPr>
              <w:spacing w:after="0"/>
              <w:rPr>
                <w:sz w:val="13"/>
                <w:szCs w:val="13"/>
                <w:color w:val="auto"/>
              </w:rPr>
            </w:pPr>
          </w:p>
        </w:tc>
        <w:tc>
          <w:tcPr>
            <w:tcW w:w="2660" w:type="dxa"/>
            <w:vAlign w:val="bottom"/>
          </w:tcPr>
          <w:p>
            <w:pPr>
              <w:jc w:val="right"/>
              <w:ind w:right="215"/>
              <w:spacing w:after="0"/>
              <w:rPr>
                <w:sz w:val="20"/>
                <w:szCs w:val="20"/>
                <w:color w:val="auto"/>
              </w:rPr>
            </w:pPr>
            <w:r>
              <w:rPr>
                <w:rFonts w:ascii="Arial" w:cs="Arial" w:eastAsia="Arial" w:hAnsi="Arial"/>
                <w:sz w:val="13"/>
                <w:szCs w:val="13"/>
                <w:b w:val="1"/>
                <w:bCs w:val="1"/>
                <w:color w:val="auto"/>
              </w:rPr>
              <w:t>Yet Be Purchased Under the Plans or</w:t>
            </w:r>
          </w:p>
        </w:tc>
      </w:tr>
      <w:tr>
        <w:trPr>
          <w:trHeight w:val="187"/>
        </w:trPr>
        <w:tc>
          <w:tcPr>
            <w:tcW w:w="2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55"/>
              <w:spacing w:after="0" w:line="187"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per Share</w:t>
            </w:r>
          </w:p>
        </w:tc>
        <w:tc>
          <w:tcPr>
            <w:tcW w:w="2960" w:type="dxa"/>
            <w:vAlign w:val="bottom"/>
            <w:tcBorders>
              <w:bottom w:val="single" w:sz="8" w:color="auto"/>
            </w:tcBorders>
            <w:gridSpan w:val="2"/>
          </w:tcPr>
          <w:p>
            <w:pPr>
              <w:jc w:val="center"/>
              <w:ind w:right="120"/>
              <w:spacing w:after="0" w:line="187" w:lineRule="exact"/>
              <w:rPr>
                <w:sz w:val="20"/>
                <w:szCs w:val="20"/>
                <w:color w:val="auto"/>
              </w:rPr>
            </w:pPr>
            <w:r>
              <w:rPr>
                <w:rFonts w:ascii="Arial" w:cs="Arial" w:eastAsia="Arial" w:hAnsi="Arial"/>
                <w:sz w:val="13"/>
                <w:szCs w:val="13"/>
                <w:b w:val="1"/>
                <w:bCs w:val="1"/>
                <w:color w:val="auto"/>
                <w:w w:val="97"/>
              </w:rPr>
              <w:t>Publicly Announced Plans or Programs</w:t>
            </w:r>
            <w:r>
              <w:rPr>
                <w:rFonts w:ascii="Arial" w:cs="Arial" w:eastAsia="Arial" w:hAnsi="Arial"/>
                <w:sz w:val="17"/>
                <w:szCs w:val="17"/>
                <w:b w:val="1"/>
                <w:bCs w:val="1"/>
                <w:color w:val="auto"/>
                <w:w w:val="97"/>
                <w:vertAlign w:val="superscript"/>
              </w:rPr>
              <w:t>(1)</w:t>
            </w: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955"/>
              <w:spacing w:after="0" w:line="187" w:lineRule="exact"/>
              <w:rPr>
                <w:sz w:val="20"/>
                <w:szCs w:val="20"/>
                <w:color w:val="auto"/>
              </w:rPr>
            </w:pPr>
            <w:r>
              <w:rPr>
                <w:rFonts w:ascii="Arial" w:cs="Arial" w:eastAsia="Arial" w:hAnsi="Arial"/>
                <w:sz w:val="13"/>
                <w:szCs w:val="13"/>
                <w:b w:val="1"/>
                <w:bCs w:val="1"/>
                <w:color w:val="auto"/>
              </w:rPr>
              <w:t>Programs</w:t>
            </w:r>
            <w:r>
              <w:rPr>
                <w:rFonts w:ascii="Arial" w:cs="Arial" w:eastAsia="Arial" w:hAnsi="Arial"/>
                <w:sz w:val="17"/>
                <w:szCs w:val="17"/>
                <w:b w:val="1"/>
                <w:bCs w:val="1"/>
                <w:color w:val="auto"/>
                <w:vertAlign w:val="superscript"/>
              </w:rPr>
              <w:t>(2)(3)</w:t>
            </w:r>
          </w:p>
        </w:tc>
      </w:tr>
      <w:tr>
        <w:trPr>
          <w:trHeight w:val="206"/>
        </w:trPr>
        <w:tc>
          <w:tcPr>
            <w:tcW w:w="2520" w:type="dxa"/>
            <w:vAlign w:val="bottom"/>
            <w:shd w:val="clear" w:color="auto" w:fill="CCEEFF"/>
          </w:tcPr>
          <w:p>
            <w:pPr>
              <w:jc w:val="right"/>
              <w:ind w:right="1315"/>
              <w:spacing w:after="0"/>
              <w:rPr>
                <w:sz w:val="20"/>
                <w:szCs w:val="20"/>
                <w:color w:val="auto"/>
              </w:rPr>
            </w:pPr>
            <w:r>
              <w:rPr>
                <w:rFonts w:ascii="Arial" w:cs="Arial" w:eastAsia="Arial" w:hAnsi="Arial"/>
                <w:sz w:val="13"/>
                <w:szCs w:val="13"/>
                <w:color w:val="auto"/>
                <w:w w:val="99"/>
              </w:rPr>
              <w:t>05/26/19 - 06/29/19</w:t>
            </w:r>
          </w:p>
        </w:tc>
        <w:tc>
          <w:tcPr>
            <w:tcW w:w="1620" w:type="dxa"/>
            <w:vAlign w:val="bottom"/>
            <w:shd w:val="clear" w:color="auto" w:fill="BFE4FF"/>
          </w:tcPr>
          <w:p>
            <w:pPr>
              <w:jc w:val="right"/>
              <w:ind w:right="55"/>
              <w:spacing w:after="0"/>
              <w:rPr>
                <w:sz w:val="20"/>
                <w:szCs w:val="20"/>
                <w:color w:val="auto"/>
              </w:rPr>
            </w:pPr>
            <w:r>
              <w:rPr>
                <w:rFonts w:ascii="Arial" w:cs="Arial" w:eastAsia="Arial" w:hAnsi="Arial"/>
                <w:sz w:val="13"/>
                <w:szCs w:val="13"/>
                <w:color w:val="auto"/>
              </w:rPr>
              <w:t>13,285</w:t>
            </w:r>
          </w:p>
        </w:tc>
        <w:tc>
          <w:tcPr>
            <w:tcW w:w="340" w:type="dxa"/>
            <w:vAlign w:val="bottom"/>
            <w:shd w:val="clear" w:color="auto" w:fill="BFE4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BFE4FF"/>
          </w:tcPr>
          <w:p>
            <w:pPr>
              <w:jc w:val="right"/>
              <w:ind w:right="175"/>
              <w:spacing w:after="0"/>
              <w:rPr>
                <w:sz w:val="20"/>
                <w:szCs w:val="20"/>
                <w:color w:val="auto"/>
              </w:rPr>
            </w:pPr>
            <w:r>
              <w:rPr>
                <w:rFonts w:ascii="Arial" w:cs="Arial" w:eastAsia="Arial" w:hAnsi="Arial"/>
                <w:sz w:val="13"/>
                <w:szCs w:val="13"/>
                <w:color w:val="auto"/>
              </w:rPr>
              <w:t>32.71</w:t>
            </w:r>
          </w:p>
        </w:tc>
        <w:tc>
          <w:tcPr>
            <w:tcW w:w="2840" w:type="dxa"/>
            <w:vAlign w:val="bottom"/>
            <w:shd w:val="clear" w:color="auto" w:fill="BFE4FF"/>
          </w:tcPr>
          <w:p>
            <w:pPr>
              <w:jc w:val="right"/>
              <w:ind w:right="35"/>
              <w:spacing w:after="0"/>
              <w:rPr>
                <w:sz w:val="20"/>
                <w:szCs w:val="20"/>
                <w:color w:val="auto"/>
              </w:rPr>
            </w:pPr>
            <w:r>
              <w:rPr>
                <w:rFonts w:ascii="Arial" w:cs="Arial" w:eastAsia="Arial" w:hAnsi="Arial"/>
                <w:sz w:val="13"/>
                <w:szCs w:val="13"/>
                <w:color w:val="auto"/>
              </w:rPr>
              <w:t>12,273</w:t>
            </w: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2660" w:type="dxa"/>
            <w:vAlign w:val="bottom"/>
            <w:shd w:val="clear" w:color="auto" w:fill="BFE4FF"/>
          </w:tcPr>
          <w:p>
            <w:pPr>
              <w:jc w:val="right"/>
              <w:ind w:right="35"/>
              <w:spacing w:after="0"/>
              <w:rPr>
                <w:sz w:val="20"/>
                <w:szCs w:val="20"/>
                <w:color w:val="auto"/>
              </w:rPr>
            </w:pPr>
            <w:r>
              <w:rPr>
                <w:rFonts w:ascii="Arial" w:cs="Arial" w:eastAsia="Arial" w:hAnsi="Arial"/>
                <w:sz w:val="13"/>
                <w:szCs w:val="13"/>
                <w:color w:val="auto"/>
              </w:rPr>
              <w:t>58,870,000</w:t>
            </w:r>
          </w:p>
        </w:tc>
      </w:tr>
      <w:tr>
        <w:trPr>
          <w:trHeight w:val="208"/>
        </w:trPr>
        <w:tc>
          <w:tcPr>
            <w:tcW w:w="2520" w:type="dxa"/>
            <w:vAlign w:val="bottom"/>
          </w:tcPr>
          <w:p>
            <w:pPr>
              <w:jc w:val="right"/>
              <w:ind w:right="1315"/>
              <w:spacing w:after="0"/>
              <w:rPr>
                <w:sz w:val="20"/>
                <w:szCs w:val="20"/>
                <w:color w:val="auto"/>
              </w:rPr>
            </w:pPr>
            <w:r>
              <w:rPr>
                <w:rFonts w:ascii="Arial" w:cs="Arial" w:eastAsia="Arial" w:hAnsi="Arial"/>
                <w:sz w:val="13"/>
                <w:szCs w:val="13"/>
                <w:color w:val="auto"/>
                <w:w w:val="99"/>
              </w:rPr>
              <w:t>06/30/19 - 07/27/19</w:t>
            </w:r>
          </w:p>
        </w:tc>
        <w:tc>
          <w:tcPr>
            <w:tcW w:w="16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2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2660" w:type="dxa"/>
            <w:vAlign w:val="bottom"/>
          </w:tcPr>
          <w:p>
            <w:pPr>
              <w:jc w:val="right"/>
              <w:ind w:right="35"/>
              <w:spacing w:after="0"/>
              <w:rPr>
                <w:sz w:val="20"/>
                <w:szCs w:val="20"/>
                <w:color w:val="auto"/>
              </w:rPr>
            </w:pPr>
            <w:r>
              <w:rPr>
                <w:rFonts w:ascii="Arial" w:cs="Arial" w:eastAsia="Arial" w:hAnsi="Arial"/>
                <w:sz w:val="13"/>
                <w:szCs w:val="13"/>
                <w:color w:val="auto"/>
              </w:rPr>
              <w:t>58,870,000</w:t>
            </w:r>
          </w:p>
        </w:tc>
      </w:tr>
      <w:tr>
        <w:trPr>
          <w:trHeight w:val="216"/>
        </w:trPr>
        <w:tc>
          <w:tcPr>
            <w:tcW w:w="2520" w:type="dxa"/>
            <w:vAlign w:val="bottom"/>
            <w:shd w:val="clear" w:color="auto" w:fill="CCEEFF"/>
          </w:tcPr>
          <w:p>
            <w:pPr>
              <w:jc w:val="right"/>
              <w:ind w:right="1315"/>
              <w:spacing w:after="0"/>
              <w:rPr>
                <w:sz w:val="20"/>
                <w:szCs w:val="20"/>
                <w:color w:val="auto"/>
              </w:rPr>
            </w:pPr>
            <w:r>
              <w:rPr>
                <w:rFonts w:ascii="Arial" w:cs="Arial" w:eastAsia="Arial" w:hAnsi="Arial"/>
                <w:sz w:val="13"/>
                <w:szCs w:val="13"/>
                <w:color w:val="auto"/>
                <w:w w:val="99"/>
              </w:rPr>
              <w:t>07/28/19 - 08/31/19</w:t>
            </w:r>
          </w:p>
        </w:tc>
        <w:tc>
          <w:tcPr>
            <w:tcW w:w="1620" w:type="dxa"/>
            <w:vAlign w:val="bottom"/>
            <w:shd w:val="clear" w:color="auto" w:fill="BFE4FF"/>
          </w:tcPr>
          <w:p>
            <w:pPr>
              <w:jc w:val="right"/>
              <w:ind w:right="55"/>
              <w:spacing w:after="0"/>
              <w:rPr>
                <w:sz w:val="20"/>
                <w:szCs w:val="20"/>
                <w:color w:val="auto"/>
              </w:rPr>
            </w:pPr>
            <w:r>
              <w:rPr>
                <w:rFonts w:ascii="Arial" w:cs="Arial" w:eastAsia="Arial" w:hAnsi="Arial"/>
                <w:sz w:val="13"/>
                <w:szCs w:val="13"/>
                <w:color w:val="auto"/>
              </w:rPr>
              <w:t>409</w:t>
            </w:r>
          </w:p>
        </w:tc>
        <w:tc>
          <w:tcPr>
            <w:tcW w:w="340" w:type="dxa"/>
            <w:vAlign w:val="bottom"/>
            <w:shd w:val="clear" w:color="auto" w:fill="BFE4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BFE4FF"/>
          </w:tcPr>
          <w:p>
            <w:pPr>
              <w:jc w:val="right"/>
              <w:ind w:right="175"/>
              <w:spacing w:after="0"/>
              <w:rPr>
                <w:sz w:val="20"/>
                <w:szCs w:val="20"/>
                <w:color w:val="auto"/>
              </w:rPr>
            </w:pPr>
            <w:r>
              <w:rPr>
                <w:rFonts w:ascii="Arial" w:cs="Arial" w:eastAsia="Arial" w:hAnsi="Arial"/>
                <w:sz w:val="13"/>
                <w:szCs w:val="13"/>
                <w:color w:val="auto"/>
              </w:rPr>
              <w:t>32.25</w:t>
            </w:r>
          </w:p>
        </w:tc>
        <w:tc>
          <w:tcPr>
            <w:tcW w:w="296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2660" w:type="dxa"/>
            <w:vAlign w:val="bottom"/>
            <w:shd w:val="clear" w:color="auto" w:fill="BFE4FF"/>
          </w:tcPr>
          <w:p>
            <w:pPr>
              <w:jc w:val="right"/>
              <w:ind w:right="35"/>
              <w:spacing w:after="0"/>
              <w:rPr>
                <w:sz w:val="20"/>
                <w:szCs w:val="20"/>
                <w:color w:val="auto"/>
              </w:rPr>
            </w:pPr>
            <w:r>
              <w:rPr>
                <w:rFonts w:ascii="Arial" w:cs="Arial" w:eastAsia="Arial" w:hAnsi="Arial"/>
                <w:sz w:val="13"/>
                <w:szCs w:val="13"/>
                <w:color w:val="auto"/>
              </w:rPr>
              <w:t>58,870,000</w:t>
            </w:r>
          </w:p>
        </w:tc>
      </w:tr>
      <w:tr>
        <w:trPr>
          <w:trHeight w:val="190"/>
        </w:trPr>
        <w:tc>
          <w:tcPr>
            <w:tcW w:w="2520" w:type="dxa"/>
            <w:vAlign w:val="bottom"/>
          </w:tcPr>
          <w:p>
            <w:pPr>
              <w:jc w:val="right"/>
              <w:ind w:right="2055"/>
              <w:spacing w:after="0"/>
              <w:rPr>
                <w:sz w:val="20"/>
                <w:szCs w:val="20"/>
                <w:color w:val="auto"/>
              </w:rPr>
            </w:pPr>
            <w:r>
              <w:rPr>
                <w:rFonts w:ascii="Arial" w:cs="Arial" w:eastAsia="Arial" w:hAnsi="Arial"/>
                <w:sz w:val="13"/>
                <w:szCs w:val="13"/>
                <w:color w:val="auto"/>
              </w:rPr>
              <w:t>Total</w:t>
            </w:r>
          </w:p>
        </w:tc>
        <w:tc>
          <w:tcPr>
            <w:tcW w:w="16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13,694</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5"/>
              <w:spacing w:after="0"/>
              <w:rPr>
                <w:sz w:val="20"/>
                <w:szCs w:val="20"/>
                <w:color w:val="auto"/>
              </w:rPr>
            </w:pPr>
            <w:r>
              <w:rPr>
                <w:rFonts w:ascii="Arial" w:cs="Arial" w:eastAsia="Arial" w:hAnsi="Arial"/>
                <w:sz w:val="13"/>
                <w:szCs w:val="13"/>
                <w:color w:val="auto"/>
              </w:rPr>
              <w:t>32.69</w:t>
            </w:r>
          </w:p>
        </w:tc>
        <w:tc>
          <w:tcPr>
            <w:tcW w:w="2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12,273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6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58,870,000</w:t>
            </w:r>
          </w:p>
        </w:tc>
      </w:tr>
      <w:tr>
        <w:trPr>
          <w:trHeight w:val="20"/>
        </w:trPr>
        <w:tc>
          <w:tcPr>
            <w:tcW w:w="25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200" w:hanging="194"/>
        <w:spacing w:after="0"/>
        <w:tabs>
          <w:tab w:leader="none" w:pos="200" w:val="left"/>
        </w:tabs>
        <w:numPr>
          <w:ilvl w:val="0"/>
          <w:numId w:val="6"/>
        </w:numPr>
        <w:rPr>
          <w:rFonts w:ascii="Arial" w:cs="Arial" w:eastAsia="Arial" w:hAnsi="Arial"/>
          <w:sz w:val="11"/>
          <w:szCs w:val="11"/>
          <w:color w:val="auto"/>
        </w:rPr>
      </w:pPr>
      <w:r>
        <w:rPr>
          <w:rFonts w:ascii="Arial" w:cs="Arial" w:eastAsia="Arial" w:hAnsi="Arial"/>
          <w:sz w:val="11"/>
          <w:szCs w:val="11"/>
          <w:color w:val="auto"/>
        </w:rPr>
        <w:t>Shares not purchased as part of a publicly announced program were repurchased from employees who vested in Company shares and elected to pay their payroll tax via the value of shares delivered as opposed to cash.</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6"/>
        </w:numPr>
        <w:rPr>
          <w:rFonts w:ascii="Arial" w:cs="Arial" w:eastAsia="Arial" w:hAnsi="Arial"/>
          <w:sz w:val="11"/>
          <w:szCs w:val="11"/>
          <w:color w:val="auto"/>
        </w:rPr>
      </w:pPr>
      <w:r>
        <w:rPr>
          <w:rFonts w:ascii="Arial" w:cs="Arial" w:eastAsia="Arial" w:hAnsi="Arial"/>
          <w:sz w:val="11"/>
          <w:szCs w:val="11"/>
          <w:color w:val="auto"/>
        </w:rPr>
        <w:t>Pursuant to a $70.0 million share repurchase program authorized by our Board of Directors on October 18, 2017. There is no time restriction on the authorization.</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6"/>
        </w:numPr>
        <w:rPr>
          <w:rFonts w:ascii="Arial" w:cs="Arial" w:eastAsia="Arial" w:hAnsi="Arial"/>
          <w:sz w:val="11"/>
          <w:szCs w:val="11"/>
          <w:color w:val="auto"/>
        </w:rPr>
      </w:pPr>
      <w:r>
        <w:rPr>
          <w:rFonts w:ascii="Arial" w:cs="Arial" w:eastAsia="Arial" w:hAnsi="Arial"/>
          <w:sz w:val="11"/>
          <w:szCs w:val="11"/>
          <w:color w:val="auto"/>
        </w:rPr>
        <w:t>Adjustment in dollar amount remaining available for repurchase from prior quarter reflects correction in counting share repurchases against authorization.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60"/>
          </w:cols>
          <w:pgMar w:left="220" w:top="141" w:right="2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as of August 31, 2019 with respect to shares of our common stock that may be issued under our existing equity compensation plans: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1940" w:type="dxa"/>
            <w:vAlign w:val="bottom"/>
          </w:tcPr>
          <w:p>
            <w:pPr>
              <w:jc w:val="center"/>
              <w:ind w:left="275"/>
              <w:spacing w:after="0"/>
              <w:rPr>
                <w:sz w:val="20"/>
                <w:szCs w:val="20"/>
                <w:color w:val="auto"/>
              </w:rPr>
            </w:pPr>
            <w:r>
              <w:rPr>
                <w:rFonts w:ascii="Arial" w:cs="Arial" w:eastAsia="Arial" w:hAnsi="Arial"/>
                <w:sz w:val="13"/>
                <w:szCs w:val="13"/>
                <w:b w:val="1"/>
                <w:bCs w:val="1"/>
                <w:color w:val="auto"/>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6"/>
              </w:rPr>
              <w:t>(b)</w:t>
            </w:r>
          </w:p>
        </w:tc>
        <w:tc>
          <w:tcPr>
            <w:tcW w:w="2500" w:type="dxa"/>
            <w:vAlign w:val="bottom"/>
          </w:tcPr>
          <w:p>
            <w:pPr>
              <w:jc w:val="center"/>
              <w:ind w:left="295"/>
              <w:spacing w:after="0"/>
              <w:rPr>
                <w:sz w:val="20"/>
                <w:szCs w:val="20"/>
                <w:color w:val="auto"/>
              </w:rPr>
            </w:pPr>
            <w:r>
              <w:rPr>
                <w:rFonts w:ascii="Arial" w:cs="Arial" w:eastAsia="Arial" w:hAnsi="Arial"/>
                <w:sz w:val="13"/>
                <w:szCs w:val="13"/>
                <w:b w:val="1"/>
                <w:bCs w:val="1"/>
                <w:color w:val="auto"/>
                <w:w w:val="87"/>
              </w:rPr>
              <w:t>(c)</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Borders>
              <w:top w:val="single" w:sz="8" w:color="auto"/>
            </w:tcBorders>
          </w:tcPr>
          <w:p>
            <w:pPr>
              <w:jc w:val="center"/>
              <w:ind w:left="295"/>
              <w:spacing w:after="0"/>
              <w:rPr>
                <w:sz w:val="20"/>
                <w:szCs w:val="20"/>
                <w:color w:val="auto"/>
              </w:rPr>
            </w:pPr>
            <w:r>
              <w:rPr>
                <w:rFonts w:ascii="Arial" w:cs="Arial" w:eastAsia="Arial" w:hAnsi="Arial"/>
                <w:sz w:val="13"/>
                <w:szCs w:val="13"/>
                <w:b w:val="1"/>
                <w:bCs w:val="1"/>
                <w:color w:val="auto"/>
                <w:w w:val="99"/>
              </w:rPr>
              <w:t>Number of Securities</w:t>
            </w:r>
          </w:p>
        </w:tc>
        <w:tc>
          <w:tcPr>
            <w:tcW w:w="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1940" w:type="dxa"/>
            <w:vAlign w:val="bottom"/>
          </w:tcPr>
          <w:p>
            <w:pPr>
              <w:jc w:val="center"/>
              <w:ind w:left="295"/>
              <w:spacing w:after="0"/>
              <w:rPr>
                <w:sz w:val="20"/>
                <w:szCs w:val="20"/>
                <w:color w:val="auto"/>
              </w:rPr>
            </w:pPr>
            <w:r>
              <w:rPr>
                <w:rFonts w:ascii="Arial" w:cs="Arial" w:eastAsia="Arial" w:hAnsi="Arial"/>
                <w:sz w:val="13"/>
                <w:szCs w:val="13"/>
                <w:b w:val="1"/>
                <w:bCs w:val="1"/>
                <w:color w:val="auto"/>
                <w:w w:val="99"/>
              </w:rPr>
              <w:t>Number of Securities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jc w:val="center"/>
              <w:ind w:left="335"/>
              <w:spacing w:after="0"/>
              <w:rPr>
                <w:sz w:val="20"/>
                <w:szCs w:val="20"/>
                <w:color w:val="auto"/>
              </w:rPr>
            </w:pPr>
            <w:r>
              <w:rPr>
                <w:rFonts w:ascii="Arial" w:cs="Arial" w:eastAsia="Arial" w:hAnsi="Arial"/>
                <w:sz w:val="13"/>
                <w:szCs w:val="13"/>
                <w:b w:val="1"/>
                <w:bCs w:val="1"/>
                <w:color w:val="auto"/>
                <w:w w:val="98"/>
              </w:rPr>
              <w:t>Remaining Available for</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1940" w:type="dxa"/>
            <w:vAlign w:val="bottom"/>
          </w:tcPr>
          <w:p>
            <w:pPr>
              <w:jc w:val="center"/>
              <w:ind w:left="275"/>
              <w:spacing w:after="0"/>
              <w:rPr>
                <w:sz w:val="20"/>
                <w:szCs w:val="20"/>
                <w:color w:val="auto"/>
              </w:rPr>
            </w:pPr>
            <w:r>
              <w:rPr>
                <w:rFonts w:ascii="Arial" w:cs="Arial" w:eastAsia="Arial" w:hAnsi="Arial"/>
                <w:sz w:val="13"/>
                <w:szCs w:val="13"/>
                <w:b w:val="1"/>
                <w:bCs w:val="1"/>
                <w:color w:val="auto"/>
                <w:w w:val="99"/>
              </w:rPr>
              <w:t>to be Issued Upon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8"/>
              </w:rPr>
              <w:t>Weighted Average</w:t>
            </w:r>
          </w:p>
        </w:tc>
        <w:tc>
          <w:tcPr>
            <w:tcW w:w="2500" w:type="dxa"/>
            <w:vAlign w:val="bottom"/>
          </w:tcPr>
          <w:p>
            <w:pPr>
              <w:jc w:val="center"/>
              <w:ind w:left="295"/>
              <w:spacing w:after="0"/>
              <w:rPr>
                <w:sz w:val="20"/>
                <w:szCs w:val="20"/>
                <w:color w:val="auto"/>
              </w:rPr>
            </w:pPr>
            <w:r>
              <w:rPr>
                <w:rFonts w:ascii="Arial" w:cs="Arial" w:eastAsia="Arial" w:hAnsi="Arial"/>
                <w:sz w:val="13"/>
                <w:szCs w:val="13"/>
                <w:b w:val="1"/>
                <w:bCs w:val="1"/>
                <w:color w:val="auto"/>
              </w:rPr>
              <w:t>Future Issuance Under</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1940" w:type="dxa"/>
            <w:vAlign w:val="bottom"/>
          </w:tcPr>
          <w:p>
            <w:pPr>
              <w:jc w:val="center"/>
              <w:ind w:left="275"/>
              <w:spacing w:after="0"/>
              <w:rPr>
                <w:sz w:val="20"/>
                <w:szCs w:val="20"/>
                <w:color w:val="auto"/>
              </w:rPr>
            </w:pPr>
            <w:r>
              <w:rPr>
                <w:rFonts w:ascii="Arial" w:cs="Arial" w:eastAsia="Arial" w:hAnsi="Arial"/>
                <w:sz w:val="13"/>
                <w:szCs w:val="13"/>
                <w:b w:val="1"/>
                <w:bCs w:val="1"/>
                <w:color w:val="auto"/>
                <w:w w:val="97"/>
              </w:rPr>
              <w:t>Exercise of</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9"/>
              </w:rPr>
              <w:t>Exercise Price of</w:t>
            </w:r>
          </w:p>
        </w:tc>
        <w:tc>
          <w:tcPr>
            <w:tcW w:w="2500" w:type="dxa"/>
            <w:vAlign w:val="bottom"/>
          </w:tcPr>
          <w:p>
            <w:pPr>
              <w:jc w:val="center"/>
              <w:ind w:left="295"/>
              <w:spacing w:after="0"/>
              <w:rPr>
                <w:sz w:val="20"/>
                <w:szCs w:val="20"/>
                <w:color w:val="auto"/>
              </w:rPr>
            </w:pPr>
            <w:r>
              <w:rPr>
                <w:rFonts w:ascii="Arial" w:cs="Arial" w:eastAsia="Arial" w:hAnsi="Arial"/>
                <w:sz w:val="13"/>
                <w:szCs w:val="13"/>
                <w:b w:val="1"/>
                <w:bCs w:val="1"/>
                <w:color w:val="auto"/>
                <w:w w:val="98"/>
              </w:rPr>
              <w:t>Equity Compensation Plans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1940" w:type="dxa"/>
            <w:vAlign w:val="bottom"/>
          </w:tcPr>
          <w:p>
            <w:pPr>
              <w:jc w:val="center"/>
              <w:ind w:left="275"/>
              <w:spacing w:after="0"/>
              <w:rPr>
                <w:sz w:val="20"/>
                <w:szCs w:val="20"/>
                <w:color w:val="auto"/>
              </w:rPr>
            </w:pPr>
            <w:r>
              <w:rPr>
                <w:rFonts w:ascii="Arial" w:cs="Arial" w:eastAsia="Arial" w:hAnsi="Arial"/>
                <w:sz w:val="13"/>
                <w:szCs w:val="13"/>
                <w:b w:val="1"/>
                <w:bCs w:val="1"/>
                <w:color w:val="auto"/>
                <w:w w:val="99"/>
              </w:rPr>
              <w:t>Outstanding Options,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9"/>
              </w:rPr>
              <w:t>Outstanding Options,</w:t>
            </w:r>
          </w:p>
        </w:tc>
        <w:tc>
          <w:tcPr>
            <w:tcW w:w="2500" w:type="dxa"/>
            <w:vAlign w:val="bottom"/>
          </w:tcPr>
          <w:p>
            <w:pPr>
              <w:jc w:val="center"/>
              <w:ind w:left="335"/>
              <w:spacing w:after="0"/>
              <w:rPr>
                <w:sz w:val="20"/>
                <w:szCs w:val="20"/>
                <w:color w:val="auto"/>
              </w:rPr>
            </w:pPr>
            <w:r>
              <w:rPr>
                <w:rFonts w:ascii="Arial" w:cs="Arial" w:eastAsia="Arial" w:hAnsi="Arial"/>
                <w:sz w:val="13"/>
                <w:szCs w:val="13"/>
                <w:b w:val="1"/>
                <w:bCs w:val="1"/>
                <w:color w:val="auto"/>
                <w:w w:val="98"/>
              </w:rPr>
              <w:t>(Excluding Securities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20"/>
              <w:spacing w:after="0"/>
              <w:rPr>
                <w:sz w:val="20"/>
                <w:szCs w:val="20"/>
                <w:color w:val="auto"/>
              </w:rPr>
            </w:pPr>
            <w:r>
              <w:rPr>
                <w:rFonts w:ascii="Arial" w:cs="Arial" w:eastAsia="Arial" w:hAnsi="Arial"/>
                <w:sz w:val="13"/>
                <w:szCs w:val="13"/>
                <w:b w:val="1"/>
                <w:bCs w:val="1"/>
                <w:color w:val="auto"/>
              </w:rPr>
              <w:t>Plan Category</w:t>
            </w:r>
          </w:p>
        </w:tc>
        <w:tc>
          <w:tcPr>
            <w:tcW w:w="1940" w:type="dxa"/>
            <w:vAlign w:val="bottom"/>
          </w:tcPr>
          <w:p>
            <w:pPr>
              <w:jc w:val="center"/>
              <w:ind w:left="335"/>
              <w:spacing w:after="0"/>
              <w:rPr>
                <w:sz w:val="20"/>
                <w:szCs w:val="20"/>
                <w:color w:val="auto"/>
              </w:rPr>
            </w:pPr>
            <w:r>
              <w:rPr>
                <w:rFonts w:ascii="Arial" w:cs="Arial" w:eastAsia="Arial" w:hAnsi="Arial"/>
                <w:sz w:val="13"/>
                <w:szCs w:val="13"/>
                <w:b w:val="1"/>
                <w:bCs w:val="1"/>
                <w:color w:val="auto"/>
                <w:w w:val="99"/>
              </w:rPr>
              <w:t>Warrants and Rights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jc w:val="center"/>
              <w:ind w:right="400"/>
              <w:spacing w:after="0" w:line="187" w:lineRule="exact"/>
              <w:rPr>
                <w:sz w:val="20"/>
                <w:szCs w:val="20"/>
                <w:color w:val="auto"/>
              </w:rPr>
            </w:pPr>
            <w:r>
              <w:rPr>
                <w:rFonts w:ascii="Arial" w:cs="Arial" w:eastAsia="Arial" w:hAnsi="Arial"/>
                <w:sz w:val="13"/>
                <w:szCs w:val="13"/>
                <w:b w:val="1"/>
                <w:bCs w:val="1"/>
                <w:color w:val="auto"/>
                <w:w w:val="96"/>
              </w:rPr>
              <w:t>Warrants and Rights</w:t>
            </w:r>
            <w:r>
              <w:rPr>
                <w:rFonts w:ascii="Arial" w:cs="Arial" w:eastAsia="Arial" w:hAnsi="Arial"/>
                <w:sz w:val="17"/>
                <w:szCs w:val="17"/>
                <w:b w:val="1"/>
                <w:bCs w:val="1"/>
                <w:color w:val="auto"/>
                <w:w w:val="96"/>
                <w:vertAlign w:val="superscript"/>
              </w:rPr>
              <w:t>(1)</w:t>
            </w:r>
          </w:p>
        </w:tc>
        <w:tc>
          <w:tcPr>
            <w:tcW w:w="2500" w:type="dxa"/>
            <w:vAlign w:val="bottom"/>
          </w:tcPr>
          <w:p>
            <w:pPr>
              <w:jc w:val="center"/>
              <w:ind w:left="335"/>
              <w:spacing w:after="0"/>
              <w:rPr>
                <w:sz w:val="20"/>
                <w:szCs w:val="20"/>
                <w:color w:val="auto"/>
              </w:rPr>
            </w:pPr>
            <w:r>
              <w:rPr>
                <w:rFonts w:ascii="Arial" w:cs="Arial" w:eastAsia="Arial" w:hAnsi="Arial"/>
                <w:sz w:val="13"/>
                <w:szCs w:val="13"/>
                <w:b w:val="1"/>
                <w:bCs w:val="1"/>
                <w:color w:val="auto"/>
              </w:rPr>
              <w:t>Reflected in (a))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Equity compensation plans</w:t>
            </w:r>
          </w:p>
        </w:tc>
        <w:tc>
          <w:tcPr>
            <w:tcW w:w="1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57"/>
              <w:spacing w:after="0"/>
              <w:rPr>
                <w:sz w:val="20"/>
                <w:szCs w:val="20"/>
                <w:color w:val="auto"/>
              </w:rPr>
            </w:pPr>
            <w:r>
              <w:rPr>
                <w:rFonts w:ascii="Arial" w:cs="Arial" w:eastAsia="Arial" w:hAnsi="Arial"/>
                <w:sz w:val="9"/>
                <w:szCs w:val="9"/>
                <w:color w:val="auto"/>
                <w:w w:val="90"/>
              </w:rPr>
              <w:t>(2)</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approved by shareholders - 2004 Plan</w:t>
            </w: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6,500</w:t>
            </w:r>
          </w:p>
        </w:tc>
        <w:tc>
          <w:tcPr>
            <w:tcW w:w="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80" w:type="dxa"/>
            <w:vAlign w:val="bottom"/>
          </w:tcPr>
          <w:p>
            <w:pPr>
              <w:ind w:left="20"/>
              <w:spacing w:after="0"/>
              <w:rPr>
                <w:sz w:val="20"/>
                <w:szCs w:val="20"/>
                <w:color w:val="auto"/>
              </w:rPr>
            </w:pPr>
            <w:r>
              <w:rPr>
                <w:rFonts w:ascii="Arial" w:cs="Arial" w:eastAsia="Arial" w:hAnsi="Arial"/>
                <w:sz w:val="13"/>
                <w:szCs w:val="13"/>
                <w:color w:val="auto"/>
              </w:rPr>
              <w:t>Equity compensation plans</w:t>
            </w:r>
          </w:p>
        </w:tc>
        <w:tc>
          <w:tcPr>
            <w:tcW w:w="1940" w:type="dxa"/>
            <w:vAlign w:val="bottom"/>
          </w:tcPr>
          <w:p>
            <w:pPr>
              <w:spacing w:after="0"/>
              <w:rPr>
                <w:sz w:val="15"/>
                <w:szCs w:val="15"/>
                <w:color w:val="auto"/>
              </w:rPr>
            </w:pPr>
          </w:p>
        </w:tc>
        <w:tc>
          <w:tcPr>
            <w:tcW w:w="320" w:type="dxa"/>
            <w:vAlign w:val="bottom"/>
            <w:vMerge w:val="restart"/>
          </w:tcPr>
          <w:p>
            <w:pPr>
              <w:jc w:val="right"/>
              <w:ind w:right="157"/>
              <w:spacing w:after="0"/>
              <w:rPr>
                <w:sz w:val="20"/>
                <w:szCs w:val="20"/>
                <w:color w:val="auto"/>
              </w:rPr>
            </w:pPr>
            <w:r>
              <w:rPr>
                <w:rFonts w:ascii="Arial" w:cs="Arial" w:eastAsia="Arial" w:hAnsi="Arial"/>
                <w:sz w:val="9"/>
                <w:szCs w:val="9"/>
                <w:color w:val="auto"/>
                <w:w w:val="90"/>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880" w:type="dxa"/>
            <w:vAlign w:val="bottom"/>
          </w:tcPr>
          <w:p>
            <w:pPr>
              <w:ind w:left="20"/>
              <w:spacing w:after="0"/>
              <w:rPr>
                <w:sz w:val="20"/>
                <w:szCs w:val="20"/>
                <w:color w:val="auto"/>
              </w:rPr>
            </w:pPr>
            <w:r>
              <w:rPr>
                <w:rFonts w:ascii="Arial" w:cs="Arial" w:eastAsia="Arial" w:hAnsi="Arial"/>
                <w:sz w:val="13"/>
                <w:szCs w:val="13"/>
                <w:color w:val="auto"/>
              </w:rPr>
              <w:t>approved by shareholders - 2014 Plan</w:t>
            </w:r>
          </w:p>
        </w:tc>
        <w:tc>
          <w:tcPr>
            <w:tcW w:w="1940" w:type="dxa"/>
            <w:vAlign w:val="bottom"/>
          </w:tcPr>
          <w:p>
            <w:pPr>
              <w:jc w:val="right"/>
              <w:ind w:right="55"/>
              <w:spacing w:after="0"/>
              <w:rPr>
                <w:sz w:val="20"/>
                <w:szCs w:val="20"/>
                <w:color w:val="auto"/>
              </w:rPr>
            </w:pPr>
            <w:r>
              <w:rPr>
                <w:rFonts w:ascii="Arial" w:cs="Arial" w:eastAsia="Arial" w:hAnsi="Arial"/>
                <w:sz w:val="13"/>
                <w:szCs w:val="13"/>
                <w:color w:val="auto"/>
              </w:rPr>
              <w:t>667,764</w:t>
            </w: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920" w:type="dxa"/>
            <w:vAlign w:val="bottom"/>
          </w:tcPr>
          <w:p>
            <w:pPr>
              <w:jc w:val="right"/>
              <w:ind w:right="35"/>
              <w:spacing w:after="0"/>
              <w:rPr>
                <w:sz w:val="20"/>
                <w:szCs w:val="20"/>
                <w:color w:val="auto"/>
              </w:rPr>
            </w:pPr>
            <w:r>
              <w:rPr>
                <w:rFonts w:ascii="Arial" w:cs="Arial" w:eastAsia="Arial" w:hAnsi="Arial"/>
                <w:sz w:val="13"/>
                <w:szCs w:val="13"/>
                <w:color w:val="auto"/>
              </w:rPr>
              <w:t>34.43</w:t>
            </w:r>
          </w:p>
        </w:tc>
        <w:tc>
          <w:tcPr>
            <w:tcW w:w="120" w:type="dxa"/>
            <w:vAlign w:val="bottom"/>
          </w:tcPr>
          <w:p>
            <w:pPr>
              <w:spacing w:after="0"/>
              <w:rPr>
                <w:sz w:val="14"/>
                <w:szCs w:val="14"/>
                <w:color w:val="auto"/>
              </w:rPr>
            </w:pPr>
          </w:p>
        </w:tc>
        <w:tc>
          <w:tcPr>
            <w:tcW w:w="25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compensation plans</w:t>
            </w:r>
          </w:p>
        </w:tc>
        <w:tc>
          <w:tcPr>
            <w:tcW w:w="19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57"/>
              <w:spacing w:after="0"/>
              <w:rPr>
                <w:sz w:val="20"/>
                <w:szCs w:val="20"/>
                <w:color w:val="auto"/>
              </w:rPr>
            </w:pPr>
            <w:r>
              <w:rPr>
                <w:rFonts w:ascii="Arial" w:cs="Arial" w:eastAsia="Arial" w:hAnsi="Arial"/>
                <w:sz w:val="9"/>
                <w:szCs w:val="9"/>
                <w:color w:val="auto"/>
                <w:w w:val="90"/>
              </w:rPr>
              <w:t>(4)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approved by shareholders - 2019 Plan</w:t>
            </w: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4,101,850</w:t>
            </w:r>
          </w:p>
        </w:tc>
        <w:tc>
          <w:tcPr>
            <w:tcW w:w="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Arial" w:cs="Arial" w:eastAsia="Arial" w:hAnsi="Arial"/>
                <w:sz w:val="13"/>
                <w:szCs w:val="13"/>
                <w:color w:val="auto"/>
              </w:rPr>
              <w:t>Equity compensation plans approved by shareholders - ESPP</w:t>
            </w:r>
          </w:p>
        </w:tc>
        <w:tc>
          <w:tcPr>
            <w:tcW w:w="1940" w:type="dxa"/>
            <w:vAlign w:val="bottom"/>
          </w:tcPr>
          <w:p>
            <w:pPr>
              <w:jc w:val="right"/>
              <w:ind w:right="55"/>
              <w:spacing w:after="0"/>
              <w:rPr>
                <w:sz w:val="20"/>
                <w:szCs w:val="20"/>
                <w:color w:val="auto"/>
              </w:rPr>
            </w:pPr>
            <w:r>
              <w:rPr>
                <w:rFonts w:ascii="Arial" w:cs="Arial" w:eastAsia="Arial" w:hAnsi="Arial"/>
                <w:sz w:val="13"/>
                <w:szCs w:val="13"/>
                <w:color w:val="auto"/>
              </w:rPr>
              <w:t>1,820</w:t>
            </w:r>
          </w:p>
        </w:tc>
        <w:tc>
          <w:tcPr>
            <w:tcW w:w="320" w:type="dxa"/>
            <w:vAlign w:val="bottom"/>
          </w:tcPr>
          <w:p>
            <w:pPr>
              <w:jc w:val="right"/>
              <w:ind w:right="157"/>
              <w:spacing w:after="0"/>
              <w:rPr>
                <w:sz w:val="20"/>
                <w:szCs w:val="20"/>
                <w:color w:val="auto"/>
              </w:rPr>
            </w:pPr>
            <w:r>
              <w:rPr>
                <w:rFonts w:ascii="Arial" w:cs="Arial" w:eastAsia="Arial" w:hAnsi="Arial"/>
                <w:sz w:val="9"/>
                <w:szCs w:val="9"/>
                <w:color w:val="auto"/>
                <w:w w:val="90"/>
              </w:rPr>
              <w:t>(6)</w:t>
            </w:r>
          </w:p>
        </w:tc>
        <w:tc>
          <w:tcPr>
            <w:tcW w:w="12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500" w:type="dxa"/>
            <w:vAlign w:val="bottom"/>
          </w:tcPr>
          <w:p>
            <w:pPr>
              <w:jc w:val="right"/>
              <w:ind w:right="35"/>
              <w:spacing w:after="0"/>
              <w:rPr>
                <w:sz w:val="20"/>
                <w:szCs w:val="20"/>
                <w:color w:val="auto"/>
              </w:rPr>
            </w:pPr>
            <w:r>
              <w:rPr>
                <w:rFonts w:ascii="Arial" w:cs="Arial" w:eastAsia="Arial" w:hAnsi="Arial"/>
                <w:sz w:val="13"/>
                <w:szCs w:val="13"/>
                <w:color w:val="auto"/>
              </w:rPr>
              <w:t>149,342</w:t>
            </w:r>
          </w:p>
        </w:tc>
        <w:tc>
          <w:tcPr>
            <w:tcW w:w="340" w:type="dxa"/>
            <w:vAlign w:val="bottom"/>
          </w:tcPr>
          <w:p>
            <w:pPr>
              <w:ind w:left="20"/>
              <w:spacing w:after="0"/>
              <w:rPr>
                <w:sz w:val="20"/>
                <w:szCs w:val="20"/>
                <w:color w:val="auto"/>
              </w:rPr>
            </w:pP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178"/>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compensation plans not</w:t>
            </w:r>
          </w:p>
        </w:tc>
        <w:tc>
          <w:tcPr>
            <w:tcW w:w="1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approved by shareholders</w:t>
            </w:r>
            <w:r>
              <w:rPr>
                <w:rFonts w:ascii="Arial" w:cs="Arial" w:eastAsia="Arial" w:hAnsi="Arial"/>
                <w:sz w:val="17"/>
                <w:szCs w:val="17"/>
                <w:color w:val="auto"/>
                <w:vertAlign w:val="superscript"/>
              </w:rPr>
              <w:t>(8)</w:t>
            </w: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35,198</w:t>
            </w: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90"/>
              </w:rPr>
              <w:t>(9)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182"/>
        </w:trPr>
        <w:tc>
          <w:tcPr>
            <w:tcW w:w="3880" w:type="dxa"/>
            <w:vAlign w:val="bottom"/>
          </w:tcPr>
          <w:p>
            <w:pPr>
              <w:ind w:left="140"/>
              <w:spacing w:after="0"/>
              <w:rPr>
                <w:sz w:val="20"/>
                <w:szCs w:val="20"/>
                <w:color w:val="auto"/>
              </w:rPr>
            </w:pPr>
            <w:r>
              <w:rPr>
                <w:rFonts w:ascii="Arial" w:cs="Arial" w:eastAsia="Arial" w:hAnsi="Arial"/>
                <w:sz w:val="13"/>
                <w:szCs w:val="13"/>
                <w:color w:val="auto"/>
              </w:rPr>
              <w:t>Total</w:t>
            </w:r>
          </w:p>
        </w:tc>
        <w:tc>
          <w:tcPr>
            <w:tcW w:w="19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711,282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34.43</w:t>
            </w:r>
          </w:p>
        </w:tc>
        <w:tc>
          <w:tcPr>
            <w:tcW w:w="120" w:type="dxa"/>
            <w:vAlign w:val="bottom"/>
          </w:tcPr>
          <w:p>
            <w:pPr>
              <w:spacing w:after="0"/>
              <w:rPr>
                <w:sz w:val="15"/>
                <w:szCs w:val="15"/>
                <w:color w:val="auto"/>
              </w:rPr>
            </w:pPr>
          </w:p>
        </w:tc>
        <w:tc>
          <w:tcPr>
            <w:tcW w:w="2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4,251,192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This number represents the weighted average exercise price of outstanding stock options only. Restricted share awards do not have an exercise price so weighted average is not applicable.</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This number represents unvested share awards granted under the 2004 Plan. No new grants may be made under the 2004 Plan.</w:t>
      </w:r>
    </w:p>
    <w:p>
      <w:pPr>
        <w:spacing w:after="0" w:line="2" w:lineRule="exact"/>
        <w:rPr>
          <w:rFonts w:ascii="Arial" w:cs="Arial" w:eastAsia="Arial" w:hAnsi="Arial"/>
          <w:sz w:val="11"/>
          <w:szCs w:val="11"/>
          <w:color w:val="auto"/>
        </w:rPr>
      </w:pPr>
    </w:p>
    <w:p>
      <w:pPr>
        <w:ind w:left="260" w:right="60" w:hanging="254"/>
        <w:spacing w:after="0" w:line="245" w:lineRule="auto"/>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This number represents stock options and unvested stock awards granted under the 2014 Omnibus Equity, Performance Award, and Incentive Compensation Plan, as amended ("2014 Plan"). The 2014 Plan replaced the 2004 Plan effective January 1, 2014.</w:t>
      </w: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This number represents stock options and unvested stock awards granted under the Winnebago Industries, Inc. 2019 Omnibus Incentive Plan ("2019 Plan"), which replaced the 2014 Plan effective on December 11, 2018.</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This number represents shares available for grant of awards under the 2019 Plan as of August 31, 2019.</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This number represents unvested stock awards granted under the Winnebago Industries, Inc. Employee Stock Purchase Plan ("ESPP").</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This number represents shares available for issuance under the ESPP as of August 31, 2019.</w:t>
      </w:r>
    </w:p>
    <w:p>
      <w:pPr>
        <w:spacing w:after="0" w:line="2" w:lineRule="exact"/>
        <w:rPr>
          <w:rFonts w:ascii="Arial" w:cs="Arial" w:eastAsia="Arial" w:hAnsi="Arial"/>
          <w:sz w:val="11"/>
          <w:szCs w:val="11"/>
          <w:color w:val="auto"/>
        </w:rPr>
      </w:pPr>
    </w:p>
    <w:p>
      <w:pPr>
        <w:ind w:left="260" w:right="360" w:hanging="254"/>
        <w:spacing w:after="0" w:line="245" w:lineRule="auto"/>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Our sole equity compensation plan not previously submitted to our shareholders for approval is the Directors' Deferred Compensation Plan, as amended ("Directors' Plan"). The Board of Directors may terminate the Directors' Plan at any time. If not terminated earlier, the Directors' Plan will automatically terminate on June 30, 2023. For a description of the key provisions of the Directors' Plan, see the information in our Proxy Statement for the Annual Meeting of Shareholders scheduled to be held December 17, 2019 under the caption "Director Compensation," which information is incorporated by reference herein.</w:t>
      </w: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shares of common stock issued to a trust which underlie stock units, payable on a one-for-one basis, credited to stock unit accounts as of August 31, 2019 under the Directors' Plan.</w:t>
      </w:r>
    </w:p>
    <w:p>
      <w:pPr>
        <w:spacing w:after="0" w:line="2" w:lineRule="exact"/>
        <w:rPr>
          <w:rFonts w:ascii="Arial" w:cs="Arial" w:eastAsia="Arial" w:hAnsi="Arial"/>
          <w:sz w:val="11"/>
          <w:szCs w:val="11"/>
          <w:color w:val="auto"/>
        </w:rPr>
      </w:pPr>
    </w:p>
    <w:p>
      <w:pPr>
        <w:ind w:left="260" w:right="200" w:hanging="254"/>
        <w:spacing w:after="0" w:line="267" w:lineRule="auto"/>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the director's compensation deferred and the per share price of our common stock at the time of deferral.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60"/>
          </w:cols>
          <w:pgMar w:left="220" w:top="141" w:right="21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Graph</w:t>
      </w:r>
    </w:p>
    <w:p>
      <w:pPr>
        <w:spacing w:after="0" w:line="168"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30, 2014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4763135" cy="273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135" cy="273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Base Period</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57"/>
        </w:trPr>
        <w:tc>
          <w:tcPr>
            <w:tcW w:w="334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August 30,</w:t>
            </w:r>
          </w:p>
        </w:tc>
        <w:tc>
          <w:tcPr>
            <w:tcW w:w="1400" w:type="dxa"/>
            <w:vAlign w:val="bottom"/>
            <w:gridSpan w:val="2"/>
          </w:tcPr>
          <w:p>
            <w:pPr>
              <w:ind w:left="300"/>
              <w:spacing w:after="0"/>
              <w:rPr>
                <w:sz w:val="20"/>
                <w:szCs w:val="20"/>
                <w:color w:val="auto"/>
              </w:rPr>
            </w:pPr>
            <w:r>
              <w:rPr>
                <w:rFonts w:ascii="Arial" w:cs="Arial" w:eastAsia="Arial" w:hAnsi="Arial"/>
                <w:sz w:val="13"/>
                <w:szCs w:val="13"/>
                <w:b w:val="1"/>
                <w:bCs w:val="1"/>
                <w:color w:val="auto"/>
              </w:rPr>
              <w:t>August 29,</w:t>
            </w:r>
          </w:p>
        </w:tc>
        <w:tc>
          <w:tcPr>
            <w:tcW w:w="1380" w:type="dxa"/>
            <w:vAlign w:val="bottom"/>
            <w:gridSpan w:val="2"/>
          </w:tcPr>
          <w:p>
            <w:pPr>
              <w:ind w:left="280"/>
              <w:spacing w:after="0"/>
              <w:rPr>
                <w:sz w:val="20"/>
                <w:szCs w:val="20"/>
                <w:color w:val="auto"/>
              </w:rPr>
            </w:pPr>
            <w:r>
              <w:rPr>
                <w:rFonts w:ascii="Arial" w:cs="Arial" w:eastAsia="Arial" w:hAnsi="Arial"/>
                <w:sz w:val="13"/>
                <w:szCs w:val="13"/>
                <w:b w:val="1"/>
                <w:bCs w:val="1"/>
                <w:color w:val="auto"/>
              </w:rPr>
              <w:t>August 27,</w:t>
            </w:r>
          </w:p>
        </w:tc>
        <w:tc>
          <w:tcPr>
            <w:tcW w:w="1360" w:type="dxa"/>
            <w:vAlign w:val="bottom"/>
            <w:gridSpan w:val="2"/>
          </w:tcPr>
          <w:p>
            <w:pPr>
              <w:ind w:left="280"/>
              <w:spacing w:after="0"/>
              <w:rPr>
                <w:sz w:val="20"/>
                <w:szCs w:val="20"/>
                <w:color w:val="auto"/>
              </w:rPr>
            </w:pPr>
            <w:r>
              <w:rPr>
                <w:rFonts w:ascii="Arial" w:cs="Arial" w:eastAsia="Arial" w:hAnsi="Arial"/>
                <w:sz w:val="13"/>
                <w:szCs w:val="13"/>
                <w:b w:val="1"/>
                <w:bCs w:val="1"/>
                <w:color w:val="auto"/>
              </w:rPr>
              <w:t>August 26,</w:t>
            </w:r>
          </w:p>
        </w:tc>
        <w:tc>
          <w:tcPr>
            <w:tcW w:w="1360" w:type="dxa"/>
            <w:vAlign w:val="bottom"/>
            <w:gridSpan w:val="2"/>
          </w:tcPr>
          <w:p>
            <w:pPr>
              <w:ind w:left="280"/>
              <w:spacing w:after="0"/>
              <w:rPr>
                <w:sz w:val="20"/>
                <w:szCs w:val="20"/>
                <w:color w:val="auto"/>
              </w:rPr>
            </w:pPr>
            <w:r>
              <w:rPr>
                <w:rFonts w:ascii="Arial" w:cs="Arial" w:eastAsia="Arial" w:hAnsi="Arial"/>
                <w:sz w:val="13"/>
                <w:szCs w:val="13"/>
                <w:b w:val="1"/>
                <w:bCs w:val="1"/>
                <w:color w:val="auto"/>
              </w:rPr>
              <w:t>August 25,</w:t>
            </w:r>
          </w:p>
        </w:tc>
        <w:tc>
          <w:tcPr>
            <w:tcW w:w="1240" w:type="dxa"/>
            <w:vAlign w:val="bottom"/>
          </w:tcPr>
          <w:p>
            <w:pPr>
              <w:jc w:val="right"/>
              <w:ind w:right="255"/>
              <w:spacing w:after="0"/>
              <w:rPr>
                <w:sz w:val="20"/>
                <w:szCs w:val="20"/>
                <w:color w:val="auto"/>
              </w:rPr>
            </w:pPr>
            <w:r>
              <w:rPr>
                <w:rFonts w:ascii="Arial" w:cs="Arial" w:eastAsia="Arial" w:hAnsi="Arial"/>
                <w:sz w:val="13"/>
                <w:szCs w:val="13"/>
                <w:b w:val="1"/>
                <w:bCs w:val="1"/>
                <w:color w:val="auto"/>
              </w:rPr>
              <w:t>August 31,</w:t>
            </w:r>
          </w:p>
        </w:tc>
      </w:tr>
      <w:tr>
        <w:trPr>
          <w:trHeight w:val="17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Company/Index</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2019</w:t>
            </w: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Winnebago Industries, Inc.</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83.98</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100.25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146.84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159.98</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139.15</w:t>
            </w:r>
          </w:p>
        </w:tc>
      </w:tr>
      <w:tr>
        <w:trPr>
          <w:trHeight w:val="208"/>
        </w:trPr>
        <w:tc>
          <w:tcPr>
            <w:tcW w:w="3340" w:type="dxa"/>
            <w:vAlign w:val="bottom"/>
          </w:tcPr>
          <w:p>
            <w:pPr>
              <w:ind w:left="20"/>
              <w:spacing w:after="0"/>
              <w:rPr>
                <w:sz w:val="20"/>
                <w:szCs w:val="20"/>
                <w:color w:val="auto"/>
              </w:rPr>
            </w:pPr>
            <w:r>
              <w:rPr>
                <w:rFonts w:ascii="Arial" w:cs="Arial" w:eastAsia="Arial" w:hAnsi="Arial"/>
                <w:sz w:val="13"/>
                <w:szCs w:val="13"/>
                <w:color w:val="auto"/>
              </w:rPr>
              <w:t>S&amp;P 500 Index</w:t>
            </w: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101.32</w:t>
            </w:r>
          </w:p>
        </w:tc>
        <w:tc>
          <w:tcPr>
            <w:tcW w:w="12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112.94</w:t>
            </w: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129.87</w:t>
            </w: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155.77</w:t>
            </w: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161.89</w:t>
            </w: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Peer Group</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99.79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90.86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106.13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117.57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80.43</w:t>
            </w:r>
          </w:p>
        </w:tc>
      </w:tr>
      <w:tr>
        <w:trPr>
          <w:trHeight w:val="200"/>
        </w:trPr>
        <w:tc>
          <w:tcPr>
            <w:tcW w:w="3340" w:type="dxa"/>
            <w:vAlign w:val="bottom"/>
          </w:tcPr>
          <w:p>
            <w:pPr>
              <w:spacing w:after="0"/>
              <w:rPr>
                <w:sz w:val="20"/>
                <w:szCs w:val="20"/>
                <w:color w:val="auto"/>
              </w:rPr>
            </w:pPr>
            <w:r>
              <w:rPr>
                <w:rFonts w:ascii="Arial" w:cs="Arial" w:eastAsia="Arial" w:hAnsi="Arial"/>
                <w:sz w:val="13"/>
                <w:szCs w:val="13"/>
                <w:i w:val="1"/>
                <w:iCs w:val="1"/>
                <w:color w:val="auto"/>
              </w:rPr>
              <w:t>Source: Zacks Investment Research, Inc.</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96"/>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35"/>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60"/>
          </w:cols>
          <w:pgMar w:left="220" w:top="141" w:right="21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2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352"/>
        </w:trPr>
        <w:tc>
          <w:tcPr>
            <w:tcW w:w="3660" w:type="dxa"/>
            <w:vAlign w:val="bottom"/>
            <w:gridSpan w:val="2"/>
          </w:tcPr>
          <w:p>
            <w:pPr>
              <w:spacing w:after="0"/>
              <w:rPr>
                <w:sz w:val="20"/>
                <w:szCs w:val="20"/>
                <w:color w:val="auto"/>
              </w:rPr>
            </w:pPr>
            <w:r>
              <w:rPr>
                <w:rFonts w:ascii="Arial" w:cs="Arial" w:eastAsia="Arial" w:hAnsi="Arial"/>
                <w:sz w:val="13"/>
                <w:szCs w:val="13"/>
                <w:b w:val="1"/>
                <w:bCs w:val="1"/>
                <w:color w:val="auto"/>
              </w:rPr>
              <w:t>Item 6. Selected Financial Data.</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36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1"/>
        </w:trPr>
        <w:tc>
          <w:tcPr>
            <w:tcW w:w="3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Fiscal Year</w:t>
            </w:r>
          </w:p>
        </w:tc>
        <w:tc>
          <w:tcPr>
            <w:tcW w:w="1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2017</w:t>
            </w:r>
            <w:r>
              <w:rPr>
                <w:rFonts w:ascii="Arial" w:cs="Arial" w:eastAsia="Arial" w:hAnsi="Arial"/>
                <w:sz w:val="17"/>
                <w:szCs w:val="17"/>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2015</w:t>
            </w:r>
          </w:p>
        </w:tc>
      </w:tr>
      <w:tr>
        <w:trPr>
          <w:trHeight w:val="20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Statements of Income Data:</w:t>
            </w:r>
          </w:p>
        </w:tc>
        <w:tc>
          <w:tcPr>
            <w:tcW w:w="1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8"/>
        </w:trPr>
        <w:tc>
          <w:tcPr>
            <w:tcW w:w="3660" w:type="dxa"/>
            <w:vAlign w:val="bottom"/>
            <w:gridSpan w:val="2"/>
          </w:tcPr>
          <w:p>
            <w:pPr>
              <w:ind w:left="20"/>
              <w:spacing w:after="0"/>
              <w:rPr>
                <w:sz w:val="20"/>
                <w:szCs w:val="20"/>
                <w:color w:val="auto"/>
              </w:rPr>
            </w:pPr>
            <w:r>
              <w:rPr>
                <w:rFonts w:ascii="Arial" w:cs="Arial" w:eastAsia="Arial" w:hAnsi="Arial"/>
                <w:sz w:val="13"/>
                <w:szCs w:val="13"/>
                <w:color w:val="auto"/>
              </w:rPr>
              <w:t>Net revenues</w:t>
            </w:r>
          </w:p>
        </w:tc>
        <w:tc>
          <w:tcPr>
            <w:tcW w:w="134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1,985,674</w:t>
            </w:r>
          </w:p>
        </w:tc>
        <w:tc>
          <w:tcPr>
            <w:tcW w:w="120" w:type="dxa"/>
            <w:vAlign w:val="bottom"/>
          </w:tcPr>
          <w:p>
            <w:pPr>
              <w:spacing w:after="0"/>
              <w:rPr>
                <w:sz w:val="18"/>
                <w:szCs w:val="18"/>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2,016,829</w:t>
            </w:r>
          </w:p>
        </w:tc>
        <w:tc>
          <w:tcPr>
            <w:tcW w:w="1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1,547,119</w:t>
            </w:r>
          </w:p>
        </w:tc>
        <w:tc>
          <w:tcPr>
            <w:tcW w:w="120" w:type="dxa"/>
            <w:vAlign w:val="bottom"/>
          </w:tcPr>
          <w:p>
            <w:pPr>
              <w:spacing w:after="0"/>
              <w:rPr>
                <w:sz w:val="18"/>
                <w:szCs w:val="18"/>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975,226</w:t>
            </w:r>
          </w:p>
        </w:tc>
        <w:tc>
          <w:tcPr>
            <w:tcW w:w="10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976,505</w:t>
            </w:r>
          </w:p>
        </w:tc>
      </w:tr>
      <w:tr>
        <w:trPr>
          <w:trHeight w:val="22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111,798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102,357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71,330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45,496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41,210</w:t>
            </w:r>
          </w:p>
        </w:tc>
      </w:tr>
      <w:tr>
        <w:trPr>
          <w:trHeight w:val="208"/>
        </w:trPr>
        <w:tc>
          <w:tcPr>
            <w:tcW w:w="3660" w:type="dxa"/>
            <w:vAlign w:val="bottom"/>
            <w:gridSpan w:val="2"/>
          </w:tcPr>
          <w:p>
            <w:pPr>
              <w:ind w:left="20"/>
              <w:spacing w:after="0"/>
              <w:rPr>
                <w:sz w:val="20"/>
                <w:szCs w:val="20"/>
                <w:color w:val="auto"/>
              </w:rPr>
            </w:pPr>
            <w:r>
              <w:rPr>
                <w:rFonts w:ascii="Arial" w:cs="Arial" w:eastAsia="Arial" w:hAnsi="Arial"/>
                <w:sz w:val="13"/>
                <w:szCs w:val="13"/>
                <w:color w:val="auto"/>
              </w:rPr>
              <w:t>Income per common share:</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1.53</w:t>
            </w:r>
          </w:p>
        </w:tc>
      </w:tr>
      <w:tr>
        <w:trPr>
          <w:trHeight w:val="208"/>
        </w:trPr>
        <w:tc>
          <w:tcPr>
            <w:tcW w:w="3660" w:type="dxa"/>
            <w:vAlign w:val="bottom"/>
            <w:gridSpan w:val="2"/>
          </w:tcPr>
          <w:p>
            <w:pPr>
              <w:ind w:left="140"/>
              <w:spacing w:after="0"/>
              <w:rPr>
                <w:sz w:val="20"/>
                <w:szCs w:val="20"/>
                <w:color w:val="auto"/>
              </w:rPr>
            </w:pPr>
            <w:r>
              <w:rPr>
                <w:rFonts w:ascii="Arial" w:cs="Arial" w:eastAsia="Arial" w:hAnsi="Arial"/>
                <w:sz w:val="13"/>
                <w:szCs w:val="13"/>
                <w:color w:val="auto"/>
              </w:rPr>
              <w:t>Diluted</w:t>
            </w:r>
          </w:p>
        </w:tc>
        <w:tc>
          <w:tcPr>
            <w:tcW w:w="134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1.52</w:t>
            </w:r>
          </w:p>
        </w:tc>
      </w:tr>
      <w:tr>
        <w:trPr>
          <w:trHeight w:val="22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paid per common share</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0.36</w:t>
            </w:r>
          </w:p>
        </w:tc>
      </w:tr>
      <w:tr>
        <w:trPr>
          <w:trHeight w:val="216"/>
        </w:trPr>
        <w:tc>
          <w:tcPr>
            <w:tcW w:w="1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Year End Data:</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3660" w:type="dxa"/>
            <w:vAlign w:val="bottom"/>
            <w:gridSpan w:val="2"/>
          </w:tcPr>
          <w:p>
            <w:pPr>
              <w:ind w:left="20"/>
              <w:spacing w:after="0"/>
              <w:rPr>
                <w:sz w:val="20"/>
                <w:szCs w:val="20"/>
                <w:color w:val="auto"/>
              </w:rPr>
            </w:pPr>
            <w:r>
              <w:rPr>
                <w:rFonts w:ascii="Arial" w:cs="Arial" w:eastAsia="Arial" w:hAnsi="Arial"/>
                <w:sz w:val="13"/>
                <w:szCs w:val="13"/>
                <w:color w:val="auto"/>
              </w:rPr>
              <w:t>Total assets</w:t>
            </w:r>
          </w:p>
        </w:tc>
        <w:tc>
          <w:tcPr>
            <w:tcW w:w="134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1,104,231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1,051,805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902,512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390,718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362,174</w:t>
            </w:r>
          </w:p>
        </w:tc>
      </w:tr>
      <w:tr>
        <w:trPr>
          <w:trHeight w:val="22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274,275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313,175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293,680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29,410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59,601</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Note: Fiscal 2019 included 53 weeks. All other years presented included 52 weeks.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(1) Includes Grand Design operations from the date of its acquisition on November 8, 2016.</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six sections:</w:t>
      </w:r>
    </w:p>
    <w:p>
      <w:pPr>
        <w:spacing w:after="0" w:line="140" w:lineRule="exact"/>
        <w:rPr>
          <w:sz w:val="20"/>
          <w:szCs w:val="20"/>
          <w:color w:val="auto"/>
        </w:rPr>
      </w:pPr>
    </w:p>
    <w:p>
      <w:pPr>
        <w:ind w:left="520" w:hanging="25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Overview</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Results of Operations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Analysis of Financial Condition, Liquidity, and Capital Resources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Contractual Obligations and Commercial Commitments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Critical Accounting Estimates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New Accounting Pronouncements</w:t>
      </w:r>
    </w:p>
    <w:p>
      <w:pPr>
        <w:spacing w:after="0" w:line="138" w:lineRule="exact"/>
        <w:rPr>
          <w:sz w:val="20"/>
          <w:szCs w:val="20"/>
          <w:color w:val="auto"/>
        </w:rPr>
      </w:pPr>
    </w:p>
    <w:p>
      <w:pPr>
        <w:ind w:right="280"/>
        <w:spacing w:after="0" w:line="273" w:lineRule="auto"/>
        <w:rPr>
          <w:sz w:val="20"/>
          <w:szCs w:val="20"/>
          <w:color w:val="auto"/>
        </w:rPr>
      </w:pPr>
      <w:r>
        <w:rPr>
          <w:rFonts w:ascii="Arial" w:cs="Arial" w:eastAsia="Arial" w:hAnsi="Arial"/>
          <w:sz w:val="13"/>
          <w:szCs w:val="13"/>
          <w:color w:val="auto"/>
        </w:rPr>
        <w:t xml:space="preserve">Our MD&amp;A should be read in conjunction with the Consolidated Financial Statements and related Notes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of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68"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Winnebago Industries, Inc. is one of the leading U.S. manufacturers with a diversified portfolio of recreation vehicles ("RV"s) and marine products used primarily in leisure travel and outdoor recreation activities. We produce our Towable units in IN; our Motorhome units in manufacturing facilities in IA; and our marine products in FL.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Reconciliation</w:t>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48"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Refer to the Results of Operations-Fiscal 2019 Compared to Fiscal 2018 and the Results of Operations-Fiscal 2018 Compared to Fiscal 2017 for a detailed reconciliation of items that impacted EBITDA and Adjusted EBITDA. We have included this non-GAAP performance measure as a comparable measure to illustrate the effect of non-recurring transactions occurring during the year and improve comparability of our results from period to period. We believe Adjusted EBITDA provides meaningful supplemental information about our operating performance because this measure excludes amounts that we do not consider part of our core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60"/>
          </w:cols>
          <w:pgMar w:left="220" w:top="119" w:right="21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operating results when assessing our performance. Examples of items excluded from Adjusted EBITDA include acquisition-related costs, restructuring expenses, and non-operating income.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Management uses these non-GAAP financial measures (a) to evaluate our historical and prospective financial performance and trends as well as our performance relative to competitors and peers;</w:t>
      </w:r>
    </w:p>
    <w:p>
      <w:pPr>
        <w:spacing w:after="0" w:line="1" w:lineRule="exact"/>
        <w:rPr>
          <w:sz w:val="20"/>
          <w:szCs w:val="20"/>
          <w:color w:val="auto"/>
        </w:rPr>
      </w:pPr>
    </w:p>
    <w:p>
      <w:pPr>
        <w:ind w:right="300" w:firstLine="6"/>
        <w:spacing w:after="0" w:line="244" w:lineRule="auto"/>
        <w:tabs>
          <w:tab w:leader="none" w:pos="194"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Credit Agreement, as further described in Note 9,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of this Annual Report on Form 10-K. We believe these non-GAAP financial measures are frequently used by securities analysts, investors, and other interested parties to evaluate companies in our industry.</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Combinations</w:t>
      </w:r>
    </w:p>
    <w:p>
      <w:pPr>
        <w:spacing w:after="0" w:line="168" w:lineRule="exact"/>
        <w:rPr>
          <w:sz w:val="20"/>
          <w:szCs w:val="20"/>
          <w:color w:val="auto"/>
        </w:rPr>
      </w:pPr>
    </w:p>
    <w:p>
      <w:pPr>
        <w:ind w:right="360"/>
        <w:spacing w:after="0" w:line="251" w:lineRule="auto"/>
        <w:rPr>
          <w:sz w:val="20"/>
          <w:szCs w:val="20"/>
          <w:color w:val="auto"/>
        </w:rPr>
      </w:pPr>
      <w:r>
        <w:rPr>
          <w:rFonts w:ascii="Arial" w:cs="Arial" w:eastAsia="Arial" w:hAnsi="Arial"/>
          <w:sz w:val="13"/>
          <w:szCs w:val="13"/>
          <w:color w:val="auto"/>
        </w:rPr>
        <w:t>On June 4, 2018, we acquired 100% of the ownership interests of Chris-Craft, a privately-owned company based in Sarasota, FL. Chris-Craft manufactures and sells premium quality boats in the recreational powerboat industry through an established global network of independent authorized dealers.</w:t>
      </w:r>
    </w:p>
    <w:p>
      <w:pPr>
        <w:spacing w:after="0" w:line="140"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 xml:space="preserve">On November 8, 2016, we closed on the acquisition of all the issued and outstanding capital stock of towable RV manufacturer Grand Design RV, LLC ("Grand Design") for an aggregate purchase price of $520.5 million. This acquisition was funded from our cash on hand, $353.0 million from asset-based revolving and term loan credit facilities, as well as stock consideration as is more fully described in Note 2,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of this Annual Report on Form 10-K. We purchased Grand Design to significantly expand our existing towable RV product offerings and dealer base and acquire additional talent in the RV industry.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Subsequent to Year-end</w:t>
      </w:r>
    </w:p>
    <w:p>
      <w:pPr>
        <w:spacing w:after="0" w:line="166" w:lineRule="exact"/>
        <w:rPr>
          <w:sz w:val="20"/>
          <w:szCs w:val="20"/>
          <w:color w:val="auto"/>
        </w:rPr>
      </w:pPr>
    </w:p>
    <w:p>
      <w:pPr>
        <w:ind w:right="300"/>
        <w:spacing w:after="0" w:line="246" w:lineRule="auto"/>
        <w:rPr>
          <w:sz w:val="20"/>
          <w:szCs w:val="20"/>
          <w:color w:val="auto"/>
        </w:rPr>
      </w:pPr>
      <w:r>
        <w:rPr>
          <w:rFonts w:ascii="Arial" w:cs="Arial" w:eastAsia="Arial" w:hAnsi="Arial"/>
          <w:sz w:val="13"/>
          <w:szCs w:val="13"/>
          <w:color w:val="auto"/>
        </w:rPr>
        <w:t>On September 15, 2019, we entered into a definitive agreement to acquire Newmar Corporation for total consideration of approximately $344 million, based on the closing price of our stock on September 13, 2019. The consideration will consist of approximately $270.0 million in cash and a fixed amount of 2.0 million shares of our stock. Newmar is a leading manufacturer of Class A and Super C motorized recreational vehicles that sells through an established network of independent authorized dealers throughout North America.</w:t>
      </w:r>
    </w:p>
    <w:p>
      <w:pPr>
        <w:spacing w:after="0" w:line="144" w:lineRule="exact"/>
        <w:rPr>
          <w:sz w:val="20"/>
          <w:szCs w:val="20"/>
          <w:color w:val="auto"/>
        </w:rPr>
      </w:pPr>
    </w:p>
    <w:p>
      <w:pPr>
        <w:ind w:right="300"/>
        <w:spacing w:after="0" w:line="251" w:lineRule="auto"/>
        <w:rPr>
          <w:sz w:val="20"/>
          <w:szCs w:val="20"/>
          <w:color w:val="auto"/>
        </w:rPr>
      </w:pPr>
      <w:r>
        <w:rPr>
          <w:rFonts w:ascii="Arial" w:cs="Arial" w:eastAsia="Arial" w:hAnsi="Arial"/>
          <w:sz w:val="13"/>
          <w:szCs w:val="13"/>
          <w:color w:val="auto"/>
        </w:rPr>
        <w:t>The Purchase Agreement also provides that we may terminate the Purchase Agreement if our stock price falls below $20.00 per share, in which case we will be subject to a termination fee of $5.0 million. The acquisition is not subject to approval by our shareholders.</w:t>
      </w:r>
    </w:p>
    <w:p>
      <w:pPr>
        <w:spacing w:after="0" w:line="14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In connection with the execution of the Purchase Agreement, we executed a commitment letter with Goldman Sachs Bank USA, Bank of Montreal, and BMO Capital Markets Corp. (the “Commitment Letter”). As set forth in the Commitment Letter, (a) we intend to obtain up to $290.0 million in gross cash proceeds from the issuance of senior secured notes (the “Senior Notes”) and (b) if we do not, or are unable to, issue the full amount of the Senior Notes at or prior to the time of the closing of the acquisition, we plan to obtain a senior secured bridge facility in an amount up to $290.0 million minus any gross cash proceeds received by us from the issuance of any Senior Notes or other securities.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Reportable Segments</w:t>
      </w:r>
    </w:p>
    <w:p>
      <w:pPr>
        <w:spacing w:after="0" w:line="168" w:lineRule="exact"/>
        <w:rPr>
          <w:sz w:val="20"/>
          <w:szCs w:val="20"/>
          <w:color w:val="auto"/>
        </w:rPr>
      </w:pPr>
    </w:p>
    <w:p>
      <w:pPr>
        <w:ind w:right="660"/>
        <w:spacing w:after="0" w:line="292" w:lineRule="auto"/>
        <w:rPr>
          <w:sz w:val="20"/>
          <w:szCs w:val="20"/>
          <w:color w:val="auto"/>
        </w:rPr>
      </w:pPr>
      <w:r>
        <w:rPr>
          <w:rFonts w:ascii="Arial" w:cs="Arial" w:eastAsia="Arial" w:hAnsi="Arial"/>
          <w:sz w:val="12"/>
          <w:szCs w:val="12"/>
          <w:color w:val="auto"/>
        </w:rPr>
        <w:t>We have five operating segments: 1) Grand Design towables, 2) Winnebago towables, 3) Winnebago motorhomes, 4) Chris-Craft marine, and 5) Winnebago specialty vehicles. We evaluate performance based on each operating segment's Adjusted EBITDA, as defined above, which excludes certain corporate administration expenses and non-operating income and expense.</w:t>
      </w:r>
    </w:p>
    <w:p>
      <w:pPr>
        <w:spacing w:after="0" w:line="138"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Our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 chassis as well as other related manufactured products and services).</w:t>
      </w:r>
    </w:p>
    <w:p>
      <w:pPr>
        <w:spacing w:after="0" w:line="144"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Industry Trends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Key reported statistics for the North American RV industry are as follows:</w:t>
      </w:r>
    </w:p>
    <w:p>
      <w:pPr>
        <w:spacing w:after="0" w:line="1" w:lineRule="exact"/>
        <w:rPr>
          <w:sz w:val="20"/>
          <w:szCs w:val="20"/>
          <w:color w:val="auto"/>
        </w:rPr>
      </w:pPr>
    </w:p>
    <w:p>
      <w:pPr>
        <w:ind w:left="5660" w:right="2600" w:hanging="5395"/>
        <w:spacing w:after="0" w:line="562" w:lineRule="auto"/>
        <w:tabs>
          <w:tab w:leader="none" w:pos="521" w:val="left"/>
        </w:tabs>
        <w:numPr>
          <w:ilvl w:val="0"/>
          <w:numId w:val="10"/>
        </w:numPr>
        <w:rPr>
          <w:rFonts w:ascii="Arial" w:cs="Arial" w:eastAsia="Arial" w:hAnsi="Arial"/>
          <w:sz w:val="13"/>
          <w:szCs w:val="13"/>
          <w:color w:val="auto"/>
        </w:rPr>
      </w:pPr>
      <w:r>
        <w:rPr>
          <w:rFonts w:ascii="Arial" w:cs="Arial" w:eastAsia="Arial" w:hAnsi="Arial"/>
          <w:sz w:val="13"/>
          <w:szCs w:val="13"/>
          <w:color w:val="auto"/>
        </w:rPr>
        <w:t>Wholesale unit shipments: RV product delivered to the dealers, which is reported monthly by the Recreation Vehicle Industry Association ("RVIA") 23</w:t>
      </w:r>
    </w:p>
    <w:p>
      <w:pPr>
        <w:sectPr>
          <w:pgSz w:w="11900" w:h="16838" w:orient="portrait"/>
          <w:cols w:equalWidth="0" w:num="1">
            <w:col w:w="11440"/>
          </w:cols>
          <w:pgMar w:left="220" w:top="14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Retail unit registrations: consumer purchases of RVs from dealers, which is reported by Stat Surveys</w:t>
      </w:r>
    </w:p>
    <w:p>
      <w:pPr>
        <w:spacing w:after="0" w:line="163" w:lineRule="exact"/>
        <w:rPr>
          <w:sz w:val="20"/>
          <w:szCs w:val="20"/>
          <w:color w:val="auto"/>
        </w:rPr>
      </w:pPr>
    </w:p>
    <w:p>
      <w:pPr>
        <w:ind w:right="300"/>
        <w:spacing w:after="0" w:line="285" w:lineRule="auto"/>
        <w:rPr>
          <w:sz w:val="20"/>
          <w:szCs w:val="20"/>
          <w:color w:val="auto"/>
        </w:rPr>
      </w:pPr>
      <w:r>
        <w:rPr>
          <w:rFonts w:ascii="Arial" w:cs="Arial" w:eastAsia="Arial" w:hAnsi="Arial"/>
          <w:sz w:val="13"/>
          <w:szCs w:val="13"/>
          <w:color w:val="auto"/>
        </w:rPr>
        <w:t>We track RV Industry conditions using these key statistics to monitor trends and evaluate and understand our performance relative to the overall industry. The following is an analysis of changes in these key statistics for the rolling 12 months through August as of 2019 and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3"/>
                <w:szCs w:val="13"/>
                <w:b w:val="1"/>
                <w:bCs w:val="1"/>
                <w:color w:val="auto"/>
              </w:rPr>
              <w:t>US and Canada Industry</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8"/>
        </w:trPr>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9"/>
              </w:rPr>
              <w:t>Wholesale Unit Shipments per RVIA</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9"/>
              </w:rPr>
              <w:t>Retail Unit Registrations per Stat Surveys</w:t>
            </w:r>
          </w:p>
        </w:tc>
        <w:tc>
          <w:tcPr>
            <w:tcW w:w="1200" w:type="dxa"/>
            <w:vAlign w:val="bottom"/>
          </w:tcPr>
          <w:p>
            <w:pPr>
              <w:spacing w:after="0"/>
              <w:rPr>
                <w:sz w:val="17"/>
                <w:szCs w:val="17"/>
                <w:color w:val="auto"/>
              </w:rPr>
            </w:pPr>
          </w:p>
        </w:tc>
      </w:tr>
      <w:tr>
        <w:trPr>
          <w:trHeight w:val="223"/>
        </w:trPr>
        <w:tc>
          <w:tcPr>
            <w:tcW w:w="10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9"/>
              </w:rPr>
              <w:t>Rolling 12 Months through August</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9"/>
              </w:rPr>
              <w:t>Rolling 12 Months through August</w:t>
            </w:r>
          </w:p>
        </w:tc>
        <w:tc>
          <w:tcPr>
            <w:tcW w:w="1200" w:type="dxa"/>
            <w:vAlign w:val="bottom"/>
            <w:tcBorders>
              <w:bottom w:val="single" w:sz="8" w:color="auto"/>
            </w:tcBorders>
          </w:tcPr>
          <w:p>
            <w:pPr>
              <w:spacing w:after="0"/>
              <w:rPr>
                <w:sz w:val="19"/>
                <w:szCs w:val="19"/>
                <w:color w:val="auto"/>
              </w:rPr>
            </w:pPr>
          </w:p>
        </w:tc>
      </w:tr>
      <w:tr>
        <w:trPr>
          <w:trHeight w:val="206"/>
        </w:trPr>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Unit Change</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Unit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 Change</w:t>
            </w:r>
          </w:p>
        </w:tc>
      </w:tr>
      <w:tr>
        <w:trPr>
          <w:trHeight w:val="203"/>
        </w:trPr>
        <w:tc>
          <w:tcPr>
            <w:tcW w:w="1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Towable</w:t>
            </w:r>
            <w:r>
              <w:rPr>
                <w:rFonts w:ascii="Arial" w:cs="Arial" w:eastAsia="Arial" w:hAnsi="Arial"/>
                <w:sz w:val="17"/>
                <w:szCs w:val="17"/>
                <w:b w:val="1"/>
                <w:bCs w:val="1"/>
                <w:color w:val="auto"/>
                <w:vertAlign w:val="superscript"/>
              </w:rPr>
              <w:t>(1)</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355,598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443,791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(88,193)</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395,181</w:t>
            </w:r>
          </w:p>
        </w:tc>
        <w:tc>
          <w:tcPr>
            <w:tcW w:w="136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421,013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(25,832)</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216"/>
        </w:trPr>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Motorhome</w:t>
            </w:r>
            <w:r>
              <w:rPr>
                <w:rFonts w:ascii="Arial" w:cs="Arial" w:eastAsia="Arial" w:hAnsi="Arial"/>
                <w:sz w:val="17"/>
                <w:szCs w:val="17"/>
                <w:color w:val="auto"/>
                <w:vertAlign w:val="superscript"/>
              </w:rPr>
              <w:t>(2)</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48,605</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62,095</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(13,490)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52,416</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59,204</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(6,788)</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r>
      <w:tr>
        <w:trPr>
          <w:trHeight w:val="182"/>
        </w:trPr>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Combined</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404,203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505,886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(101,683)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447,597</w:t>
            </w:r>
          </w:p>
        </w:tc>
        <w:tc>
          <w:tcPr>
            <w:tcW w:w="136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480,217</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(32,620)</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200" w:hanging="194"/>
        <w:spacing w:after="0"/>
        <w:tabs>
          <w:tab w:leader="none" w:pos="2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Towable: Fifth wheel and travel trailer products.</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Motorhome: Class A, B and C products.</w:t>
      </w:r>
    </w:p>
    <w:p>
      <w:pPr>
        <w:spacing w:after="0" w:line="151"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The rolling twelve months shipments for 2019 and 2018 reflect a contraction in shipments as dealers rationalize inventory. The rolling twelve months retail information for 2019 and 2018 illustrates that the RV industry is growing at a slower rate than previous quarters, however ahead of wholesale shipments. We believe retail demand is the key driver to continued growth in the industry.</w:t>
      </w:r>
    </w:p>
    <w:p>
      <w:pPr>
        <w:spacing w:after="0" w:line="140" w:lineRule="exact"/>
        <w:rPr>
          <w:sz w:val="20"/>
          <w:szCs w:val="20"/>
          <w:color w:val="auto"/>
        </w:rPr>
      </w:pPr>
    </w:p>
    <w:p>
      <w:pPr>
        <w:jc w:val="both"/>
        <w:ind w:right="320"/>
        <w:spacing w:after="0" w:line="246" w:lineRule="auto"/>
        <w:rPr>
          <w:sz w:val="20"/>
          <w:szCs w:val="20"/>
          <w:color w:val="auto"/>
        </w:rPr>
      </w:pPr>
      <w:r>
        <w:rPr>
          <w:rFonts w:ascii="Arial" w:cs="Arial" w:eastAsia="Arial" w:hAnsi="Arial"/>
          <w:sz w:val="13"/>
          <w:szCs w:val="13"/>
          <w:color w:val="auto"/>
        </w:rPr>
        <w:t>The most recent RVIA wholesale shipment forecasts for calendar year 2020, as noted in the table below, indicate that industry shipments are most likely expected to decline in 2020. The RV sales outlook for 2019 considers the continuation of dealer inventory realignment that has been occurring over the last 9-12 months and gradually increasing interest rates, partially offset by anticipated growth in wages and employment levels.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3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800"/>
              <w:spacing w:after="0"/>
              <w:rPr>
                <w:sz w:val="20"/>
                <w:szCs w:val="20"/>
                <w:color w:val="auto"/>
              </w:rPr>
            </w:pPr>
            <w:r>
              <w:rPr>
                <w:rFonts w:ascii="Arial" w:cs="Arial" w:eastAsia="Arial" w:hAnsi="Arial"/>
                <w:sz w:val="13"/>
                <w:szCs w:val="13"/>
                <w:b w:val="1"/>
                <w:bCs w:val="1"/>
                <w:color w:val="auto"/>
              </w:rPr>
              <w:t>Calendar Year</w:t>
            </w:r>
          </w:p>
        </w:tc>
        <w:tc>
          <w:tcPr>
            <w:tcW w:w="1200" w:type="dxa"/>
            <w:vAlign w:val="bottom"/>
            <w:tcBorders>
              <w:bottom w:val="single" w:sz="8" w:color="auto"/>
            </w:tcBorders>
          </w:tcPr>
          <w:p>
            <w:pPr>
              <w:spacing w:after="0"/>
              <w:rPr>
                <w:sz w:val="15"/>
                <w:szCs w:val="15"/>
                <w:color w:val="auto"/>
              </w:rPr>
            </w:pPr>
          </w:p>
        </w:tc>
      </w:tr>
      <w:tr>
        <w:trPr>
          <w:trHeight w:val="157"/>
        </w:trPr>
        <w:tc>
          <w:tcPr>
            <w:tcW w:w="6300" w:type="dxa"/>
            <w:vAlign w:val="bottom"/>
          </w:tcPr>
          <w:p>
            <w:pPr>
              <w:spacing w:after="0"/>
              <w:rPr>
                <w:sz w:val="13"/>
                <w:szCs w:val="13"/>
                <w:color w:val="auto"/>
              </w:rPr>
            </w:pPr>
          </w:p>
        </w:tc>
        <w:tc>
          <w:tcPr>
            <w:tcW w:w="1240" w:type="dxa"/>
            <w:vAlign w:val="bottom"/>
          </w:tcPr>
          <w:p>
            <w:pPr>
              <w:jc w:val="right"/>
              <w:ind w:right="355"/>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240" w:type="dxa"/>
            <w:vAlign w:val="bottom"/>
          </w:tcPr>
          <w:p>
            <w:pPr>
              <w:jc w:val="right"/>
              <w:ind w:right="35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7"/>
        </w:trPr>
        <w:tc>
          <w:tcPr>
            <w:tcW w:w="6300" w:type="dxa"/>
            <w:vAlign w:val="bottom"/>
          </w:tcPr>
          <w:p>
            <w:pPr>
              <w:ind w:left="20"/>
              <w:spacing w:after="0" w:line="187" w:lineRule="exact"/>
              <w:rPr>
                <w:sz w:val="20"/>
                <w:szCs w:val="20"/>
                <w:color w:val="auto"/>
              </w:rPr>
            </w:pPr>
            <w:r>
              <w:rPr>
                <w:rFonts w:ascii="Arial" w:cs="Arial" w:eastAsia="Arial" w:hAnsi="Arial"/>
                <w:sz w:val="13"/>
                <w:szCs w:val="13"/>
                <w:b w:val="1"/>
                <w:bCs w:val="1"/>
                <w:color w:val="auto"/>
              </w:rPr>
              <w:t>Wholesale Unit Shipment Forecast per RVIA</w:t>
            </w:r>
            <w:r>
              <w:rPr>
                <w:rFonts w:ascii="Arial" w:cs="Arial" w:eastAsia="Arial" w:hAnsi="Arial"/>
                <w:sz w:val="17"/>
                <w:szCs w:val="17"/>
                <w:b w:val="1"/>
                <w:bCs w:val="1"/>
                <w:color w:val="auto"/>
                <w:vertAlign w:val="superscript"/>
              </w:rPr>
              <w:t>(1)</w:t>
            </w:r>
          </w:p>
        </w:tc>
        <w:tc>
          <w:tcPr>
            <w:tcW w:w="1360" w:type="dxa"/>
            <w:vAlign w:val="bottom"/>
            <w:gridSpan w:val="2"/>
          </w:tcPr>
          <w:p>
            <w:pPr>
              <w:ind w:left="400"/>
              <w:spacing w:after="0"/>
              <w:rPr>
                <w:sz w:val="20"/>
                <w:szCs w:val="20"/>
                <w:color w:val="auto"/>
              </w:rPr>
            </w:pPr>
            <w:r>
              <w:rPr>
                <w:rFonts w:ascii="Arial" w:cs="Arial" w:eastAsia="Arial" w:hAnsi="Arial"/>
                <w:sz w:val="13"/>
                <w:szCs w:val="13"/>
                <w:b w:val="1"/>
                <w:bCs w:val="1"/>
                <w:color w:val="auto"/>
              </w:rPr>
              <w:t>Forecast</w:t>
            </w:r>
          </w:p>
        </w:tc>
        <w:tc>
          <w:tcPr>
            <w:tcW w:w="1360" w:type="dxa"/>
            <w:vAlign w:val="bottom"/>
            <w:gridSpan w:val="2"/>
          </w:tcPr>
          <w:p>
            <w:pPr>
              <w:ind w:left="480"/>
              <w:spacing w:after="0"/>
              <w:rPr>
                <w:sz w:val="20"/>
                <w:szCs w:val="20"/>
                <w:color w:val="auto"/>
              </w:rPr>
            </w:pPr>
            <w:r>
              <w:rPr>
                <w:rFonts w:ascii="Arial" w:cs="Arial" w:eastAsia="Arial" w:hAnsi="Arial"/>
                <w:sz w:val="13"/>
                <w:szCs w:val="13"/>
                <w:b w:val="1"/>
                <w:bCs w:val="1"/>
                <w:color w:val="auto"/>
              </w:rPr>
              <w:t>Actual</w:t>
            </w:r>
          </w:p>
        </w:tc>
        <w:tc>
          <w:tcPr>
            <w:tcW w:w="1240" w:type="dxa"/>
            <w:vAlign w:val="bottom"/>
            <w:gridSpan w:val="2"/>
          </w:tcPr>
          <w:p>
            <w:pPr>
              <w:ind w:left="180"/>
              <w:spacing w:after="0"/>
              <w:rPr>
                <w:sz w:val="20"/>
                <w:szCs w:val="20"/>
                <w:color w:val="auto"/>
              </w:rPr>
            </w:pPr>
            <w:r>
              <w:rPr>
                <w:rFonts w:ascii="Arial" w:cs="Arial" w:eastAsia="Arial" w:hAnsi="Arial"/>
                <w:sz w:val="13"/>
                <w:szCs w:val="13"/>
                <w:b w:val="1"/>
                <w:bCs w:val="1"/>
                <w:color w:val="auto"/>
              </w:rPr>
              <w:t>Unit Change</w:t>
            </w:r>
          </w:p>
        </w:tc>
        <w:tc>
          <w:tcPr>
            <w:tcW w:w="1200" w:type="dxa"/>
            <w:vAlign w:val="bottom"/>
          </w:tcPr>
          <w:p>
            <w:pPr>
              <w:jc w:val="right"/>
              <w:ind w:right="215"/>
              <w:spacing w:after="0"/>
              <w:rPr>
                <w:sz w:val="20"/>
                <w:szCs w:val="20"/>
                <w:color w:val="auto"/>
              </w:rPr>
            </w:pPr>
            <w:r>
              <w:rPr>
                <w:rFonts w:ascii="Arial" w:cs="Arial" w:eastAsia="Arial" w:hAnsi="Arial"/>
                <w:sz w:val="13"/>
                <w:szCs w:val="13"/>
                <w:b w:val="1"/>
                <w:bCs w:val="1"/>
                <w:color w:val="auto"/>
              </w:rPr>
              <w:t>% Change</w:t>
            </w:r>
          </w:p>
        </w:tc>
      </w:tr>
      <w:tr>
        <w:trPr>
          <w:trHeight w:val="196"/>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Aggressive</w:t>
            </w: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400,900</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401,200</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208"/>
        </w:trPr>
        <w:tc>
          <w:tcPr>
            <w:tcW w:w="6300" w:type="dxa"/>
            <w:vAlign w:val="bottom"/>
          </w:tcPr>
          <w:p>
            <w:pPr>
              <w:ind w:left="20"/>
              <w:spacing w:after="0"/>
              <w:rPr>
                <w:sz w:val="20"/>
                <w:szCs w:val="20"/>
                <w:color w:val="auto"/>
              </w:rPr>
            </w:pPr>
            <w:r>
              <w:rPr>
                <w:rFonts w:ascii="Arial" w:cs="Arial" w:eastAsia="Arial" w:hAnsi="Arial"/>
                <w:sz w:val="13"/>
                <w:szCs w:val="13"/>
                <w:color w:val="auto"/>
              </w:rPr>
              <w:t>Most likely</w:t>
            </w: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387,400</w:t>
            </w: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401,200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(13,800)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Conservative</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368,000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401,200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(1) Prepared by Dr. Richard Curtin of the University of Michigan Consumer Survey Research Center for RVIA and reported in the Roadsigns RV Fall 2019 Industry Forecast Issue.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Share</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Our retail unit market share, as reported by Stat Surveys based on state records, is illustrated below. Note that this data is subject to adjustment and is continuously updated.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66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3"/>
                <w:szCs w:val="13"/>
                <w:b w:val="1"/>
                <w:bCs w:val="1"/>
                <w:color w:val="auto"/>
              </w:rPr>
              <w:t>Rolling 12 Months through August</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Calendar Year</w:t>
            </w:r>
          </w:p>
        </w:tc>
        <w:tc>
          <w:tcPr>
            <w:tcW w:w="1280" w:type="dxa"/>
            <w:vAlign w:val="bottom"/>
            <w:tcBorders>
              <w:bottom w:val="single" w:sz="8" w:color="auto"/>
            </w:tcBorders>
          </w:tcPr>
          <w:p>
            <w:pPr>
              <w:spacing w:after="0"/>
              <w:rPr>
                <w:sz w:val="15"/>
                <w:szCs w:val="15"/>
                <w:color w:val="auto"/>
              </w:rPr>
            </w:pPr>
          </w:p>
        </w:tc>
      </w:tr>
      <w:tr>
        <w:trPr>
          <w:trHeight w:val="214"/>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US and Canada</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2018</w:t>
            </w:r>
          </w:p>
        </w:tc>
        <w:tc>
          <w:tcPr>
            <w:tcW w:w="14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35"/>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3"/>
                <w:szCs w:val="13"/>
                <w:b w:val="1"/>
                <w:bCs w:val="1"/>
                <w:color w:val="auto"/>
              </w:rPr>
              <w:t>2016</w:t>
            </w:r>
            <w:r>
              <w:rPr>
                <w:rFonts w:ascii="Arial" w:cs="Arial" w:eastAsia="Arial" w:hAnsi="Arial"/>
                <w:sz w:val="17"/>
                <w:szCs w:val="17"/>
                <w:b w:val="1"/>
                <w:bCs w:val="1"/>
                <w:color w:val="auto"/>
                <w:vertAlign w:val="superscript"/>
              </w:rPr>
              <w:t>(1)</w:t>
            </w:r>
          </w:p>
        </w:tc>
      </w:tr>
      <w:tr>
        <w:trPr>
          <w:trHeight w:val="196"/>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Travel trailer and fifth wheels</w:t>
            </w: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208"/>
        </w:trPr>
        <w:tc>
          <w:tcPr>
            <w:tcW w:w="4640" w:type="dxa"/>
            <w:vAlign w:val="bottom"/>
          </w:tcPr>
          <w:p>
            <w:pPr>
              <w:ind w:left="20"/>
              <w:spacing w:after="0"/>
              <w:rPr>
                <w:sz w:val="20"/>
                <w:szCs w:val="20"/>
                <w:color w:val="auto"/>
              </w:rPr>
            </w:pPr>
            <w:r>
              <w:rPr>
                <w:rFonts w:ascii="Arial" w:cs="Arial" w:eastAsia="Arial" w:hAnsi="Arial"/>
                <w:sz w:val="13"/>
                <w:szCs w:val="13"/>
                <w:color w:val="auto"/>
              </w:rPr>
              <w:t>Motorhome A, B, C</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market share</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(1) Includes retail unit market share for Grand Design since acquisition on November 8, 2016.</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Facility Expansion</w:t>
      </w:r>
    </w:p>
    <w:p>
      <w:pPr>
        <w:spacing w:after="0" w:line="168"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Due to the rapid growth in our Towable segment, we have implemented facility expansion projects in our Grand Design towables and Winnebago towables operating segments. The Grand Design towables expansion project consisted of three new production facilities--two were completed in Fiscal 2018 and the remaining is expected to be completed mid-Fiscal 2020. The facility expansion in the Winnebago towables division was completed in the third quarter of Fiscal 2019.</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Enterprise Resource Planning System</w:t>
      </w:r>
    </w:p>
    <w:p>
      <w:pPr>
        <w:spacing w:after="0" w:line="168" w:lineRule="exact"/>
        <w:rPr>
          <w:sz w:val="20"/>
          <w:szCs w:val="20"/>
          <w:color w:val="auto"/>
        </w:rPr>
      </w:pPr>
    </w:p>
    <w:p>
      <w:pPr>
        <w:ind w:right="720"/>
        <w:spacing w:after="0" w:line="251" w:lineRule="auto"/>
        <w:rPr>
          <w:sz w:val="20"/>
          <w:szCs w:val="20"/>
          <w:color w:val="auto"/>
        </w:rPr>
      </w:pPr>
      <w:r>
        <w:rPr>
          <w:rFonts w:ascii="Arial" w:cs="Arial" w:eastAsia="Arial" w:hAnsi="Arial"/>
          <w:sz w:val="13"/>
          <w:szCs w:val="13"/>
          <w:color w:val="auto"/>
        </w:rPr>
        <w:t>In the second quarter of Fiscal 2015, our Board of Directors approved the strategic initiative of implementing an enterprise resource planning ("ERP") system to replace our legacy business applications. The new ERP platform will provide better support for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60"/>
          </w:cols>
          <w:pgMar w:left="220" w:top="141" w:right="21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cumulative project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Cumulative</w:t>
            </w:r>
          </w:p>
        </w:tc>
        <w:tc>
          <w:tcPr>
            <w:tcW w:w="700" w:type="dxa"/>
            <w:vAlign w:val="bottom"/>
          </w:tcPr>
          <w:p>
            <w:pPr>
              <w:spacing w:after="0"/>
              <w:rPr>
                <w:sz w:val="14"/>
                <w:szCs w:val="14"/>
                <w:color w:val="auto"/>
              </w:rPr>
            </w:pPr>
          </w:p>
        </w:tc>
      </w:tr>
      <w:tr>
        <w:trPr>
          <w:trHeight w:val="223"/>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Borders>
              <w:bottom w:val="single" w:sz="8" w:color="auto"/>
            </w:tcBorders>
          </w:tcPr>
          <w:p>
            <w:pPr>
              <w:spacing w:after="0"/>
              <w:rPr>
                <w:sz w:val="19"/>
                <w:szCs w:val="19"/>
                <w:color w:val="auto"/>
              </w:rPr>
            </w:pPr>
          </w:p>
        </w:tc>
      </w:tr>
      <w:tr>
        <w:trPr>
          <w:trHeight w:val="214"/>
        </w:trPr>
        <w:tc>
          <w:tcPr>
            <w:tcW w:w="1960" w:type="dxa"/>
            <w:vAlign w:val="bottom"/>
          </w:tcPr>
          <w:p>
            <w:pPr>
              <w:ind w:left="20"/>
              <w:spacing w:after="0"/>
              <w:rPr>
                <w:sz w:val="20"/>
                <w:szCs w:val="20"/>
                <w:color w:val="auto"/>
              </w:rPr>
            </w:pPr>
            <w:r>
              <w:rPr>
                <w:rFonts w:ascii="Arial" w:cs="Arial" w:eastAsia="Arial" w:hAnsi="Arial"/>
                <w:sz w:val="13"/>
                <w:szCs w:val="13"/>
                <w:color w:val="auto"/>
              </w:rPr>
              <w:t>Capitalized</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3,875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5,941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7,798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22,786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r>
      <w:tr>
        <w:trPr>
          <w:trHeight w:val="208"/>
        </w:trPr>
        <w:tc>
          <w:tcPr>
            <w:tcW w:w="1960" w:type="dxa"/>
            <w:vAlign w:val="bottom"/>
          </w:tcPr>
          <w:p>
            <w:pPr>
              <w:ind w:left="20"/>
              <w:spacing w:after="0"/>
              <w:rPr>
                <w:sz w:val="20"/>
                <w:szCs w:val="20"/>
                <w:color w:val="auto"/>
              </w:rPr>
            </w:pPr>
            <w:r>
              <w:rPr>
                <w:rFonts w:ascii="Arial" w:cs="Arial" w:eastAsia="Arial" w:hAnsi="Arial"/>
                <w:sz w:val="13"/>
                <w:szCs w:val="13"/>
                <w:color w:val="auto"/>
              </w:rPr>
              <w:t>Expensed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3,709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2,107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2,601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5,930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2,528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16,875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w:t>
            </w:r>
          </w:p>
        </w:tc>
      </w:tr>
      <w:tr>
        <w:trPr>
          <w:trHeight w:val="190"/>
        </w:trPr>
        <w:tc>
          <w:tcPr>
            <w:tcW w:w="1960" w:type="dxa"/>
            <w:vAlign w:val="bottom"/>
          </w:tcPr>
          <w:p>
            <w:pPr>
              <w:ind w:left="14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7,584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8,048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4,482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13,728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5,819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39,661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Restructuring</w:t>
      </w:r>
    </w:p>
    <w:p>
      <w:pPr>
        <w:spacing w:after="0" w:line="168"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On February 4, 2019, we announced our intent to move our Motorhome diesel production from Junction City, OR to Forest City, IA to enable more effective product development and improve our cost structure. These restructuring activities resulted in pretax charges of $1.9 million in Fiscal 2019. These expenses are included in our Motorhome segment and include employee-related costs and accelerated depreciation for assets that will no longer be used. Employee-related costs were primarily paid in Fiscal 2019. We expect additional expenses of approximately $1.0 million in Fiscal 2020, primarily related to facility closure costs. We expect these expenses to be fully offset by the corresponding savings generated by the project.</w:t>
      </w:r>
    </w:p>
    <w:p>
      <w:pPr>
        <w:spacing w:after="0" w:line="144" w:lineRule="exact"/>
        <w:rPr>
          <w:sz w:val="20"/>
          <w:szCs w:val="20"/>
          <w:color w:val="auto"/>
        </w:rPr>
      </w:pPr>
    </w:p>
    <w:p>
      <w:pPr>
        <w:ind w:right="340"/>
        <w:spacing w:after="0" w:line="246" w:lineRule="auto"/>
        <w:rPr>
          <w:sz w:val="20"/>
          <w:szCs w:val="20"/>
          <w:color w:val="auto"/>
        </w:rPr>
      </w:pPr>
      <w:r>
        <w:rPr>
          <w:rFonts w:ascii="Arial" w:cs="Arial" w:eastAsia="Arial" w:hAnsi="Arial"/>
          <w:sz w:val="13"/>
          <w:szCs w:val="13"/>
          <w:color w:val="auto"/>
        </w:rPr>
        <w:t>We currently estimate that upon completion of this restructuring plan in Fiscal 2020, these actions will reduce annual costs by approximately $4.0 million, which is primarily due to lower employee-related costs, lower depreciation expense, and other manufacturing and logistics efficiencies. We achieved a portion of these savings in Fiscal 2019. We expect a portion of these savings will be achieved in Fiscal 2020, and the full annual benefit of these actions is expected in Fiscal 2021.</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 Fiscal 2019 Compared to Fiscal 2018</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Performance Summary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changes in key items included in the statements of operations for the fiscal year ended August 31, 2019 compared to the fiscal year ended August 25,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percent and per share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7"/>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data)</w:t>
            </w: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6"/>
                <w:szCs w:val="16"/>
                <w:color w:val="auto"/>
              </w:rPr>
            </w:pPr>
          </w:p>
        </w:tc>
        <w:tc>
          <w:tcPr>
            <w:tcW w:w="1500" w:type="dxa"/>
            <w:vAlign w:val="bottom"/>
            <w:gridSpan w:val="2"/>
          </w:tcPr>
          <w:p>
            <w:pPr>
              <w:ind w:left="180"/>
              <w:spacing w:after="0" w:line="187"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7"/>
                <w:szCs w:val="17"/>
                <w:b w:val="1"/>
                <w:bCs w:val="1"/>
                <w:color w:val="auto"/>
                <w:vertAlign w:val="superscript"/>
              </w:rPr>
              <w:t>(1)</w:t>
            </w: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6"/>
                <w:szCs w:val="16"/>
                <w:color w:val="auto"/>
              </w:rPr>
            </w:pPr>
          </w:p>
        </w:tc>
        <w:tc>
          <w:tcPr>
            <w:tcW w:w="1500" w:type="dxa"/>
            <w:vAlign w:val="bottom"/>
            <w:gridSpan w:val="2"/>
          </w:tcPr>
          <w:p>
            <w:pPr>
              <w:ind w:left="180"/>
              <w:spacing w:after="0" w:line="187"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7"/>
                <w:szCs w:val="17"/>
                <w:b w:val="1"/>
                <w:bCs w:val="1"/>
                <w:color w:val="auto"/>
                <w:vertAlign w:val="superscript"/>
              </w:rPr>
              <w:t>(1)</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196"/>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32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1,985,674</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2,016,829</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(31,155)</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(1.5)%</w:t>
            </w:r>
          </w:p>
        </w:tc>
      </w:tr>
      <w:tr>
        <w:trPr>
          <w:trHeight w:val="208"/>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goods sold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1,678,477</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84.5 %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1,716,993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85.1 %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(38,516)</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(2.2)%</w:t>
            </w: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307,197</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15.5 %</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299,836</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14.9 %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7,361</w:t>
            </w:r>
          </w:p>
        </w:tc>
        <w:tc>
          <w:tcPr>
            <w:tcW w:w="1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2.5 %</w:t>
            </w:r>
          </w:p>
        </w:tc>
      </w:tr>
      <w:tr>
        <w:trPr>
          <w:trHeight w:val="154"/>
        </w:trPr>
        <w:tc>
          <w:tcPr>
            <w:tcW w:w="292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3"/>
        </w:trPr>
        <w:tc>
          <w:tcPr>
            <w:tcW w:w="2920" w:type="dxa"/>
            <w:vAlign w:val="bottom"/>
          </w:tcPr>
          <w:p>
            <w:pPr>
              <w:ind w:left="20"/>
              <w:spacing w:after="0"/>
              <w:rPr>
                <w:sz w:val="20"/>
                <w:szCs w:val="20"/>
                <w:color w:val="auto"/>
              </w:rPr>
            </w:pPr>
            <w:r>
              <w:rPr>
                <w:rFonts w:ascii="Arial" w:cs="Arial" w:eastAsia="Arial" w:hAnsi="Arial"/>
                <w:sz w:val="13"/>
                <w:szCs w:val="13"/>
                <w:color w:val="auto"/>
              </w:rPr>
              <w:t>("SG&amp;A")</w:t>
            </w:r>
          </w:p>
        </w:tc>
        <w:tc>
          <w:tcPr>
            <w:tcW w:w="320" w:type="dxa"/>
            <w:vAlign w:val="bottom"/>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142,295</w:t>
            </w:r>
          </w:p>
        </w:tc>
        <w:tc>
          <w:tcPr>
            <w:tcW w:w="120" w:type="dxa"/>
            <w:vAlign w:val="bottom"/>
          </w:tcPr>
          <w:p>
            <w:pPr>
              <w:spacing w:after="0"/>
              <w:rPr>
                <w:sz w:val="14"/>
                <w:szCs w:val="14"/>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7.2 %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130,116</w:t>
            </w:r>
          </w:p>
        </w:tc>
        <w:tc>
          <w:tcPr>
            <w:tcW w:w="120" w:type="dxa"/>
            <w:vAlign w:val="bottom"/>
          </w:tcPr>
          <w:p>
            <w:pPr>
              <w:spacing w:after="0"/>
              <w:rPr>
                <w:sz w:val="14"/>
                <w:szCs w:val="14"/>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6.5 %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12,179</w:t>
            </w:r>
          </w:p>
        </w:tc>
        <w:tc>
          <w:tcPr>
            <w:tcW w:w="120" w:type="dxa"/>
            <w:vAlign w:val="bottom"/>
          </w:tcPr>
          <w:p>
            <w:pPr>
              <w:spacing w:after="0"/>
              <w:rPr>
                <w:sz w:val="14"/>
                <w:szCs w:val="14"/>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9.4 %</w:t>
            </w: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9,635</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9,328</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307</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3.3 %</w:t>
            </w:r>
          </w:p>
        </w:tc>
      </w:tr>
      <w:tr>
        <w:trPr>
          <w:trHeight w:val="196"/>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151,930</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7.7 %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139,444</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6.9 %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12,486</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9.0 %</w:t>
            </w: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155,267</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7.8 %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160,392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(5,125)</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(3.2)%</w:t>
            </w:r>
          </w:p>
        </w:tc>
      </w:tr>
      <w:tr>
        <w:trPr>
          <w:trHeight w:val="208"/>
        </w:trPr>
        <w:tc>
          <w:tcPr>
            <w:tcW w:w="292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17,939</w:t>
            </w:r>
          </w:p>
        </w:tc>
        <w:tc>
          <w:tcPr>
            <w:tcW w:w="12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18,246</w:t>
            </w:r>
          </w:p>
        </w:tc>
        <w:tc>
          <w:tcPr>
            <w:tcW w:w="12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(1.7)%</w:t>
            </w: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Non-operating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1,087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220.0 %</w:t>
            </w:r>
          </w:p>
        </w:tc>
      </w:tr>
      <w:tr>
        <w:trPr>
          <w:trHeight w:val="196"/>
        </w:trPr>
        <w:tc>
          <w:tcPr>
            <w:tcW w:w="292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138,909</w:t>
            </w:r>
          </w:p>
        </w:tc>
        <w:tc>
          <w:tcPr>
            <w:tcW w:w="120" w:type="dxa"/>
            <w:vAlign w:val="bottom"/>
          </w:tcPr>
          <w:p>
            <w:pPr>
              <w:spacing w:after="0"/>
              <w:rPr>
                <w:sz w:val="17"/>
                <w:szCs w:val="17"/>
                <w:color w:val="auto"/>
              </w:rPr>
            </w:pP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7.0 %</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142,640</w:t>
            </w:r>
          </w:p>
        </w:tc>
        <w:tc>
          <w:tcPr>
            <w:tcW w:w="120" w:type="dxa"/>
            <w:vAlign w:val="bottom"/>
          </w:tcPr>
          <w:p>
            <w:pPr>
              <w:spacing w:after="0"/>
              <w:rPr>
                <w:sz w:val="17"/>
                <w:szCs w:val="17"/>
                <w:color w:val="auto"/>
              </w:rPr>
            </w:pP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7.1 %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(3,731)</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(2.6)%</w:t>
            </w: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27,111</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1.4 %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40,283</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2.0 %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(13,172)</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(32.7)%</w:t>
            </w: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111,798</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5.6 %</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102,357</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5.1 %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9,441</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9.2 %</w:t>
            </w:r>
          </w:p>
        </w:tc>
      </w:tr>
      <w:tr>
        <w:trPr>
          <w:trHeight w:val="201"/>
        </w:trPr>
        <w:tc>
          <w:tcPr>
            <w:tcW w:w="2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8"/>
        </w:trPr>
        <w:tc>
          <w:tcPr>
            <w:tcW w:w="2920" w:type="dxa"/>
            <w:vAlign w:val="bottom"/>
          </w:tcPr>
          <w:p>
            <w:pPr>
              <w:ind w:left="20"/>
              <w:spacing w:after="0"/>
              <w:rPr>
                <w:sz w:val="20"/>
                <w:szCs w:val="20"/>
                <w:color w:val="auto"/>
              </w:rPr>
            </w:pPr>
            <w:r>
              <w:rPr>
                <w:rFonts w:ascii="Arial" w:cs="Arial" w:eastAsia="Arial" w:hAnsi="Arial"/>
                <w:sz w:val="13"/>
                <w:szCs w:val="13"/>
                <w:color w:val="auto"/>
              </w:rPr>
              <w:t>Diluted income per share</w:t>
            </w: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0.30</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9.3 %</w:t>
            </w: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average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31,721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31,814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(0.3)%</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(1) Percentages may not add due to rounding differences.</w:t>
      </w:r>
    </w:p>
    <w:p>
      <w:pPr>
        <w:spacing w:after="0" w:line="151"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Net revenues decreased in Fiscal 2019 compared to Fiscal 2018 primarily due to a decrease in our Motorhome segment sales, which is partially offset by an increase in our Towable segment sales and the acquisition of Chris-Craft in the fourth quarter of Fiscal 2018.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60"/>
          </w:cols>
          <w:pgMar w:left="220" w:top="141" w:right="21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Gross profit as a percentage of revenue increased in Fiscal 2019 compared to Fiscal 2018 due to a favorable mix and pricing that were partially offset by higher allowances and higher cost inputs.</w:t>
      </w:r>
    </w:p>
    <w:p>
      <w:pPr>
        <w:spacing w:after="0" w:line="152" w:lineRule="exact"/>
        <w:rPr>
          <w:sz w:val="20"/>
          <w:szCs w:val="20"/>
          <w:color w:val="auto"/>
        </w:rPr>
      </w:pPr>
    </w:p>
    <w:p>
      <w:pPr>
        <w:ind w:right="520"/>
        <w:spacing w:after="0" w:line="251" w:lineRule="auto"/>
        <w:rPr>
          <w:sz w:val="20"/>
          <w:szCs w:val="20"/>
          <w:color w:val="auto"/>
        </w:rPr>
      </w:pPr>
      <w:r>
        <w:rPr>
          <w:rFonts w:ascii="Arial" w:cs="Arial" w:eastAsia="Arial" w:hAnsi="Arial"/>
          <w:sz w:val="13"/>
          <w:szCs w:val="13"/>
          <w:color w:val="auto"/>
        </w:rPr>
        <w:t>Operating expenses increased in Fiscal 2019 compared to Fiscal 2018 due to the addition of the Chris-Craft business and investments in our business, partially offset by a reduction in variable compensation.</w:t>
      </w:r>
    </w:p>
    <w:p>
      <w:pPr>
        <w:spacing w:after="0" w:line="140" w:lineRule="exact"/>
        <w:rPr>
          <w:sz w:val="20"/>
          <w:szCs w:val="20"/>
          <w:color w:val="auto"/>
        </w:rPr>
      </w:pPr>
    </w:p>
    <w:p>
      <w:pPr>
        <w:ind w:right="80"/>
        <w:spacing w:after="0" w:line="292" w:lineRule="auto"/>
        <w:rPr>
          <w:sz w:val="20"/>
          <w:szCs w:val="20"/>
          <w:color w:val="auto"/>
        </w:rPr>
      </w:pPr>
      <w:r>
        <w:rPr>
          <w:rFonts w:ascii="Arial" w:cs="Arial" w:eastAsia="Arial" w:hAnsi="Arial"/>
          <w:sz w:val="12"/>
          <w:szCs w:val="12"/>
          <w:color w:val="auto"/>
        </w:rPr>
        <w:t>Interest expense decreased in Fiscal 2019 compared to Fiscal 2018 due to the unamortized debt issuance costs expensed in Fiscal 2018 related to our voluntary prepayment on our Credit Agreement and our Credit Agreement amendment during the second quarter of Fiscal 2018, which resulted in a decrease to the interest rate spread by 1.0% on the Term Loan and 0.25% on the ABL.</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Non-operating income increased in Fiscal 2019 compared to Fiscal 2018 due to net proceeds received from company-owned life insurance policies.</w:t>
      </w:r>
    </w:p>
    <w:p>
      <w:pPr>
        <w:spacing w:after="0" w:line="152" w:lineRule="exact"/>
        <w:rPr>
          <w:sz w:val="20"/>
          <w:szCs w:val="20"/>
          <w:color w:val="auto"/>
        </w:rPr>
      </w:pPr>
    </w:p>
    <w:p>
      <w:pPr>
        <w:jc w:val="both"/>
        <w:ind w:right="40"/>
        <w:spacing w:after="0" w:line="246" w:lineRule="auto"/>
        <w:rPr>
          <w:sz w:val="20"/>
          <w:szCs w:val="20"/>
          <w:color w:val="auto"/>
        </w:rPr>
      </w:pPr>
      <w:r>
        <w:rPr>
          <w:rFonts w:ascii="Arial" w:cs="Arial" w:eastAsia="Arial" w:hAnsi="Arial"/>
          <w:sz w:val="13"/>
          <w:szCs w:val="13"/>
          <w:color w:val="auto"/>
        </w:rPr>
        <w:t>The effective tax rate decreased to 19.5% in Fiscal 2019 compared to 28.2% in Fiscal 2018 primarily due to the enactment of the Tax Cuts and Jobs Act (the "Tax Act") on December 22, 2017 and $3.6 million in net favorable discrete items, primarily attributable to R&amp;D-related tax credits, realized in the current fiscal year. The reduction related to the enactment of the Tax Act is primarily attributable to the reduction in the Federal statutory tax rate to 21% being applied to the entirety of Fiscal 2019 earnings whereas Fiscal 2018 utilized a blended rate of 25.9%.</w:t>
      </w:r>
    </w:p>
    <w:p>
      <w:pPr>
        <w:spacing w:after="0" w:line="144" w:lineRule="exact"/>
        <w:rPr>
          <w:sz w:val="20"/>
          <w:szCs w:val="20"/>
          <w:color w:val="auto"/>
        </w:rPr>
      </w:pPr>
    </w:p>
    <w:p>
      <w:pPr>
        <w:ind w:right="480"/>
        <w:spacing w:after="0" w:line="251" w:lineRule="auto"/>
        <w:rPr>
          <w:sz w:val="20"/>
          <w:szCs w:val="20"/>
          <w:color w:val="auto"/>
        </w:rPr>
      </w:pPr>
      <w:r>
        <w:rPr>
          <w:rFonts w:ascii="Arial" w:cs="Arial" w:eastAsia="Arial" w:hAnsi="Arial"/>
          <w:sz w:val="13"/>
          <w:szCs w:val="13"/>
          <w:color w:val="auto"/>
        </w:rPr>
        <w:t>Net income and diluted income per share increased in Fiscal 2019 compared to Fiscal 2018 primarily due to a lower effective tax rate and increased Towable segment sales, partially offset by a decrease in our Motorhome segment profitability.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20"/>
                <w:szCs w:val="20"/>
                <w:color w:val="auto"/>
              </w:rPr>
            </w:pPr>
            <w:r>
              <w:rPr>
                <w:rFonts w:ascii="Arial" w:cs="Arial" w:eastAsia="Arial" w:hAnsi="Arial"/>
                <w:sz w:val="13"/>
                <w:szCs w:val="13"/>
                <w:b w:val="1"/>
                <w:bCs w:val="1"/>
                <w:i w:val="1"/>
                <w:iCs w:val="1"/>
                <w:color w:val="auto"/>
              </w:rPr>
              <w:t>Non-GAAP Reconciliation</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2"/>
        </w:trPr>
        <w:tc>
          <w:tcPr>
            <w:tcW w:w="7920" w:type="dxa"/>
            <w:vAlign w:val="bottom"/>
          </w:tcPr>
          <w:p>
            <w:pPr>
              <w:spacing w:after="0"/>
              <w:rPr>
                <w:sz w:val="20"/>
                <w:szCs w:val="20"/>
                <w:color w:val="auto"/>
              </w:rPr>
            </w:pPr>
            <w:r>
              <w:rPr>
                <w:rFonts w:ascii="Arial" w:cs="Arial" w:eastAsia="Arial" w:hAnsi="Arial"/>
                <w:sz w:val="13"/>
                <w:szCs w:val="13"/>
                <w:color w:val="auto"/>
              </w:rPr>
              <w:t>The following table reconciles net income to consolidated EBITDA and Adjusted EBITDA for Fiscal 2019 and 2018:</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2018</w:t>
            </w:r>
          </w:p>
        </w:tc>
      </w:tr>
      <w:tr>
        <w:trPr>
          <w:trHeight w:val="20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111,798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102,357</w:t>
            </w:r>
          </w:p>
        </w:tc>
      </w:tr>
      <w:tr>
        <w:trPr>
          <w:trHeight w:val="208"/>
        </w:trPr>
        <w:tc>
          <w:tcPr>
            <w:tcW w:w="792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400" w:type="dxa"/>
            <w:vAlign w:val="bottom"/>
          </w:tcPr>
          <w:p>
            <w:pPr>
              <w:spacing w:after="0"/>
              <w:rPr>
                <w:sz w:val="18"/>
                <w:szCs w:val="18"/>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17,939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18,246</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27,111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40,283</w:t>
            </w:r>
          </w:p>
        </w:tc>
      </w:tr>
      <w:tr>
        <w:trPr>
          <w:trHeight w:val="208"/>
        </w:trPr>
        <w:tc>
          <w:tcPr>
            <w:tcW w:w="792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400" w:type="dxa"/>
            <w:vAlign w:val="bottom"/>
          </w:tcPr>
          <w:p>
            <w:pPr>
              <w:spacing w:after="0"/>
              <w:rPr>
                <w:sz w:val="18"/>
                <w:szCs w:val="18"/>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13,682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9,849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9,635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9,328</w:t>
            </w:r>
          </w:p>
        </w:tc>
      </w:tr>
      <w:tr>
        <w:trPr>
          <w:trHeight w:val="196"/>
        </w:trPr>
        <w:tc>
          <w:tcPr>
            <w:tcW w:w="7920" w:type="dxa"/>
            <w:vAlign w:val="bottom"/>
          </w:tcPr>
          <w:p>
            <w:pPr>
              <w:ind w:left="140"/>
              <w:spacing w:after="0"/>
              <w:rPr>
                <w:sz w:val="20"/>
                <w:szCs w:val="20"/>
                <w:color w:val="auto"/>
              </w:rPr>
            </w:pPr>
            <w:r>
              <w:rPr>
                <w:rFonts w:ascii="Arial" w:cs="Arial" w:eastAsia="Arial" w:hAnsi="Arial"/>
                <w:sz w:val="13"/>
                <w:szCs w:val="13"/>
                <w:color w:val="auto"/>
              </w:rPr>
              <w:t>EBITDA</w:t>
            </w:r>
          </w:p>
        </w:tc>
        <w:tc>
          <w:tcPr>
            <w:tcW w:w="400" w:type="dxa"/>
            <w:vAlign w:val="bottom"/>
          </w:tcPr>
          <w:p>
            <w:pPr>
              <w:spacing w:after="0"/>
              <w:rPr>
                <w:sz w:val="17"/>
                <w:szCs w:val="17"/>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180,165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180,063</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w:t>
            </w:r>
            <w:r>
              <w:rPr>
                <w:rFonts w:ascii="Arial" w:cs="Arial" w:eastAsia="Arial" w:hAnsi="Arial"/>
                <w:sz w:val="17"/>
                <w:szCs w:val="17"/>
                <w:color w:val="auto"/>
                <w:vertAlign w:val="superscript"/>
              </w:rPr>
              <w:t>(1)</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08"/>
        </w:trPr>
        <w:tc>
          <w:tcPr>
            <w:tcW w:w="7920" w:type="dxa"/>
            <w:vAlign w:val="bottom"/>
          </w:tcPr>
          <w:p>
            <w:pPr>
              <w:ind w:left="20"/>
              <w:spacing w:after="0"/>
              <w:rPr>
                <w:sz w:val="20"/>
                <w:szCs w:val="20"/>
                <w:color w:val="auto"/>
              </w:rPr>
            </w:pPr>
            <w:r>
              <w:rPr>
                <w:rFonts w:ascii="Arial" w:cs="Arial" w:eastAsia="Arial" w:hAnsi="Arial"/>
                <w:sz w:val="13"/>
                <w:szCs w:val="13"/>
                <w:color w:val="auto"/>
              </w:rPr>
              <w:t>Acquisition-related costs</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2,177</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Non-operating income</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(1,581)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r>
      <w:tr>
        <w:trPr>
          <w:trHeight w:val="190"/>
        </w:trPr>
        <w:tc>
          <w:tcPr>
            <w:tcW w:w="7920" w:type="dxa"/>
            <w:vAlign w:val="bottom"/>
          </w:tcPr>
          <w:p>
            <w:pPr>
              <w:ind w:left="140"/>
              <w:spacing w:after="0"/>
              <w:rPr>
                <w:sz w:val="20"/>
                <w:szCs w:val="20"/>
                <w:color w:val="auto"/>
              </w:rPr>
            </w:pPr>
            <w:r>
              <w:rPr>
                <w:rFonts w:ascii="Arial" w:cs="Arial" w:eastAsia="Arial" w:hAnsi="Arial"/>
                <w:sz w:val="13"/>
                <w:szCs w:val="13"/>
                <w:color w:val="auto"/>
              </w:rPr>
              <w:t>Adjusted EBITDA</w:t>
            </w:r>
          </w:p>
        </w:tc>
        <w:tc>
          <w:tcPr>
            <w:tcW w:w="4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179,652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181,746</w:t>
            </w:r>
          </w:p>
        </w:tc>
      </w:tr>
      <w:tr>
        <w:trPr>
          <w:trHeight w:val="20"/>
        </w:trPr>
        <w:tc>
          <w:tcPr>
            <w:tcW w:w="7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200" w:hanging="194"/>
        <w:spacing w:after="0"/>
        <w:tabs>
          <w:tab w:leader="none" w:pos="2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Balance excludes depreciation expense classified as restructuring as the balance is already included in the EBITDA calculation.</w:t>
      </w:r>
    </w:p>
    <w:p>
      <w:pPr>
        <w:spacing w:after="0" w:line="194" w:lineRule="exact"/>
        <w:rPr>
          <w:rFonts w:ascii="Arial" w:cs="Arial" w:eastAsia="Arial" w:hAnsi="Arial"/>
          <w:sz w:val="11"/>
          <w:szCs w:val="11"/>
          <w:color w:val="auto"/>
        </w:rPr>
      </w:pPr>
    </w:p>
    <w:p>
      <w:pPr>
        <w:ind w:left="5660"/>
        <w:spacing w:after="0"/>
        <w:rPr>
          <w:rFonts w:ascii="Arial" w:cs="Arial" w:eastAsia="Arial" w:hAnsi="Arial"/>
          <w:sz w:val="11"/>
          <w:szCs w:val="11"/>
          <w:color w:val="auto"/>
        </w:rPr>
      </w:pPr>
      <w:r>
        <w:rPr>
          <w:rFonts w:ascii="Arial" w:cs="Arial" w:eastAsia="Arial" w:hAnsi="Arial"/>
          <w:sz w:val="13"/>
          <w:szCs w:val="13"/>
          <w:color w:val="auto"/>
        </w:rPr>
        <w:t>26</w:t>
      </w:r>
    </w:p>
    <w:p>
      <w:pPr>
        <w:sectPr>
          <w:pgSz w:w="11900" w:h="16838" w:orient="portrait"/>
          <w:cols w:equalWidth="0" w:num="1">
            <w:col w:w="11460"/>
          </w:cols>
          <w:pgMar w:left="220" w:top="141" w:right="21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 Performance Summary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Towable segment for Fiscal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ASP)</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 of Revenues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 of Revenues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9"/>
              </w:rPr>
              <w:t>$ Change</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1,197,327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1,127,723</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69,604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6.2 %</w:t>
            </w:r>
          </w:p>
        </w:tc>
      </w:tr>
      <w:tr>
        <w:trPr>
          <w:trHeight w:val="208"/>
        </w:trPr>
        <w:tc>
          <w:tcPr>
            <w:tcW w:w="314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163,677</w:t>
            </w:r>
          </w:p>
        </w:tc>
        <w:tc>
          <w:tcPr>
            <w:tcW w:w="1360" w:type="dxa"/>
            <w:vAlign w:val="bottom"/>
            <w:gridSpan w:val="2"/>
          </w:tcPr>
          <w:p>
            <w:pPr>
              <w:jc w:val="right"/>
              <w:ind w:right="75"/>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157,010</w:t>
            </w:r>
          </w:p>
        </w:tc>
        <w:tc>
          <w:tcPr>
            <w:tcW w:w="1420" w:type="dxa"/>
            <w:vAlign w:val="bottom"/>
            <w:gridSpan w:val="2"/>
          </w:tcPr>
          <w:p>
            <w:pPr>
              <w:jc w:val="right"/>
              <w:ind w:right="155"/>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6,667</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4.2 %</w:t>
            </w:r>
          </w:p>
        </w:tc>
      </w:tr>
      <w:tr>
        <w:trPr>
          <w:trHeight w:val="223"/>
        </w:trPr>
        <w:tc>
          <w:tcPr>
            <w:tcW w:w="3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2"/>
        </w:trPr>
        <w:tc>
          <w:tcPr>
            <w:tcW w:w="3140" w:type="dxa"/>
            <w:vAlign w:val="bottom"/>
          </w:tcPr>
          <w:p>
            <w:pPr>
              <w:ind w:left="20"/>
              <w:spacing w:after="0"/>
              <w:rPr>
                <w:sz w:val="20"/>
                <w:szCs w:val="20"/>
                <w:color w:val="auto"/>
              </w:rPr>
            </w:pPr>
            <w:r>
              <w:rPr>
                <w:rFonts w:ascii="Arial" w:cs="Arial" w:eastAsia="Arial" w:hAnsi="Arial"/>
                <w:sz w:val="13"/>
                <w:szCs w:val="13"/>
                <w:color w:val="auto"/>
              </w:rPr>
              <w:t>Average Selling Price ("ASP")</w:t>
            </w:r>
            <w:r>
              <w:rPr>
                <w:rFonts w:ascii="Arial" w:cs="Arial" w:eastAsia="Arial" w:hAnsi="Arial"/>
                <w:sz w:val="17"/>
                <w:szCs w:val="17"/>
                <w:color w:val="auto"/>
                <w:vertAlign w:val="superscript"/>
              </w:rPr>
              <w:t>(1)</w:t>
            </w:r>
          </w:p>
        </w:tc>
        <w:tc>
          <w:tcPr>
            <w:tcW w:w="140" w:type="dxa"/>
            <w:vAlign w:val="bottom"/>
          </w:tcPr>
          <w:p>
            <w:pPr>
              <w:spacing w:after="0"/>
              <w:rPr>
                <w:sz w:val="22"/>
                <w:szCs w:val="22"/>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32,811</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30,941</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1,870</w:t>
            </w:r>
          </w:p>
        </w:tc>
        <w:tc>
          <w:tcPr>
            <w:tcW w:w="120" w:type="dxa"/>
            <w:vAlign w:val="bottom"/>
          </w:tcPr>
          <w:p>
            <w:pPr>
              <w:spacing w:after="0"/>
              <w:rPr>
                <w:sz w:val="22"/>
                <w:szCs w:val="22"/>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6.0 %</w:t>
            </w:r>
          </w:p>
        </w:tc>
      </w:tr>
      <w:tr>
        <w:trPr>
          <w:trHeight w:val="38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Unit deliveries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9"/>
              </w:rPr>
              <w:t>Unit Change</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22,458</w:t>
            </w:r>
          </w:p>
        </w:tc>
        <w:tc>
          <w:tcPr>
            <w:tcW w:w="136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22,360</w:t>
            </w:r>
          </w:p>
        </w:tc>
        <w:tc>
          <w:tcPr>
            <w:tcW w:w="142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61.1%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0.4 %</w:t>
            </w:r>
          </w:p>
        </w:tc>
      </w:tr>
      <w:tr>
        <w:trPr>
          <w:trHeight w:val="20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Fifth wheel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14,371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39.0%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14,229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38.9%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142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1.0 %</w:t>
            </w:r>
          </w:p>
        </w:tc>
      </w:tr>
      <w:tr>
        <w:trPr>
          <w:trHeight w:val="190"/>
        </w:trPr>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Towable</w:t>
            </w: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36,829</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36,589</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100.0%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240</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0.7 %</w:t>
            </w: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9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40" w:type="dxa"/>
            <w:vAlign w:val="bottom"/>
          </w:tcPr>
          <w:p>
            <w:pPr>
              <w:spacing w:after="0"/>
              <w:rPr>
                <w:sz w:val="24"/>
                <w:szCs w:val="24"/>
                <w:color w:val="auto"/>
              </w:rPr>
            </w:pPr>
          </w:p>
        </w:tc>
        <w:tc>
          <w:tcPr>
            <w:tcW w:w="1280" w:type="dxa"/>
            <w:vAlign w:val="bottom"/>
          </w:tcPr>
          <w:p>
            <w:pPr>
              <w:jc w:val="right"/>
              <w:ind w:right="155"/>
              <w:spacing w:after="0"/>
              <w:rPr>
                <w:sz w:val="20"/>
                <w:szCs w:val="20"/>
                <w:color w:val="auto"/>
              </w:rPr>
            </w:pPr>
            <w:r>
              <w:rPr>
                <w:rFonts w:ascii="Arial" w:cs="Arial" w:eastAsia="Arial" w:hAnsi="Arial"/>
                <w:sz w:val="13"/>
                <w:szCs w:val="13"/>
                <w:b w:val="1"/>
                <w:bCs w:val="1"/>
                <w:color w:val="auto"/>
              </w:rPr>
              <w:t>August 31, 2019</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55"/>
              <w:spacing w:after="0"/>
              <w:rPr>
                <w:sz w:val="20"/>
                <w:szCs w:val="20"/>
                <w:color w:val="auto"/>
              </w:rPr>
            </w:pPr>
            <w:r>
              <w:rPr>
                <w:rFonts w:ascii="Arial" w:cs="Arial" w:eastAsia="Arial" w:hAnsi="Arial"/>
                <w:sz w:val="13"/>
                <w:szCs w:val="13"/>
                <w:b w:val="1"/>
                <w:bCs w:val="1"/>
                <w:color w:val="auto"/>
              </w:rPr>
              <w:t>August 25, 2018</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Change</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Backlog</w:t>
            </w:r>
            <w:r>
              <w:rPr>
                <w:rFonts w:ascii="Arial" w:cs="Arial" w:eastAsia="Arial" w:hAnsi="Arial"/>
                <w:sz w:val="17"/>
                <w:szCs w:val="17"/>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08"/>
        </w:trPr>
        <w:tc>
          <w:tcPr>
            <w:tcW w:w="3140" w:type="dxa"/>
            <w:vAlign w:val="bottom"/>
          </w:tcPr>
          <w:p>
            <w:pPr>
              <w:ind w:left="140"/>
              <w:spacing w:after="0"/>
              <w:rPr>
                <w:sz w:val="20"/>
                <w:szCs w:val="20"/>
                <w:color w:val="auto"/>
              </w:rPr>
            </w:pPr>
            <w:r>
              <w:rPr>
                <w:rFonts w:ascii="Arial" w:cs="Arial" w:eastAsia="Arial" w:hAnsi="Arial"/>
                <w:sz w:val="13"/>
                <w:szCs w:val="13"/>
                <w:color w:val="auto"/>
              </w:rPr>
              <w:t>Units</w:t>
            </w:r>
          </w:p>
        </w:tc>
        <w:tc>
          <w:tcPr>
            <w:tcW w:w="1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7,225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7,651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(5.6)%</w:t>
            </w:r>
          </w:p>
        </w:tc>
      </w:tr>
      <w:tr>
        <w:trPr>
          <w:trHeight w:val="223"/>
        </w:trPr>
        <w:tc>
          <w:tcPr>
            <w:tcW w:w="3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234,339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244,854</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(4.3)%</w:t>
            </w:r>
          </w:p>
        </w:tc>
      </w:tr>
      <w:tr>
        <w:trPr>
          <w:trHeight w:val="20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15,658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14,877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781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5.2 %</w:t>
            </w:r>
          </w:p>
        </w:tc>
      </w:tr>
    </w:tbl>
    <w:p>
      <w:pPr>
        <w:spacing w:after="0" w:line="47" w:lineRule="exact"/>
        <w:rPr>
          <w:sz w:val="20"/>
          <w:szCs w:val="20"/>
          <w:color w:val="auto"/>
        </w:rPr>
      </w:pPr>
    </w:p>
    <w:p>
      <w:pPr>
        <w:ind w:left="200" w:hanging="194"/>
        <w:spacing w:after="0"/>
        <w:tabs>
          <w:tab w:leader="none" w:pos="2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ASP excludes off-invoice dealer incentives.</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Percentages may not add due to rounding differences.</w:t>
      </w:r>
    </w:p>
    <w:p>
      <w:pPr>
        <w:spacing w:after="0" w:line="2" w:lineRule="exact"/>
        <w:rPr>
          <w:rFonts w:ascii="Arial" w:cs="Arial" w:eastAsia="Arial" w:hAnsi="Arial"/>
          <w:sz w:val="11"/>
          <w:szCs w:val="11"/>
          <w:color w:val="auto"/>
        </w:rPr>
      </w:pPr>
    </w:p>
    <w:p>
      <w:pPr>
        <w:ind w:left="200" w:right="160" w:hanging="194"/>
        <w:spacing w:after="0" w:line="267" w:lineRule="auto"/>
        <w:tabs>
          <w:tab w:leader="none" w:pos="2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Net revenues increased in Fiscal 2019 compared to Fiscal 2018 due to increased pricing and organic volume growth.</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ASP increased in Fiscal 2019 compared to Fiscal 2018 due to price increases as well as favorable product mix.</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in Fiscal 2019 compared to Fiscal 2018 primarily due to sales growth, offset partially by higher incentives to dealers and higher input costs.</w:t>
      </w:r>
    </w:p>
    <w:p>
      <w:pPr>
        <w:spacing w:after="0" w:line="152" w:lineRule="exact"/>
        <w:rPr>
          <w:sz w:val="20"/>
          <w:szCs w:val="20"/>
          <w:color w:val="auto"/>
        </w:rPr>
      </w:pPr>
    </w:p>
    <w:p>
      <w:pPr>
        <w:jc w:val="both"/>
        <w:ind w:right="420"/>
        <w:spacing w:after="0" w:line="246" w:lineRule="auto"/>
        <w:rPr>
          <w:sz w:val="20"/>
          <w:szCs w:val="20"/>
          <w:color w:val="auto"/>
        </w:rPr>
      </w:pPr>
      <w:r>
        <w:rPr>
          <w:rFonts w:ascii="Arial" w:cs="Arial" w:eastAsia="Arial" w:hAnsi="Arial"/>
          <w:sz w:val="13"/>
          <w:szCs w:val="13"/>
          <w:color w:val="auto"/>
        </w:rPr>
        <w:t>Unit deliveries increased in Fiscal 2019 to Fiscal 2018 primarily due to volume growth in excess of recent industry trends. Our Towable segment market share increased from 7.4% to 8.8% when comparing retail registrations during the twelve-month trailing periods ended August 2018 and August 2019. Shipments grew faster than the industry as a result of greater penetration of our new products and further expansion of our products on dealer lots.</w:t>
      </w:r>
    </w:p>
    <w:p>
      <w:pPr>
        <w:spacing w:after="0" w:line="144" w:lineRule="exact"/>
        <w:rPr>
          <w:sz w:val="20"/>
          <w:szCs w:val="20"/>
          <w:color w:val="auto"/>
        </w:rPr>
      </w:pPr>
    </w:p>
    <w:p>
      <w:pPr>
        <w:ind w:right="460"/>
        <w:spacing w:after="0" w:line="251" w:lineRule="auto"/>
        <w:rPr>
          <w:sz w:val="20"/>
          <w:szCs w:val="20"/>
          <w:color w:val="auto"/>
        </w:rPr>
      </w:pPr>
      <w:r>
        <w:rPr>
          <w:rFonts w:ascii="Arial" w:cs="Arial" w:eastAsia="Arial" w:hAnsi="Arial"/>
          <w:sz w:val="13"/>
          <w:szCs w:val="13"/>
          <w:color w:val="auto"/>
        </w:rPr>
        <w:t>We have seen a decrease in the backlog volumes as of August 31, 2019 compared to August 25, 2018 due to our utilization of additional capacity added during 2018 and a change in our dealer ordering patterns as a result of a more challenging retail environment, partially offset by strong demand for our new products.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60"/>
          </w:cols>
          <w:pgMar w:left="220" w:top="141" w:right="21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Motorhome segment for Fiscal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ASP)</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 of Revenues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 of Revenues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9"/>
              </w:rPr>
              <w:t>$ Change</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706,927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860,675</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(153,748)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(17.9)%</w:t>
            </w: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27,455</w:t>
            </w:r>
          </w:p>
        </w:tc>
        <w:tc>
          <w:tcPr>
            <w:tcW w:w="1360" w:type="dxa"/>
            <w:vAlign w:val="bottom"/>
            <w:gridSpan w:val="2"/>
          </w:tcPr>
          <w:p>
            <w:pPr>
              <w:jc w:val="right"/>
              <w:ind w:right="75"/>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3"/>
                <w:szCs w:val="13"/>
                <w:color w:val="auto"/>
              </w:rPr>
              <w:t>35,508</w:t>
            </w:r>
          </w:p>
        </w:tc>
        <w:tc>
          <w:tcPr>
            <w:tcW w:w="1420" w:type="dxa"/>
            <w:vAlign w:val="bottom"/>
            <w:gridSpan w:val="2"/>
          </w:tcPr>
          <w:p>
            <w:pPr>
              <w:jc w:val="right"/>
              <w:ind w:right="155"/>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(8,053)</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(22.7)%</w:t>
            </w:r>
          </w:p>
        </w:tc>
      </w:tr>
      <w:tr>
        <w:trPr>
          <w:trHeight w:val="223"/>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31"/>
        </w:trPr>
        <w:tc>
          <w:tcPr>
            <w:tcW w:w="3560" w:type="dxa"/>
            <w:vAlign w:val="bottom"/>
          </w:tcPr>
          <w:p>
            <w:pPr>
              <w:ind w:left="20"/>
              <w:spacing w:after="0"/>
              <w:rPr>
                <w:sz w:val="20"/>
                <w:szCs w:val="20"/>
                <w:color w:val="auto"/>
              </w:rPr>
            </w:pPr>
            <w:r>
              <w:rPr>
                <w:rFonts w:ascii="Arial" w:cs="Arial" w:eastAsia="Arial" w:hAnsi="Arial"/>
                <w:sz w:val="25"/>
                <w:szCs w:val="25"/>
                <w:color w:val="auto"/>
                <w:vertAlign w:val="subscript"/>
              </w:rPr>
              <w:t>ASP</w:t>
            </w:r>
            <w:r>
              <w:rPr>
                <w:rFonts w:ascii="Arial" w:cs="Arial" w:eastAsia="Arial" w:hAnsi="Arial"/>
                <w:sz w:val="9"/>
                <w:szCs w:val="9"/>
                <w:color w:val="auto"/>
              </w:rPr>
              <w:t>(1)</w:t>
            </w:r>
          </w:p>
        </w:tc>
        <w:tc>
          <w:tcPr>
            <w:tcW w:w="10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93,549</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Arial" w:cs="Arial" w:eastAsia="Arial" w:hAnsi="Arial"/>
                <w:sz w:val="13"/>
                <w:szCs w:val="13"/>
                <w:color w:val="auto"/>
              </w:rPr>
              <w:t>89,879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3,670</w:t>
            </w:r>
          </w:p>
        </w:tc>
        <w:tc>
          <w:tcPr>
            <w:tcW w:w="120" w:type="dxa"/>
            <w:vAlign w:val="bottom"/>
          </w:tcPr>
          <w:p>
            <w:pPr>
              <w:spacing w:after="0"/>
              <w:rPr>
                <w:sz w:val="24"/>
                <w:szCs w:val="24"/>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4.1 %</w:t>
            </w:r>
          </w:p>
        </w:tc>
      </w:tr>
      <w:tr>
        <w:trPr>
          <w:trHeight w:val="31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Unit deliveries</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9"/>
              </w:rPr>
              <w:t>Unit Change</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196"/>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1,582</w:t>
            </w:r>
          </w:p>
        </w:tc>
        <w:tc>
          <w:tcPr>
            <w:tcW w:w="136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2,997</w:t>
            </w:r>
          </w:p>
        </w:tc>
        <w:tc>
          <w:tcPr>
            <w:tcW w:w="142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31.4%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(47.2)%</w:t>
            </w: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Class B</w:t>
            </w:r>
          </w:p>
        </w:tc>
        <w:tc>
          <w:tcPr>
            <w:tcW w:w="1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2,784</w:t>
            </w:r>
          </w:p>
        </w:tc>
        <w:tc>
          <w:tcPr>
            <w:tcW w:w="1360" w:type="dxa"/>
            <w:vAlign w:val="bottom"/>
            <w:gridSpan w:val="2"/>
          </w:tcPr>
          <w:p>
            <w:pPr>
              <w:jc w:val="right"/>
              <w:ind w:right="75"/>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3"/>
                <w:szCs w:val="13"/>
                <w:color w:val="auto"/>
              </w:rPr>
              <w:t>2,012</w:t>
            </w:r>
          </w:p>
        </w:tc>
        <w:tc>
          <w:tcPr>
            <w:tcW w:w="1420" w:type="dxa"/>
            <w:vAlign w:val="bottom"/>
            <w:gridSpan w:val="2"/>
          </w:tcPr>
          <w:p>
            <w:pPr>
              <w:jc w:val="right"/>
              <w:ind w:right="155"/>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772</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38.4 %</w:t>
            </w: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3,225</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4,539</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47.5%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(28.9)%</w:t>
            </w:r>
          </w:p>
        </w:tc>
      </w:tr>
      <w:tr>
        <w:trPr>
          <w:trHeight w:val="190"/>
        </w:trPr>
        <w:tc>
          <w:tcPr>
            <w:tcW w:w="3560" w:type="dxa"/>
            <w:vAlign w:val="bottom"/>
          </w:tcPr>
          <w:p>
            <w:pPr>
              <w:ind w:left="140"/>
              <w:spacing w:after="0"/>
              <w:rPr>
                <w:sz w:val="20"/>
                <w:szCs w:val="20"/>
                <w:color w:val="auto"/>
              </w:rPr>
            </w:pPr>
            <w:r>
              <w:rPr>
                <w:rFonts w:ascii="Arial" w:cs="Arial" w:eastAsia="Arial" w:hAnsi="Arial"/>
                <w:sz w:val="13"/>
                <w:szCs w:val="13"/>
                <w:color w:val="auto"/>
              </w:rPr>
              <w:t>Total Motorhome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7,591</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9,548</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(1,957)</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(20.5)%</w:t>
            </w: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98"/>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24"/>
                <w:szCs w:val="24"/>
                <w:color w:val="auto"/>
              </w:rPr>
            </w:pPr>
          </w:p>
        </w:tc>
        <w:tc>
          <w:tcPr>
            <w:tcW w:w="1100" w:type="dxa"/>
            <w:vAlign w:val="bottom"/>
          </w:tcPr>
          <w:p>
            <w:pPr>
              <w:jc w:val="right"/>
              <w:ind w:right="55"/>
              <w:spacing w:after="0"/>
              <w:rPr>
                <w:sz w:val="20"/>
                <w:szCs w:val="20"/>
                <w:color w:val="auto"/>
              </w:rPr>
            </w:pPr>
            <w:r>
              <w:rPr>
                <w:rFonts w:ascii="Arial" w:cs="Arial" w:eastAsia="Arial" w:hAnsi="Arial"/>
                <w:sz w:val="13"/>
                <w:szCs w:val="13"/>
                <w:b w:val="1"/>
                <w:bCs w:val="1"/>
                <w:color w:val="auto"/>
                <w:w w:val="96"/>
              </w:rPr>
              <w:t>August 31, 2019</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55"/>
              <w:spacing w:after="0"/>
              <w:rPr>
                <w:sz w:val="20"/>
                <w:szCs w:val="20"/>
                <w:color w:val="auto"/>
              </w:rPr>
            </w:pPr>
            <w:r>
              <w:rPr>
                <w:rFonts w:ascii="Arial" w:cs="Arial" w:eastAsia="Arial" w:hAnsi="Arial"/>
                <w:sz w:val="13"/>
                <w:szCs w:val="13"/>
                <w:b w:val="1"/>
                <w:bCs w:val="1"/>
                <w:color w:val="auto"/>
                <w:w w:val="98"/>
              </w:rPr>
              <w:t>August 25, 2018</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Change</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Backlog</w:t>
            </w:r>
            <w:r>
              <w:rPr>
                <w:rFonts w:ascii="Arial" w:cs="Arial" w:eastAsia="Arial" w:hAnsi="Arial"/>
                <w:sz w:val="17"/>
                <w:szCs w:val="17"/>
                <w:b w:val="1"/>
                <w:bCs w:val="1"/>
                <w:color w:val="auto"/>
                <w:vertAlign w:val="superscript"/>
              </w:rPr>
              <w:t>(3)</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08"/>
        </w:trPr>
        <w:tc>
          <w:tcPr>
            <w:tcW w:w="3560" w:type="dxa"/>
            <w:vAlign w:val="bottom"/>
          </w:tcPr>
          <w:p>
            <w:pPr>
              <w:ind w:left="140"/>
              <w:spacing w:after="0"/>
              <w:rPr>
                <w:sz w:val="20"/>
                <w:szCs w:val="20"/>
                <w:color w:val="auto"/>
              </w:rPr>
            </w:pPr>
            <w:r>
              <w:rPr>
                <w:rFonts w:ascii="Arial" w:cs="Arial" w:eastAsia="Arial" w:hAnsi="Arial"/>
                <w:sz w:val="13"/>
                <w:szCs w:val="13"/>
                <w:color w:val="auto"/>
              </w:rPr>
              <w:t>Units</w:t>
            </w:r>
          </w:p>
        </w:tc>
        <w:tc>
          <w:tcPr>
            <w:tcW w:w="1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1,808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3"/>
                <w:szCs w:val="13"/>
                <w:color w:val="auto"/>
              </w:rPr>
              <w:t>1,693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6.8 %</w:t>
            </w:r>
          </w:p>
        </w:tc>
      </w:tr>
      <w:tr>
        <w:trPr>
          <w:trHeight w:val="223"/>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165,373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157,554</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7,819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5.0 %</w:t>
            </w: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3,891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4,620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(15.8)%</w:t>
            </w:r>
          </w:p>
        </w:tc>
      </w:tr>
    </w:tbl>
    <w:p>
      <w:pPr>
        <w:spacing w:after="0" w:line="47" w:lineRule="exact"/>
        <w:rPr>
          <w:sz w:val="20"/>
          <w:szCs w:val="20"/>
          <w:color w:val="auto"/>
        </w:rPr>
      </w:pPr>
    </w:p>
    <w:p>
      <w:pPr>
        <w:ind w:left="200" w:hanging="194"/>
        <w:spacing w:after="0"/>
        <w:tabs>
          <w:tab w:leader="none" w:pos="2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ASP excludes off-invoice dealer incentives.</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Percentages may not add due to rounding differences.</w:t>
      </w:r>
    </w:p>
    <w:p>
      <w:pPr>
        <w:spacing w:after="0" w:line="2" w:lineRule="exact"/>
        <w:rPr>
          <w:rFonts w:ascii="Arial" w:cs="Arial" w:eastAsia="Arial" w:hAnsi="Arial"/>
          <w:sz w:val="11"/>
          <w:szCs w:val="11"/>
          <w:color w:val="auto"/>
        </w:rPr>
      </w:pPr>
    </w:p>
    <w:p>
      <w:pPr>
        <w:ind w:left="200" w:right="160" w:hanging="194"/>
        <w:spacing w:after="0" w:line="267" w:lineRule="auto"/>
        <w:tabs>
          <w:tab w:leader="none" w:pos="2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in Fiscal 2019 compared to Fiscal 2018 due to a decrease in the number of units sold, partially offset by increased pricing.</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ASP increased in Fiscal 2019 compared to Fiscal 2018 due to price increases implemented during the second half of Fiscal 2018.</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decreased in Fiscal 2019 compared to Fiscal 2018 due to lower volume and higher input costs, partially offset by increased pricing and favorable mix of business.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Unit deliveries decreased in Fiscal 2019 compared to Fiscal 2018 driven by decreases in our Class A and Class C products, partially offset by an increase in our Class B products.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We have seen an increase in the volume and dollar value of backlog as of August 31, 2019 compared to August 25, 2018 due to the introduction of new product models.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60"/>
          </w:cols>
          <w:pgMar w:left="220" w:top="141" w:right="21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 Fiscal 2018 Compared to Fiscal 2017</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Performance Summary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changes in key items included in the statements of operations for the fiscal year ended August 25, 2018 compared to the fiscal year ended August 26,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percent and per share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7"/>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data)</w:t>
            </w: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6"/>
                <w:szCs w:val="16"/>
                <w:color w:val="auto"/>
              </w:rPr>
            </w:pPr>
          </w:p>
        </w:tc>
        <w:tc>
          <w:tcPr>
            <w:tcW w:w="1500" w:type="dxa"/>
            <w:vAlign w:val="bottom"/>
            <w:gridSpan w:val="2"/>
          </w:tcPr>
          <w:p>
            <w:pPr>
              <w:ind w:left="180"/>
              <w:spacing w:after="0" w:line="187"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7"/>
                <w:szCs w:val="17"/>
                <w:b w:val="1"/>
                <w:bCs w:val="1"/>
                <w:color w:val="auto"/>
                <w:vertAlign w:val="superscript"/>
              </w:rPr>
              <w:t>(1)</w:t>
            </w: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6"/>
                <w:szCs w:val="16"/>
                <w:color w:val="auto"/>
              </w:rPr>
            </w:pPr>
          </w:p>
        </w:tc>
        <w:tc>
          <w:tcPr>
            <w:tcW w:w="1500" w:type="dxa"/>
            <w:vAlign w:val="bottom"/>
            <w:gridSpan w:val="2"/>
          </w:tcPr>
          <w:p>
            <w:pPr>
              <w:ind w:left="180"/>
              <w:spacing w:after="0" w:line="187" w:lineRule="exact"/>
              <w:rPr>
                <w:sz w:val="20"/>
                <w:szCs w:val="20"/>
                <w:color w:val="auto"/>
              </w:rPr>
            </w:pPr>
            <w:r>
              <w:rPr>
                <w:rFonts w:ascii="Arial" w:cs="Arial" w:eastAsia="Arial" w:hAnsi="Arial"/>
                <w:sz w:val="13"/>
                <w:szCs w:val="13"/>
                <w:b w:val="1"/>
                <w:bCs w:val="1"/>
                <w:color w:val="auto"/>
              </w:rPr>
              <w:t>% of Revenues</w:t>
            </w:r>
            <w:r>
              <w:rPr>
                <w:rFonts w:ascii="Arial" w:cs="Arial" w:eastAsia="Arial" w:hAnsi="Arial"/>
                <w:sz w:val="17"/>
                <w:szCs w:val="17"/>
                <w:b w:val="1"/>
                <w:bCs w:val="1"/>
                <w:color w:val="auto"/>
                <w:vertAlign w:val="superscript"/>
              </w:rPr>
              <w:t>(1)</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196"/>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32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2,016,829</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1,547,119</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469,710</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30.4 %</w:t>
            </w:r>
          </w:p>
        </w:tc>
      </w:tr>
      <w:tr>
        <w:trPr>
          <w:trHeight w:val="208"/>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goods sold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1,716,993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85.1 %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1,324,542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85.6 %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392,451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29.6 %</w:t>
            </w: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299,836</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14.9 %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222,577</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77,259</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34.7 %</w:t>
            </w:r>
          </w:p>
        </w:tc>
      </w:tr>
      <w:tr>
        <w:trPr>
          <w:trHeight w:val="208"/>
        </w:trPr>
        <w:tc>
          <w:tcPr>
            <w:tcW w:w="2920" w:type="dxa"/>
            <w:vAlign w:val="bottom"/>
          </w:tcPr>
          <w:p>
            <w:pPr>
              <w:ind w:left="20"/>
              <w:spacing w:after="0"/>
              <w:rPr>
                <w:sz w:val="20"/>
                <w:szCs w:val="20"/>
                <w:color w:val="auto"/>
              </w:rPr>
            </w:pPr>
            <w:r>
              <w:rPr>
                <w:rFonts w:ascii="Arial" w:cs="Arial" w:eastAsia="Arial" w:hAnsi="Arial"/>
                <w:sz w:val="13"/>
                <w:szCs w:val="13"/>
                <w:color w:val="auto"/>
              </w:rPr>
              <w:t>SG&amp;A</w:t>
            </w:r>
          </w:p>
        </w:tc>
        <w:tc>
          <w:tcPr>
            <w:tcW w:w="32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130,116</w:t>
            </w:r>
          </w:p>
        </w:tc>
        <w:tc>
          <w:tcPr>
            <w:tcW w:w="12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6.5 %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97,607</w:t>
            </w:r>
          </w:p>
        </w:tc>
        <w:tc>
          <w:tcPr>
            <w:tcW w:w="12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6.3 %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32,509</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33.3 %</w:t>
            </w: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Postretirement health care benefit income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(24,796)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24,796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(100.0)%</w:t>
            </w:r>
          </w:p>
        </w:tc>
      </w:tr>
      <w:tr>
        <w:trPr>
          <w:trHeight w:val="208"/>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intangible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9,328</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0.5 %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24,660</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(15,332)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(62.2)%</w:t>
            </w:r>
          </w:p>
        </w:tc>
      </w:tr>
      <w:tr>
        <w:trPr>
          <w:trHeight w:val="196"/>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139,444</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6.9 %</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97,471</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6.3 %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41,973</w:t>
            </w:r>
          </w:p>
        </w:tc>
        <w:tc>
          <w:tcPr>
            <w:tcW w:w="1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43.1 %</w:t>
            </w:r>
          </w:p>
        </w:tc>
      </w:tr>
      <w:tr>
        <w:trPr>
          <w:trHeight w:val="196"/>
        </w:trPr>
        <w:tc>
          <w:tcPr>
            <w:tcW w:w="292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32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160,392</w:t>
            </w:r>
          </w:p>
        </w:tc>
        <w:tc>
          <w:tcPr>
            <w:tcW w:w="120" w:type="dxa"/>
            <w:vAlign w:val="bottom"/>
          </w:tcPr>
          <w:p>
            <w:pPr>
              <w:spacing w:after="0"/>
              <w:rPr>
                <w:sz w:val="17"/>
                <w:szCs w:val="17"/>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8.0 %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125,106</w:t>
            </w:r>
          </w:p>
        </w:tc>
        <w:tc>
          <w:tcPr>
            <w:tcW w:w="120" w:type="dxa"/>
            <w:vAlign w:val="bottom"/>
          </w:tcPr>
          <w:p>
            <w:pPr>
              <w:spacing w:after="0"/>
              <w:rPr>
                <w:sz w:val="17"/>
                <w:szCs w:val="17"/>
                <w:color w:val="auto"/>
              </w:rPr>
            </w:pPr>
          </w:p>
        </w:tc>
        <w:tc>
          <w:tcPr>
            <w:tcW w:w="1400" w:type="dxa"/>
            <w:vAlign w:val="bottom"/>
          </w:tcPr>
          <w:p>
            <w:pPr>
              <w:jc w:val="right"/>
              <w:ind w:right="75"/>
              <w:spacing w:after="0"/>
              <w:rPr>
                <w:sz w:val="20"/>
                <w:szCs w:val="20"/>
                <w:color w:val="auto"/>
              </w:rPr>
            </w:pPr>
            <w:r>
              <w:rPr>
                <w:rFonts w:ascii="Arial" w:cs="Arial" w:eastAsia="Arial" w:hAnsi="Arial"/>
                <w:sz w:val="13"/>
                <w:szCs w:val="13"/>
                <w:color w:val="auto"/>
              </w:rPr>
              <w:t>8.1 %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35,286</w:t>
            </w:r>
          </w:p>
        </w:tc>
        <w:tc>
          <w:tcPr>
            <w:tcW w:w="120" w:type="dxa"/>
            <w:vAlign w:val="bottom"/>
          </w:tcPr>
          <w:p>
            <w:pPr>
              <w:spacing w:after="0"/>
              <w:rPr>
                <w:sz w:val="17"/>
                <w:szCs w:val="17"/>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28.2 %</w:t>
            </w: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18,246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0.9 %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16,837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1,409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8.4 %</w:t>
            </w:r>
          </w:p>
        </w:tc>
      </w:tr>
      <w:tr>
        <w:trPr>
          <w:trHeight w:val="208"/>
        </w:trPr>
        <w:tc>
          <w:tcPr>
            <w:tcW w:w="2920" w:type="dxa"/>
            <w:vAlign w:val="bottom"/>
          </w:tcPr>
          <w:p>
            <w:pPr>
              <w:ind w:left="20"/>
              <w:spacing w:after="0"/>
              <w:rPr>
                <w:sz w:val="20"/>
                <w:szCs w:val="20"/>
                <w:color w:val="auto"/>
              </w:rPr>
            </w:pPr>
            <w:r>
              <w:rPr>
                <w:rFonts w:ascii="Arial" w:cs="Arial" w:eastAsia="Arial" w:hAnsi="Arial"/>
                <w:sz w:val="13"/>
                <w:szCs w:val="13"/>
                <w:color w:val="auto"/>
              </w:rPr>
              <w:t>Non-operating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49.7 %</w:t>
            </w:r>
          </w:p>
        </w:tc>
      </w:tr>
      <w:tr>
        <w:trPr>
          <w:trHeight w:val="20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142,640</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7.1 %</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108,599</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7.0 %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34,041</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31.3 %</w:t>
            </w:r>
          </w:p>
        </w:tc>
      </w:tr>
      <w:tr>
        <w:trPr>
          <w:trHeight w:val="208"/>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40,283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2.0 %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37,269</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2.4 %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3,014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8.1 %</w:t>
            </w:r>
          </w:p>
        </w:tc>
      </w:tr>
      <w:tr>
        <w:trPr>
          <w:trHeight w:val="19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102,357</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5.1 %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71,330</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4.6 %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31,027</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43.5 %</w:t>
            </w:r>
          </w:p>
        </w:tc>
      </w:tr>
      <w:tr>
        <w:trPr>
          <w:trHeight w:val="20"/>
        </w:trPr>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1"/>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income per share</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0.90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38.8 %</w:t>
            </w:r>
          </w:p>
        </w:tc>
      </w:tr>
      <w:tr>
        <w:trPr>
          <w:trHeight w:val="200"/>
        </w:trPr>
        <w:tc>
          <w:tcPr>
            <w:tcW w:w="2920" w:type="dxa"/>
            <w:vAlign w:val="bottom"/>
          </w:tcPr>
          <w:p>
            <w:pPr>
              <w:ind w:left="20"/>
              <w:spacing w:after="0"/>
              <w:rPr>
                <w:sz w:val="20"/>
                <w:szCs w:val="20"/>
                <w:color w:val="auto"/>
              </w:rPr>
            </w:pPr>
            <w:r>
              <w:rPr>
                <w:rFonts w:ascii="Arial" w:cs="Arial" w:eastAsia="Arial" w:hAnsi="Arial"/>
                <w:sz w:val="13"/>
                <w:szCs w:val="13"/>
                <w:color w:val="auto"/>
              </w:rPr>
              <w:t>Diluted average shares outstanding</w:t>
            </w:r>
          </w:p>
        </w:tc>
        <w:tc>
          <w:tcPr>
            <w:tcW w:w="32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31,814</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30,766</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1,048</w:t>
            </w:r>
          </w:p>
        </w:tc>
        <w:tc>
          <w:tcPr>
            <w:tcW w:w="120" w:type="dxa"/>
            <w:vAlign w:val="bottom"/>
          </w:tcPr>
          <w:p>
            <w:pPr>
              <w:spacing w:after="0"/>
              <w:rPr>
                <w:sz w:val="17"/>
                <w:szCs w:val="17"/>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3.4 %</w:t>
            </w:r>
          </w:p>
        </w:tc>
      </w:tr>
    </w:tbl>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(1) Percentages may not add due to rounding differences.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Consolidated net revenues increased in Fiscal 2018 compared to Fiscal 2017 primarily due to organic volume growth in our Towable segment and acquisition-related growth.</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Gross profit as a percentage of revenue increased in Fiscal 2018 compared to Fiscal 2017 driven by a favorable mix due to the accelerated growth in the Towable segment.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Selling expenses increased in Fiscal 2018 compared to Fiscal 2017 primarily due to volume growth in our Towable segment.</w:t>
      </w:r>
    </w:p>
    <w:p>
      <w:pPr>
        <w:spacing w:after="0" w:line="131" w:lineRule="exact"/>
        <w:rPr>
          <w:sz w:val="20"/>
          <w:szCs w:val="20"/>
          <w:color w:val="auto"/>
        </w:rPr>
      </w:pPr>
    </w:p>
    <w:p>
      <w:pPr>
        <w:jc w:val="both"/>
        <w:ind w:right="280"/>
        <w:spacing w:after="0" w:line="246" w:lineRule="auto"/>
        <w:rPr>
          <w:sz w:val="20"/>
          <w:szCs w:val="20"/>
          <w:color w:val="auto"/>
        </w:rPr>
      </w:pPr>
      <w:r>
        <w:rPr>
          <w:rFonts w:ascii="Arial" w:cs="Arial" w:eastAsia="Arial" w:hAnsi="Arial"/>
          <w:sz w:val="13"/>
          <w:szCs w:val="13"/>
          <w:color w:val="auto"/>
        </w:rPr>
        <w:t>Total general and administrative expenses increased in Fiscal 2018 compared to Fiscal 2017 due primarily to the $24.8 million benefit recorded in Fiscal 2017 associated with the termination of the postretirement health care plan, investments in our business, and incentives related to the growth in our business. The increase was partially offset by the reduction of amortization of definite-lived intangible assets, driven by the Grand Design acquisition in Fiscal 2017.</w:t>
      </w:r>
    </w:p>
    <w:p>
      <w:pPr>
        <w:spacing w:after="0" w:line="187" w:lineRule="exact"/>
        <w:rPr>
          <w:sz w:val="20"/>
          <w:szCs w:val="20"/>
          <w:color w:val="auto"/>
        </w:rPr>
      </w:pPr>
    </w:p>
    <w:p>
      <w:pPr>
        <w:jc w:val="both"/>
        <w:ind w:right="140"/>
        <w:spacing w:after="0" w:line="246" w:lineRule="auto"/>
        <w:rPr>
          <w:sz w:val="20"/>
          <w:szCs w:val="20"/>
          <w:color w:val="auto"/>
        </w:rPr>
      </w:pPr>
      <w:r>
        <w:rPr>
          <w:rFonts w:ascii="Arial" w:cs="Arial" w:eastAsia="Arial" w:hAnsi="Arial"/>
          <w:sz w:val="13"/>
          <w:szCs w:val="13"/>
          <w:color w:val="auto"/>
        </w:rPr>
        <w:t xml:space="preserve">Interest expense increased in Fiscal 2018 compared to Fiscal 2017, which was related to our Credit Agreements associated with the acquisition of Grand Design. See Analysis of Financial Condition, Liquidity, and Resources and Note 9,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of this Annual Report on Form 10-K for further information.</w:t>
      </w:r>
    </w:p>
    <w:p>
      <w:pPr>
        <w:spacing w:after="0" w:line="187" w:lineRule="exact"/>
        <w:rPr>
          <w:sz w:val="20"/>
          <w:szCs w:val="20"/>
          <w:color w:val="auto"/>
        </w:rPr>
      </w:pPr>
    </w:p>
    <w:p>
      <w:pPr>
        <w:jc w:val="both"/>
        <w:ind w:right="180"/>
        <w:spacing w:after="0" w:line="246" w:lineRule="auto"/>
        <w:rPr>
          <w:sz w:val="20"/>
          <w:szCs w:val="20"/>
          <w:color w:val="auto"/>
        </w:rPr>
      </w:pPr>
      <w:r>
        <w:rPr>
          <w:rFonts w:ascii="Arial" w:cs="Arial" w:eastAsia="Arial" w:hAnsi="Arial"/>
          <w:sz w:val="13"/>
          <w:szCs w:val="13"/>
          <w:color w:val="auto"/>
        </w:rPr>
        <w:t>The overall effective income tax rate for Fiscal 2018 was 28.2% compared to the effective income tax rate of 34.3% for Fiscal 2017. The decrease in the tax rate from Fiscal 2017 to Fiscal 2018 was primarily due to the decrease in the Federal statutory rate as part of the enactment of the Tax Act on December 22, 2017. The decrease was partially offset by the required remeasurement of our net deferred tax assets due to the change in the Federal statutory tax rate.</w:t>
      </w:r>
    </w:p>
    <w:p>
      <w:pPr>
        <w:spacing w:after="0" w:line="122" w:lineRule="exact"/>
        <w:rPr>
          <w:sz w:val="20"/>
          <w:szCs w:val="20"/>
          <w:color w:val="auto"/>
        </w:rPr>
      </w:pPr>
    </w:p>
    <w:p>
      <w:pPr>
        <w:ind w:right="180"/>
        <w:spacing w:after="0" w:line="246" w:lineRule="auto"/>
        <w:rPr>
          <w:sz w:val="20"/>
          <w:szCs w:val="20"/>
          <w:color w:val="auto"/>
        </w:rPr>
      </w:pPr>
      <w:r>
        <w:rPr>
          <w:rFonts w:ascii="Arial" w:cs="Arial" w:eastAsia="Arial" w:hAnsi="Arial"/>
          <w:sz w:val="13"/>
          <w:szCs w:val="13"/>
          <w:color w:val="auto"/>
        </w:rPr>
        <w:t>Net income and diluted income per share increased in Fiscal 2018 compared to Fiscal 2017 primarily due to the sales increase in the Towable segment, the increased gross profit rate, and the lower effective income tax rate. These increases were partially offset by an increase in the SG&amp;A rate driven primarily by the termination of the postretirement health care plan, which lowered expense in Fiscal 2017.</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60"/>
          </w:cols>
          <w:pgMar w:left="220" w:top="141"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6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52"/>
        </w:trPr>
        <w:tc>
          <w:tcPr>
            <w:tcW w:w="79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Non-GAAP Reconciliation</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2"/>
        </w:trPr>
        <w:tc>
          <w:tcPr>
            <w:tcW w:w="7920" w:type="dxa"/>
            <w:vAlign w:val="bottom"/>
            <w:gridSpan w:val="2"/>
          </w:tcPr>
          <w:p>
            <w:pPr>
              <w:spacing w:after="0"/>
              <w:rPr>
                <w:sz w:val="20"/>
                <w:szCs w:val="20"/>
                <w:color w:val="auto"/>
              </w:rPr>
            </w:pPr>
            <w:r>
              <w:rPr>
                <w:rFonts w:ascii="Arial" w:cs="Arial" w:eastAsia="Arial" w:hAnsi="Arial"/>
                <w:sz w:val="13"/>
                <w:szCs w:val="13"/>
                <w:color w:val="auto"/>
              </w:rPr>
              <w:t>The following table reconciles net income to consolidated EBITDA and Adjusted EBITDA for Fiscal 2018 and 2017:</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7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2017</w:t>
            </w:r>
          </w:p>
        </w:tc>
      </w:tr>
      <w:tr>
        <w:trPr>
          <w:trHeight w:val="203"/>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102,357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71,330</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Interest expense</w:t>
            </w:r>
          </w:p>
        </w:tc>
        <w:tc>
          <w:tcPr>
            <w:tcW w:w="400" w:type="dxa"/>
            <w:vAlign w:val="bottom"/>
          </w:tcPr>
          <w:p>
            <w:pPr>
              <w:spacing w:after="0"/>
              <w:rPr>
                <w:sz w:val="18"/>
                <w:szCs w:val="18"/>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18,246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16,837</w:t>
            </w:r>
          </w:p>
        </w:tc>
      </w:tr>
      <w:tr>
        <w:trPr>
          <w:trHeight w:val="223"/>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40,283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37,269</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Depreciation</w:t>
            </w:r>
          </w:p>
        </w:tc>
        <w:tc>
          <w:tcPr>
            <w:tcW w:w="400" w:type="dxa"/>
            <w:vAlign w:val="bottom"/>
          </w:tcPr>
          <w:p>
            <w:pPr>
              <w:spacing w:after="0"/>
              <w:rPr>
                <w:sz w:val="18"/>
                <w:szCs w:val="18"/>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9,849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7,315</w:t>
            </w:r>
          </w:p>
        </w:tc>
      </w:tr>
      <w:tr>
        <w:trPr>
          <w:trHeight w:val="216"/>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24,660</w:t>
            </w:r>
          </w:p>
        </w:tc>
      </w:tr>
      <w:tr>
        <w:trPr>
          <w:trHeight w:val="196"/>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EBITDA</w:t>
            </w:r>
          </w:p>
        </w:tc>
        <w:tc>
          <w:tcPr>
            <w:tcW w:w="400" w:type="dxa"/>
            <w:vAlign w:val="bottom"/>
          </w:tcPr>
          <w:p>
            <w:pPr>
              <w:spacing w:after="0"/>
              <w:rPr>
                <w:sz w:val="17"/>
                <w:szCs w:val="17"/>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180,063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157,411</w:t>
            </w:r>
          </w:p>
        </w:tc>
      </w:tr>
      <w:tr>
        <w:trPr>
          <w:trHeight w:val="223"/>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Postretirement health care benefit income</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(24,796)</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Acquisition-related costs</w:t>
            </w:r>
          </w:p>
        </w:tc>
        <w:tc>
          <w:tcPr>
            <w:tcW w:w="400" w:type="dxa"/>
            <w:vAlign w:val="bottom"/>
          </w:tcPr>
          <w:p>
            <w:pPr>
              <w:spacing w:after="0"/>
              <w:rPr>
                <w:sz w:val="18"/>
                <w:szCs w:val="18"/>
                <w:color w:val="auto"/>
              </w:rPr>
            </w:pPr>
          </w:p>
        </w:tc>
        <w:tc>
          <w:tcPr>
            <w:tcW w:w="1340" w:type="dxa"/>
            <w:vAlign w:val="bottom"/>
          </w:tcPr>
          <w:p>
            <w:pPr>
              <w:jc w:val="right"/>
              <w:ind w:right="55"/>
              <w:spacing w:after="0"/>
              <w:rPr>
                <w:sz w:val="20"/>
                <w:szCs w:val="20"/>
                <w:color w:val="auto"/>
              </w:rPr>
            </w:pPr>
            <w:r>
              <w:rPr>
                <w:rFonts w:ascii="Arial" w:cs="Arial" w:eastAsia="Arial" w:hAnsi="Arial"/>
                <w:sz w:val="13"/>
                <w:szCs w:val="13"/>
                <w:color w:val="auto"/>
              </w:rPr>
              <w:t>2,177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6,592</w:t>
            </w:r>
          </w:p>
        </w:tc>
      </w:tr>
      <w:tr>
        <w:trPr>
          <w:trHeight w:val="216"/>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Non-operating income</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r>
      <w:tr>
        <w:trPr>
          <w:trHeight w:val="190"/>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Adjusted EBITDA</w:t>
            </w:r>
          </w:p>
        </w:tc>
        <w:tc>
          <w:tcPr>
            <w:tcW w:w="4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181,746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138,877</w:t>
            </w:r>
          </w:p>
        </w:tc>
      </w:tr>
      <w:tr>
        <w:trPr>
          <w:trHeight w:val="20"/>
        </w:trPr>
        <w:tc>
          <w:tcPr>
            <w:tcW w:w="10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Reportable Segment Performance Summary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Towable segment for Fiscal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ASP)</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 of Revenues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 of Revenues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9"/>
              </w:rPr>
              <w:t>$ Change</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1,127,723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685,197</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442,526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64.6 %</w:t>
            </w:r>
          </w:p>
        </w:tc>
      </w:tr>
      <w:tr>
        <w:trPr>
          <w:trHeight w:val="208"/>
        </w:trPr>
        <w:tc>
          <w:tcPr>
            <w:tcW w:w="314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157,010</w:t>
            </w:r>
          </w:p>
        </w:tc>
        <w:tc>
          <w:tcPr>
            <w:tcW w:w="1360" w:type="dxa"/>
            <w:vAlign w:val="bottom"/>
            <w:gridSpan w:val="2"/>
          </w:tcPr>
          <w:p>
            <w:pPr>
              <w:jc w:val="right"/>
              <w:ind w:right="75"/>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89,734</w:t>
            </w:r>
          </w:p>
        </w:tc>
        <w:tc>
          <w:tcPr>
            <w:tcW w:w="1420" w:type="dxa"/>
            <w:vAlign w:val="bottom"/>
            <w:gridSpan w:val="2"/>
          </w:tcPr>
          <w:p>
            <w:pPr>
              <w:jc w:val="right"/>
              <w:ind w:right="155"/>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67,276</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75.0 %</w:t>
            </w:r>
          </w:p>
        </w:tc>
      </w:tr>
      <w:tr>
        <w:trPr>
          <w:trHeight w:val="223"/>
        </w:trPr>
        <w:tc>
          <w:tcPr>
            <w:tcW w:w="3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31"/>
        </w:trPr>
        <w:tc>
          <w:tcPr>
            <w:tcW w:w="3140" w:type="dxa"/>
            <w:vAlign w:val="bottom"/>
          </w:tcPr>
          <w:p>
            <w:pPr>
              <w:ind w:left="20"/>
              <w:spacing w:after="0"/>
              <w:rPr>
                <w:sz w:val="20"/>
                <w:szCs w:val="20"/>
                <w:color w:val="auto"/>
              </w:rPr>
            </w:pPr>
            <w:r>
              <w:rPr>
                <w:rFonts w:ascii="Arial" w:cs="Arial" w:eastAsia="Arial" w:hAnsi="Arial"/>
                <w:sz w:val="25"/>
                <w:szCs w:val="25"/>
                <w:color w:val="auto"/>
                <w:vertAlign w:val="subscript"/>
              </w:rPr>
              <w:t>ASP</w:t>
            </w:r>
            <w:r>
              <w:rPr>
                <w:rFonts w:ascii="Arial" w:cs="Arial" w:eastAsia="Arial" w:hAnsi="Arial"/>
                <w:sz w:val="9"/>
                <w:szCs w:val="9"/>
                <w:color w:val="auto"/>
              </w:rPr>
              <w:t>(1)</w:t>
            </w:r>
          </w:p>
        </w:tc>
        <w:tc>
          <w:tcPr>
            <w:tcW w:w="140" w:type="dxa"/>
            <w:vAlign w:val="bottom"/>
          </w:tcPr>
          <w:p>
            <w:pPr>
              <w:spacing w:after="0"/>
              <w:rPr>
                <w:sz w:val="24"/>
                <w:szCs w:val="24"/>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30,941</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30,571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24"/>
                <w:szCs w:val="24"/>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1.2 %</w:t>
            </w:r>
          </w:p>
        </w:tc>
      </w:tr>
      <w:tr>
        <w:trPr>
          <w:trHeight w:val="31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Unit deliveries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9"/>
              </w:rPr>
              <w:t>Unit Change</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22,360</w:t>
            </w:r>
          </w:p>
        </w:tc>
        <w:tc>
          <w:tcPr>
            <w:tcW w:w="136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13,650</w:t>
            </w:r>
          </w:p>
        </w:tc>
        <w:tc>
          <w:tcPr>
            <w:tcW w:w="142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60.7%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8,710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63.8 %</w:t>
            </w:r>
          </w:p>
        </w:tc>
      </w:tr>
      <w:tr>
        <w:trPr>
          <w:trHeight w:val="20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Fifth wheel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14,229</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38.9%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8,824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39.3%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5,405</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61.3 %</w:t>
            </w:r>
          </w:p>
        </w:tc>
      </w:tr>
      <w:tr>
        <w:trPr>
          <w:trHeight w:val="190"/>
        </w:trPr>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Towable</w:t>
            </w: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36,589</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22,474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100.0%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14,115</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62.8 %</w:t>
            </w: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9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40" w:type="dxa"/>
            <w:vAlign w:val="bottom"/>
          </w:tcPr>
          <w:p>
            <w:pPr>
              <w:spacing w:after="0"/>
              <w:rPr>
                <w:sz w:val="24"/>
                <w:szCs w:val="24"/>
                <w:color w:val="auto"/>
              </w:rPr>
            </w:pPr>
          </w:p>
        </w:tc>
        <w:tc>
          <w:tcPr>
            <w:tcW w:w="1280" w:type="dxa"/>
            <w:vAlign w:val="bottom"/>
          </w:tcPr>
          <w:p>
            <w:pPr>
              <w:jc w:val="right"/>
              <w:ind w:right="155"/>
              <w:spacing w:after="0"/>
              <w:rPr>
                <w:sz w:val="20"/>
                <w:szCs w:val="20"/>
                <w:color w:val="auto"/>
              </w:rPr>
            </w:pPr>
            <w:r>
              <w:rPr>
                <w:rFonts w:ascii="Arial" w:cs="Arial" w:eastAsia="Arial" w:hAnsi="Arial"/>
                <w:sz w:val="13"/>
                <w:szCs w:val="13"/>
                <w:b w:val="1"/>
                <w:bCs w:val="1"/>
                <w:color w:val="auto"/>
              </w:rPr>
              <w:t>August 25, 2018</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55"/>
              <w:spacing w:after="0"/>
              <w:rPr>
                <w:sz w:val="20"/>
                <w:szCs w:val="20"/>
                <w:color w:val="auto"/>
              </w:rPr>
            </w:pPr>
            <w:r>
              <w:rPr>
                <w:rFonts w:ascii="Arial" w:cs="Arial" w:eastAsia="Arial" w:hAnsi="Arial"/>
                <w:sz w:val="13"/>
                <w:szCs w:val="13"/>
                <w:b w:val="1"/>
                <w:bCs w:val="1"/>
                <w:color w:val="auto"/>
              </w:rPr>
              <w:t>August 26, 2017</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Change</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Backlog</w:t>
            </w:r>
            <w:r>
              <w:rPr>
                <w:rFonts w:ascii="Arial" w:cs="Arial" w:eastAsia="Arial" w:hAnsi="Arial"/>
                <w:sz w:val="17"/>
                <w:szCs w:val="17"/>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08"/>
        </w:trPr>
        <w:tc>
          <w:tcPr>
            <w:tcW w:w="3140" w:type="dxa"/>
            <w:vAlign w:val="bottom"/>
          </w:tcPr>
          <w:p>
            <w:pPr>
              <w:ind w:left="140"/>
              <w:spacing w:after="0"/>
              <w:rPr>
                <w:sz w:val="20"/>
                <w:szCs w:val="20"/>
                <w:color w:val="auto"/>
              </w:rPr>
            </w:pPr>
            <w:r>
              <w:rPr>
                <w:rFonts w:ascii="Arial" w:cs="Arial" w:eastAsia="Arial" w:hAnsi="Arial"/>
                <w:sz w:val="13"/>
                <w:szCs w:val="13"/>
                <w:color w:val="auto"/>
              </w:rPr>
              <w:t>Units</w:t>
            </w:r>
          </w:p>
        </w:tc>
        <w:tc>
          <w:tcPr>
            <w:tcW w:w="1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7,651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8,001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(4.4)%</w:t>
            </w:r>
          </w:p>
        </w:tc>
      </w:tr>
      <w:tr>
        <w:trPr>
          <w:trHeight w:val="223"/>
        </w:trPr>
        <w:tc>
          <w:tcPr>
            <w:tcW w:w="3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244,854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229,706</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15,148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6.6 %</w:t>
            </w:r>
          </w:p>
        </w:tc>
      </w:tr>
      <w:tr>
        <w:trPr>
          <w:trHeight w:val="20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14,877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9,545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5,332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55.9 %</w:t>
            </w:r>
          </w:p>
        </w:tc>
      </w:tr>
    </w:tbl>
    <w:p>
      <w:pPr>
        <w:spacing w:after="0" w:line="47" w:lineRule="exact"/>
        <w:rPr>
          <w:sz w:val="20"/>
          <w:szCs w:val="20"/>
          <w:color w:val="auto"/>
        </w:rPr>
      </w:pPr>
    </w:p>
    <w:p>
      <w:pPr>
        <w:ind w:left="200" w:hanging="194"/>
        <w:spacing w:after="0"/>
        <w:tabs>
          <w:tab w:leader="none" w:pos="2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ASP excludes off-invoice dealer incentives.</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Percentages may not add due to rounding differences.</w:t>
      </w:r>
    </w:p>
    <w:p>
      <w:pPr>
        <w:spacing w:after="0" w:line="2" w:lineRule="exact"/>
        <w:rPr>
          <w:rFonts w:ascii="Arial" w:cs="Arial" w:eastAsia="Arial" w:hAnsi="Arial"/>
          <w:sz w:val="11"/>
          <w:szCs w:val="11"/>
          <w:color w:val="auto"/>
        </w:rPr>
      </w:pPr>
    </w:p>
    <w:p>
      <w:pPr>
        <w:ind w:left="200" w:right="160" w:hanging="194"/>
        <w:spacing w:after="0" w:line="267" w:lineRule="auto"/>
        <w:tabs>
          <w:tab w:leader="none" w:pos="2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26"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Towable net revenues increased in Fiscal 2018 as compared to Fiscal 2017 primarily due to organic volume growth as well as the annualization of net revenues related to the Fiscal 2017 acquisition of Grand Design.</w:t>
      </w:r>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Towable unit deliveries grew in Fiscal 2018 as compared to Fiscal 2017 primarily due to Towable growth in excess of recent industry trends and due to the acquisition of Grand Design. With the addition of Grand Design in the first quarter of Fiscal 2017, our Towable market share increased to 7.4% from 5.2% when comparing shipments during the twelve-month trailing periods ended August 2018 and August 2017.</w:t>
      </w:r>
    </w:p>
    <w:p>
      <w:pPr>
        <w:spacing w:after="0" w:line="144"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Towable Adjusted EBITDA increased in Fiscal 2018 as compared to Fiscal 2017 due to the favorable impact of organic growth as well as the annualization of net revenues related to the Fiscal 2017 acquisition of Grand Design. We achieved strong results in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60"/>
          </w:cols>
          <w:pgMar w:left="220" w:top="119" w:right="21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Towable segment, where shipments grew much faster than the industry as a result of greater penetration of our new products and further expansion of our distribution base, as well as higher gross profit from cost savings initiatives and pricing, which more than offset escalating cost inputs.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Motorhome segment for Fiscal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ASP)</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 of Revenues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 of Revenues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9"/>
              </w:rPr>
              <w:t>$ Change</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860,675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853,360</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7,315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0.9 %</w:t>
            </w:r>
          </w:p>
        </w:tc>
      </w:tr>
      <w:tr>
        <w:trPr>
          <w:trHeight w:val="208"/>
        </w:trPr>
        <w:tc>
          <w:tcPr>
            <w:tcW w:w="314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35,508</w:t>
            </w:r>
          </w:p>
        </w:tc>
        <w:tc>
          <w:tcPr>
            <w:tcW w:w="1360" w:type="dxa"/>
            <w:vAlign w:val="bottom"/>
            <w:gridSpan w:val="2"/>
          </w:tcPr>
          <w:p>
            <w:pPr>
              <w:jc w:val="right"/>
              <w:ind w:right="75"/>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56,518</w:t>
            </w:r>
          </w:p>
        </w:tc>
        <w:tc>
          <w:tcPr>
            <w:tcW w:w="1420" w:type="dxa"/>
            <w:vAlign w:val="bottom"/>
            <w:gridSpan w:val="2"/>
          </w:tcPr>
          <w:p>
            <w:pPr>
              <w:jc w:val="right"/>
              <w:ind w:right="155"/>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(21,010)</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(37.2)%</w:t>
            </w:r>
          </w:p>
        </w:tc>
      </w:tr>
      <w:tr>
        <w:trPr>
          <w:trHeight w:val="223"/>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2"/>
        </w:trPr>
        <w:tc>
          <w:tcPr>
            <w:tcW w:w="3140" w:type="dxa"/>
            <w:vAlign w:val="bottom"/>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7"/>
                <w:szCs w:val="17"/>
                <w:color w:val="auto"/>
                <w:vertAlign w:val="superscript"/>
              </w:rPr>
              <w:t>(1)</w:t>
            </w:r>
          </w:p>
        </w:tc>
        <w:tc>
          <w:tcPr>
            <w:tcW w:w="16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89,879</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91,759</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(1,880)</w:t>
            </w:r>
          </w:p>
        </w:tc>
        <w:tc>
          <w:tcPr>
            <w:tcW w:w="120" w:type="dxa"/>
            <w:vAlign w:val="bottom"/>
          </w:tcPr>
          <w:p>
            <w:pPr>
              <w:spacing w:after="0"/>
              <w:rPr>
                <w:sz w:val="22"/>
                <w:szCs w:val="22"/>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(2.0)%</w:t>
            </w:r>
          </w:p>
        </w:tc>
      </w:tr>
      <w:tr>
        <w:trPr>
          <w:trHeight w:val="38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Unit deliveries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Product Mix</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9"/>
              </w:rPr>
              <w:t>Unit Change</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2,997</w:t>
            </w:r>
          </w:p>
        </w:tc>
        <w:tc>
          <w:tcPr>
            <w:tcW w:w="136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31.4%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3,182</w:t>
            </w:r>
          </w:p>
        </w:tc>
        <w:tc>
          <w:tcPr>
            <w:tcW w:w="142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(5.8)%</w:t>
            </w:r>
          </w:p>
        </w:tc>
      </w:tr>
      <w:tr>
        <w:trPr>
          <w:trHeight w:val="208"/>
        </w:trPr>
        <w:tc>
          <w:tcPr>
            <w:tcW w:w="3140" w:type="dxa"/>
            <w:vAlign w:val="bottom"/>
          </w:tcPr>
          <w:p>
            <w:pPr>
              <w:ind w:left="20"/>
              <w:spacing w:after="0"/>
              <w:rPr>
                <w:sz w:val="20"/>
                <w:szCs w:val="20"/>
                <w:color w:val="auto"/>
              </w:rPr>
            </w:pPr>
            <w:r>
              <w:rPr>
                <w:rFonts w:ascii="Arial" w:cs="Arial" w:eastAsia="Arial" w:hAnsi="Arial"/>
                <w:sz w:val="13"/>
                <w:szCs w:val="13"/>
                <w:color w:val="auto"/>
              </w:rPr>
              <w:t>Class B</w:t>
            </w: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2,012</w:t>
            </w:r>
          </w:p>
        </w:tc>
        <w:tc>
          <w:tcPr>
            <w:tcW w:w="1360" w:type="dxa"/>
            <w:vAlign w:val="bottom"/>
            <w:gridSpan w:val="2"/>
          </w:tcPr>
          <w:p>
            <w:pPr>
              <w:jc w:val="right"/>
              <w:ind w:right="75"/>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1,541</w:t>
            </w:r>
          </w:p>
        </w:tc>
        <w:tc>
          <w:tcPr>
            <w:tcW w:w="1420" w:type="dxa"/>
            <w:vAlign w:val="bottom"/>
            <w:gridSpan w:val="2"/>
          </w:tcPr>
          <w:p>
            <w:pPr>
              <w:jc w:val="right"/>
              <w:ind w:right="155"/>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30.6 %</w:t>
            </w: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4,539</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47.5%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4,537</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 %</w:t>
            </w:r>
          </w:p>
        </w:tc>
      </w:tr>
      <w:tr>
        <w:trPr>
          <w:trHeight w:val="190"/>
        </w:trPr>
        <w:tc>
          <w:tcPr>
            <w:tcW w:w="3140" w:type="dxa"/>
            <w:vAlign w:val="bottom"/>
          </w:tcPr>
          <w:p>
            <w:pPr>
              <w:ind w:left="140"/>
              <w:spacing w:after="0"/>
              <w:rPr>
                <w:sz w:val="20"/>
                <w:szCs w:val="20"/>
                <w:color w:val="auto"/>
              </w:rPr>
            </w:pPr>
            <w:r>
              <w:rPr>
                <w:rFonts w:ascii="Arial" w:cs="Arial" w:eastAsia="Arial" w:hAnsi="Arial"/>
                <w:sz w:val="13"/>
                <w:szCs w:val="13"/>
                <w:color w:val="auto"/>
              </w:rPr>
              <w:t>Total Motorhome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9,548</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9,260</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3.1 %</w:t>
            </w: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9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60" w:type="dxa"/>
            <w:vAlign w:val="bottom"/>
          </w:tcPr>
          <w:p>
            <w:pPr>
              <w:spacing w:after="0"/>
              <w:rPr>
                <w:sz w:val="24"/>
                <w:szCs w:val="24"/>
                <w:color w:val="auto"/>
              </w:rPr>
            </w:pPr>
          </w:p>
        </w:tc>
        <w:tc>
          <w:tcPr>
            <w:tcW w:w="1260" w:type="dxa"/>
            <w:vAlign w:val="bottom"/>
          </w:tcPr>
          <w:p>
            <w:pPr>
              <w:jc w:val="right"/>
              <w:ind w:right="155"/>
              <w:spacing w:after="0"/>
              <w:rPr>
                <w:sz w:val="20"/>
                <w:szCs w:val="20"/>
                <w:color w:val="auto"/>
              </w:rPr>
            </w:pPr>
            <w:r>
              <w:rPr>
                <w:rFonts w:ascii="Arial" w:cs="Arial" w:eastAsia="Arial" w:hAnsi="Arial"/>
                <w:sz w:val="13"/>
                <w:szCs w:val="13"/>
                <w:b w:val="1"/>
                <w:bCs w:val="1"/>
                <w:color w:val="auto"/>
              </w:rPr>
              <w:t>August 25, 2018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55"/>
              <w:spacing w:after="0"/>
              <w:rPr>
                <w:sz w:val="20"/>
                <w:szCs w:val="20"/>
                <w:color w:val="auto"/>
              </w:rPr>
            </w:pPr>
            <w:r>
              <w:rPr>
                <w:rFonts w:ascii="Arial" w:cs="Arial" w:eastAsia="Arial" w:hAnsi="Arial"/>
                <w:sz w:val="13"/>
                <w:szCs w:val="13"/>
                <w:b w:val="1"/>
                <w:bCs w:val="1"/>
                <w:color w:val="auto"/>
              </w:rPr>
              <w:t>August 26, 2017</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Change</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 Change</w:t>
            </w:r>
          </w:p>
        </w:tc>
      </w:tr>
      <w:tr>
        <w:trPr>
          <w:trHeight w:val="214"/>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Backlog</w:t>
            </w:r>
            <w:r>
              <w:rPr>
                <w:rFonts w:ascii="Arial" w:cs="Arial" w:eastAsia="Arial" w:hAnsi="Arial"/>
                <w:sz w:val="17"/>
                <w:szCs w:val="17"/>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08"/>
        </w:trPr>
        <w:tc>
          <w:tcPr>
            <w:tcW w:w="3140" w:type="dxa"/>
            <w:vAlign w:val="bottom"/>
          </w:tcPr>
          <w:p>
            <w:pPr>
              <w:ind w:left="140"/>
              <w:spacing w:after="0"/>
              <w:rPr>
                <w:sz w:val="20"/>
                <w:szCs w:val="20"/>
                <w:color w:val="auto"/>
              </w:rPr>
            </w:pPr>
            <w:r>
              <w:rPr>
                <w:rFonts w:ascii="Arial" w:cs="Arial" w:eastAsia="Arial" w:hAnsi="Arial"/>
                <w:sz w:val="13"/>
                <w:szCs w:val="13"/>
                <w:color w:val="auto"/>
              </w:rPr>
              <w:t>Units</w:t>
            </w: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1,693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1,293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30.9 %</w:t>
            </w:r>
          </w:p>
        </w:tc>
      </w:tr>
      <w:tr>
        <w:trPr>
          <w:trHeight w:val="223"/>
        </w:trPr>
        <w:tc>
          <w:tcPr>
            <w:tcW w:w="3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157,554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122,142</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35,412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29.0 %</w:t>
            </w:r>
          </w:p>
        </w:tc>
      </w:tr>
      <w:tr>
        <w:trPr>
          <w:trHeight w:val="20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4,620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4,282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7.9 %</w:t>
            </w:r>
          </w:p>
        </w:tc>
      </w:tr>
    </w:tbl>
    <w:p>
      <w:pPr>
        <w:spacing w:after="0" w:line="47" w:lineRule="exact"/>
        <w:rPr>
          <w:sz w:val="20"/>
          <w:szCs w:val="20"/>
          <w:color w:val="auto"/>
        </w:rPr>
      </w:pPr>
    </w:p>
    <w:p>
      <w:pPr>
        <w:ind w:left="200" w:hanging="194"/>
        <w:spacing w:after="0"/>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ASP excludes off-invoice dealer incentives.</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Percentages may not add due to rounding differences.</w:t>
      </w:r>
    </w:p>
    <w:p>
      <w:pPr>
        <w:spacing w:after="0" w:line="2" w:lineRule="exact"/>
        <w:rPr>
          <w:rFonts w:ascii="Arial" w:cs="Arial" w:eastAsia="Arial" w:hAnsi="Arial"/>
          <w:sz w:val="11"/>
          <w:szCs w:val="11"/>
          <w:color w:val="auto"/>
        </w:rPr>
      </w:pPr>
    </w:p>
    <w:p>
      <w:pPr>
        <w:ind w:left="200" w:right="160" w:hanging="194"/>
        <w:spacing w:after="0" w:line="267" w:lineRule="auto"/>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Motorhome net revenues increased in Fiscal 2018 as compared to Fiscal 2017 primarily due to an increase in the number of units sold, partially offset by product mix.</w:t>
      </w:r>
    </w:p>
    <w:p>
      <w:pPr>
        <w:spacing w:after="0" w:line="152" w:lineRule="exact"/>
        <w:rPr>
          <w:sz w:val="20"/>
          <w:szCs w:val="20"/>
          <w:color w:val="auto"/>
        </w:rPr>
      </w:pPr>
    </w:p>
    <w:p>
      <w:pPr>
        <w:ind w:right="520"/>
        <w:spacing w:after="0" w:line="251" w:lineRule="auto"/>
        <w:rPr>
          <w:sz w:val="20"/>
          <w:szCs w:val="20"/>
          <w:color w:val="auto"/>
        </w:rPr>
      </w:pPr>
      <w:r>
        <w:rPr>
          <w:rFonts w:ascii="Arial" w:cs="Arial" w:eastAsia="Arial" w:hAnsi="Arial"/>
          <w:sz w:val="13"/>
          <w:szCs w:val="13"/>
          <w:color w:val="auto"/>
        </w:rPr>
        <w:t>Motorhome unit deliveries grew slower than recent industry growth in Fiscal 2018 compared to Fiscal 2017. Our overall Motorhome market share moved to 15.7% from 16.4% when comparing shipments during the twelve-month trailing periods ended August 2018 and August 2017 due to a mix change from our Class A-diesel products to our Class B products.</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3"/>
          <w:szCs w:val="13"/>
          <w:color w:val="auto"/>
        </w:rPr>
        <w:t>Motorhome Adjusted EBITDA decreased in Fiscal 2018 as compared to Fiscal 2017 due to increased material costs and investments in our business, including higher costs and lower productivity associated with a new facility that produces our Class A diesel product line.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60"/>
          </w:cols>
          <w:pgMar w:left="220" w:top="141" w:right="21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Analysis of Financial Condition, Liquidity, and Capital Resources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cash flows from total operations for Fiscal 2019,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3"/>
                <w:szCs w:val="13"/>
                <w:b w:val="1"/>
                <w:bCs w:val="1"/>
                <w:color w:val="auto"/>
              </w:rPr>
              <w:t>2017</w:t>
            </w: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cash provided by (used in):</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8"/>
        </w:trPr>
        <w:tc>
          <w:tcPr>
            <w:tcW w:w="5740" w:type="dxa"/>
            <w:vAlign w:val="bottom"/>
          </w:tcPr>
          <w:p>
            <w:pPr>
              <w:ind w:left="140"/>
              <w:spacing w:after="0"/>
              <w:rPr>
                <w:sz w:val="20"/>
                <w:szCs w:val="20"/>
                <w:color w:val="auto"/>
              </w:rPr>
            </w:pPr>
            <w:r>
              <w:rPr>
                <w:rFonts w:ascii="Arial" w:cs="Arial" w:eastAsia="Arial" w:hAnsi="Arial"/>
                <w:sz w:val="13"/>
                <w:szCs w:val="13"/>
                <w:color w:val="auto"/>
              </w:rPr>
              <w:t>Operating activities</w:t>
            </w: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133,750</w:t>
            </w:r>
          </w:p>
        </w:tc>
        <w:tc>
          <w:tcPr>
            <w:tcW w:w="12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83,346</w:t>
            </w:r>
          </w:p>
        </w:tc>
        <w:tc>
          <w:tcPr>
            <w:tcW w:w="120" w:type="dxa"/>
            <w:vAlign w:val="bottom"/>
          </w:tcPr>
          <w:p>
            <w:pPr>
              <w:spacing w:after="0"/>
              <w:rPr>
                <w:sz w:val="18"/>
                <w:szCs w:val="18"/>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97,127</w:t>
            </w:r>
          </w:p>
        </w:tc>
      </w:tr>
      <w:tr>
        <w:trPr>
          <w:trHeight w:val="223"/>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Investing activities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(38,936)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(111,761)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(405,385)</w:t>
            </w:r>
          </w:p>
        </w:tc>
      </w:tr>
      <w:tr>
        <w:trPr>
          <w:trHeight w:val="208"/>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Financing activities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(59,725)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(5,188)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258,620</w:t>
            </w:r>
          </w:p>
        </w:tc>
      </w:tr>
      <w:tr>
        <w:trPr>
          <w:trHeight w:val="19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increase (decrease) in cash and cash equivalents</w:t>
            </w: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35,089</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(33,603)</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(49,638)</w:t>
            </w:r>
          </w:p>
        </w:tc>
      </w:tr>
      <w:tr>
        <w:trPr>
          <w:trHeight w:val="20"/>
        </w:trPr>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Cash provided by operating activities increased in Fiscal 2019 compared to Fiscal 2018 primarily due to steady profitability and working capital as a percent of sales.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Cash provided by operating activities decreased in Fiscal 2018 compared to Fiscal 2017 due to an increase in inventory to support organic growth, partially offset by growth in net income.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166"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Cash used in investing activities decreased in Fiscal 2019 compared to Fiscal 2018 primarily due to a decrease in cash used for the Chris-Craft acquisition in Fiscal 2018 partially offset by increased capital expenditures related to the capacity expansions within our Towable segment.</w:t>
      </w:r>
    </w:p>
    <w:p>
      <w:pPr>
        <w:spacing w:after="0" w:line="140" w:lineRule="exact"/>
        <w:rPr>
          <w:sz w:val="20"/>
          <w:szCs w:val="20"/>
          <w:color w:val="auto"/>
        </w:rPr>
      </w:pPr>
    </w:p>
    <w:p>
      <w:pPr>
        <w:jc w:val="both"/>
        <w:ind w:right="80"/>
        <w:spacing w:after="0" w:line="246" w:lineRule="auto"/>
        <w:rPr>
          <w:sz w:val="20"/>
          <w:szCs w:val="20"/>
          <w:color w:val="auto"/>
        </w:rPr>
      </w:pPr>
      <w:r>
        <w:rPr>
          <w:rFonts w:ascii="Arial" w:cs="Arial" w:eastAsia="Arial" w:hAnsi="Arial"/>
          <w:sz w:val="13"/>
          <w:szCs w:val="13"/>
          <w:color w:val="auto"/>
        </w:rPr>
        <w:t>Cash used in investing activities for Fiscal 2018 consisted primarily of the acquisition of Chris-Craft and capital expenditures related to the capacity expansions taking place in our Towable segment. In Fiscal 2017, cash used in investing activities consisted of the acquisition of Grand Design for which we paid cash of $392.5 million, net of cash acquired, in addition to issuing Winnebago stock with a value of $124.1 million at closing.</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Cash used in financing activities increased in Fiscal 2019 compared to Fiscal 2018 primarily due to increased net payments on our Credit Agreement and increased share repurchases.</w:t>
      </w:r>
    </w:p>
    <w:p>
      <w:pPr>
        <w:spacing w:after="0" w:line="152"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Cash used in financing activities for Fiscal 2018 consisted of payments on the Credit Agreement, dividend payments, and share repurchases; these were partially offset by cash proceeds on the Credit Agreement. Cash provided by financing activities for Fiscal 2017 consisted of cash proceeds from the Credit Agreement, partially offset by payments on the Credit Agreement, payment of debt issuance costs, and dividend payments.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and Capital</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 xml:space="preserve">As described in Note 9,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of this Annual Report on Form 10-K, our Credit Agreement consisted of a term loan B loan agreement ("Term Loan") and an asset-based revolving credit agreement ("ABL") (collectively, the "Credit Agreement") with JPMorgan Chase. The commitment under the ABL was increased to $192.5 million revolving credit agreement as of October 22, 2019.</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Financial Measures</w:t>
      </w:r>
    </w:p>
    <w:p>
      <w:pPr>
        <w:spacing w:after="0" w:line="168"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Working capital at August 31, 2019 and August 25, 2018 was $212.9 million and $167.8 million, respectively. We currently expect cash on hand, funds generated from operations, and the borrowing available under our Credit Agreement to be sufficient to cover both short-term and long-term operating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Expenditures</w:t>
      </w:r>
    </w:p>
    <w:p>
      <w:pPr>
        <w:spacing w:after="0" w:line="168" w:lineRule="exact"/>
        <w:rPr>
          <w:sz w:val="20"/>
          <w:szCs w:val="20"/>
          <w:color w:val="auto"/>
        </w:rPr>
      </w:pPr>
    </w:p>
    <w:p>
      <w:pPr>
        <w:ind w:right="140"/>
        <w:spacing w:after="0" w:line="251" w:lineRule="auto"/>
        <w:rPr>
          <w:sz w:val="20"/>
          <w:szCs w:val="20"/>
          <w:color w:val="auto"/>
        </w:rPr>
      </w:pPr>
      <w:r>
        <w:rPr>
          <w:rFonts w:ascii="Arial" w:cs="Arial" w:eastAsia="Arial" w:hAnsi="Arial"/>
          <w:sz w:val="13"/>
          <w:szCs w:val="13"/>
          <w:color w:val="auto"/>
        </w:rPr>
        <w:t>We anticipate capital expenditures in Fiscal 2020 of approximately $35.0 million to $45.0 million. We will continue to invest in our ERP system as well as expand our Towable and marine facilities and make improvements to our Motorhome facilities.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60"/>
          </w:cols>
          <w:pgMar w:left="220" w:top="141" w:right="21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Repurchases and Dividends</w:t>
      </w:r>
    </w:p>
    <w:p>
      <w:pPr>
        <w:spacing w:after="0" w:line="168"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40" w:lineRule="exact"/>
        <w:rPr>
          <w:sz w:val="20"/>
          <w:szCs w:val="20"/>
          <w:color w:val="auto"/>
        </w:rPr>
      </w:pPr>
    </w:p>
    <w:p>
      <w:pPr>
        <w:ind w:right="160"/>
        <w:spacing w:after="0" w:line="245" w:lineRule="auto"/>
        <w:rPr>
          <w:sz w:val="20"/>
          <w:szCs w:val="20"/>
          <w:color w:val="auto"/>
        </w:rPr>
      </w:pPr>
      <w:r>
        <w:rPr>
          <w:rFonts w:ascii="Arial" w:cs="Arial" w:eastAsia="Arial" w:hAnsi="Arial"/>
          <w:sz w:val="13"/>
          <w:szCs w:val="13"/>
          <w:color w:val="auto"/>
        </w:rPr>
        <w:t>On October 18, 2017, our Board of Directors authorized a share repurchase program in the amount of $70.0 million. There is no time restriction on the authorization. During Fiscal 2019, we repurchased 0.2 million shares of our common stock at a cost of $6.1 million. An additional 0.1 million shares of our common stock at a cost of $2.1 million were repurchased to satisfy tax obligations on employee equity awards as they vested. We continually evaluate if share repurchases reflect a prudent use of our capital and, subject to compliance with our Credit Agreement, we may purchase shares in the future. At August 31, 2019, we have $58.9 million remaining on our board repurchase authorization.</w:t>
      </w:r>
    </w:p>
    <w:p>
      <w:pPr>
        <w:spacing w:after="0" w:line="144"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On August 14, 2019, our Board of Directors declared a quarterly cash dividend of $0.11 per share, totaling $3.5 million, paid on September 25, 2019 to common stockholders of record at the close of business on September 11, 2019.</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and Commercial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Our principal contractual obligations and commercial commitments as of August 31, 2019 were as follows:</w:t>
      </w:r>
    </w:p>
    <w:p>
      <w:pPr>
        <w:sectPr>
          <w:pgSz w:w="11900" w:h="16838" w:orient="portrait"/>
          <w:cols w:equalWidth="0" w:num="1">
            <w:col w:w="11460"/>
          </w:cols>
          <w:pgMar w:left="220" w:top="141" w:right="219" w:bottom="1440" w:gutter="0" w:footer="0" w:header="0"/>
        </w:sect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Total</w:t>
            </w:r>
          </w:p>
        </w:tc>
      </w:tr>
      <w:tr>
        <w:trPr>
          <w:trHeight w:val="244"/>
        </w:trPr>
        <w:tc>
          <w:tcPr>
            <w:tcW w:w="4700" w:type="dxa"/>
            <w:vAlign w:val="bottom"/>
          </w:tcPr>
          <w:p>
            <w:pPr>
              <w:ind w:left="20"/>
              <w:spacing w:after="0"/>
              <w:rPr>
                <w:sz w:val="20"/>
                <w:szCs w:val="20"/>
                <w:color w:val="auto"/>
              </w:rPr>
            </w:pPr>
            <w:r>
              <w:rPr>
                <w:rFonts w:ascii="Arial" w:cs="Arial" w:eastAsia="Arial" w:hAnsi="Arial"/>
                <w:sz w:val="13"/>
                <w:szCs w:val="13"/>
                <w:color w:val="auto"/>
              </w:rPr>
              <w:t>ABL</w:t>
            </w:r>
            <w:r>
              <w:rPr>
                <w:rFonts w:ascii="Arial" w:cs="Arial" w:eastAsia="Arial" w:hAnsi="Arial"/>
                <w:sz w:val="17"/>
                <w:szCs w:val="17"/>
                <w:color w:val="auto"/>
                <w:vertAlign w:val="superscript"/>
              </w:rPr>
              <w:t>(1)</w:t>
            </w:r>
          </w:p>
        </w:tc>
        <w:tc>
          <w:tcPr>
            <w:tcW w:w="3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w:t>
            </w:r>
          </w:p>
        </w:tc>
      </w:tr>
      <w:tr>
        <w:trPr>
          <w:trHeight w:val="216"/>
        </w:trPr>
        <w:tc>
          <w:tcPr>
            <w:tcW w:w="4700" w:type="dxa"/>
            <w:vAlign w:val="bottom"/>
          </w:tcPr>
          <w:p>
            <w:pPr>
              <w:ind w:left="20"/>
              <w:spacing w:after="0"/>
              <w:rPr>
                <w:sz w:val="20"/>
                <w:szCs w:val="20"/>
                <w:color w:val="auto"/>
              </w:rPr>
            </w:pPr>
            <w:r>
              <w:rPr>
                <w:rFonts w:ascii="Arial" w:cs="Arial" w:eastAsia="Arial" w:hAnsi="Arial"/>
                <w:sz w:val="13"/>
                <w:szCs w:val="13"/>
                <w:color w:val="auto"/>
              </w:rPr>
              <w:t>Term loan</w:t>
            </w:r>
            <w:r>
              <w:rPr>
                <w:rFonts w:ascii="Arial" w:cs="Arial" w:eastAsia="Arial" w:hAnsi="Arial"/>
                <w:sz w:val="17"/>
                <w:szCs w:val="17"/>
                <w:color w:val="auto"/>
                <w:vertAlign w:val="superscript"/>
              </w:rPr>
              <w:t>(2)</w:t>
            </w:r>
          </w:p>
        </w:tc>
        <w:tc>
          <w:tcPr>
            <w:tcW w:w="30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260,000</w:t>
            </w:r>
          </w:p>
        </w:tc>
      </w:tr>
      <w:tr>
        <w:trPr>
          <w:trHeight w:val="216"/>
        </w:trPr>
        <w:tc>
          <w:tcPr>
            <w:tcW w:w="4700" w:type="dxa"/>
            <w:vAlign w:val="bottom"/>
          </w:tcPr>
          <w:p>
            <w:pPr>
              <w:ind w:left="20"/>
              <w:spacing w:after="0"/>
              <w:rPr>
                <w:sz w:val="20"/>
                <w:szCs w:val="20"/>
                <w:color w:val="auto"/>
              </w:rPr>
            </w:pPr>
            <w:r>
              <w:rPr>
                <w:rFonts w:ascii="Arial" w:cs="Arial" w:eastAsia="Arial" w:hAnsi="Arial"/>
                <w:sz w:val="13"/>
                <w:szCs w:val="13"/>
                <w:color w:val="auto"/>
              </w:rPr>
              <w:t>Interest at variable rate</w:t>
            </w:r>
            <w:r>
              <w:rPr>
                <w:rFonts w:ascii="Arial" w:cs="Arial" w:eastAsia="Arial" w:hAnsi="Arial"/>
                <w:sz w:val="17"/>
                <w:szCs w:val="17"/>
                <w:color w:val="auto"/>
                <w:vertAlign w:val="superscript"/>
              </w:rPr>
              <w:t>(3)</w:t>
            </w:r>
          </w:p>
        </w:tc>
        <w:tc>
          <w:tcPr>
            <w:tcW w:w="30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29,956</w:t>
            </w:r>
          </w:p>
        </w:tc>
      </w:tr>
      <w:tr>
        <w:trPr>
          <w:trHeight w:val="220"/>
        </w:trPr>
        <w:tc>
          <w:tcPr>
            <w:tcW w:w="4700" w:type="dxa"/>
            <w:vAlign w:val="bottom"/>
          </w:tcPr>
          <w:p>
            <w:pPr>
              <w:ind w:left="20"/>
              <w:spacing w:after="0"/>
              <w:rPr>
                <w:sz w:val="20"/>
                <w:szCs w:val="20"/>
                <w:color w:val="auto"/>
              </w:rPr>
            </w:pPr>
            <w:r>
              <w:rPr>
                <w:rFonts w:ascii="Arial" w:cs="Arial" w:eastAsia="Arial" w:hAnsi="Arial"/>
                <w:sz w:val="13"/>
                <w:szCs w:val="13"/>
                <w:color w:val="auto"/>
              </w:rPr>
              <w:t>Net swap payments</w:t>
            </w:r>
            <w:r>
              <w:rPr>
                <w:rFonts w:ascii="Arial" w:cs="Arial" w:eastAsia="Arial" w:hAnsi="Arial"/>
                <w:sz w:val="17"/>
                <w:szCs w:val="17"/>
                <w:color w:val="auto"/>
                <w:vertAlign w:val="superscript"/>
              </w:rPr>
              <w:t>(4)</w:t>
            </w:r>
          </w:p>
        </w:tc>
        <w:tc>
          <w:tcPr>
            <w:tcW w:w="30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28,596</w:t>
            </w:r>
          </w:p>
        </w:tc>
      </w:tr>
      <w:tr>
        <w:trPr>
          <w:trHeight w:val="155"/>
        </w:trPr>
        <w:tc>
          <w:tcPr>
            <w:tcW w:w="4700" w:type="dxa"/>
            <w:vAlign w:val="bottom"/>
          </w:tcPr>
          <w:p>
            <w:pPr>
              <w:ind w:left="20"/>
              <w:spacing w:after="0"/>
              <w:rPr>
                <w:sz w:val="20"/>
                <w:szCs w:val="20"/>
                <w:color w:val="auto"/>
              </w:rPr>
            </w:pPr>
            <w:r>
              <w:rPr>
                <w:rFonts w:ascii="Arial" w:cs="Arial" w:eastAsia="Arial" w:hAnsi="Arial"/>
                <w:sz w:val="13"/>
                <w:szCs w:val="13"/>
                <w:color w:val="auto"/>
              </w:rPr>
              <w:t>Deferred compensation obligations</w:t>
            </w:r>
          </w:p>
        </w:tc>
        <w:tc>
          <w:tcPr>
            <w:tcW w:w="3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15,798</w:t>
            </w:r>
          </w:p>
        </w:tc>
      </w:tr>
      <w:tr>
        <w:trPr>
          <w:trHeight w:val="276"/>
        </w:trPr>
        <w:tc>
          <w:tcPr>
            <w:tcW w:w="4700" w:type="dxa"/>
            <w:vAlign w:val="bottom"/>
          </w:tcPr>
          <w:p>
            <w:pPr>
              <w:ind w:left="20"/>
              <w:spacing w:after="0"/>
              <w:rPr>
                <w:sz w:val="20"/>
                <w:szCs w:val="20"/>
                <w:color w:val="auto"/>
              </w:rPr>
            </w:pPr>
            <w:r>
              <w:rPr>
                <w:rFonts w:ascii="Arial" w:cs="Arial" w:eastAsia="Arial" w:hAnsi="Arial"/>
                <w:sz w:val="13"/>
                <w:szCs w:val="13"/>
                <w:color w:val="auto"/>
              </w:rPr>
              <w:t>Operating leases</w:t>
            </w:r>
            <w:r>
              <w:rPr>
                <w:rFonts w:ascii="Arial" w:cs="Arial" w:eastAsia="Arial" w:hAnsi="Arial"/>
                <w:sz w:val="17"/>
                <w:szCs w:val="17"/>
                <w:color w:val="auto"/>
                <w:vertAlign w:val="superscript"/>
              </w:rPr>
              <w:t>(5)</w:t>
            </w:r>
          </w:p>
        </w:tc>
        <w:tc>
          <w:tcPr>
            <w:tcW w:w="30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25,057</w:t>
            </w:r>
          </w:p>
        </w:tc>
      </w:tr>
      <w:tr>
        <w:trPr>
          <w:trHeight w:val="155"/>
        </w:trPr>
        <w:tc>
          <w:tcPr>
            <w:tcW w:w="4700" w:type="dxa"/>
            <w:vAlign w:val="bottom"/>
          </w:tcPr>
          <w:p>
            <w:pPr>
              <w:ind w:left="20"/>
              <w:spacing w:after="0"/>
              <w:rPr>
                <w:sz w:val="20"/>
                <w:szCs w:val="20"/>
                <w:color w:val="auto"/>
              </w:rPr>
            </w:pPr>
            <w:r>
              <w:rPr>
                <w:rFonts w:ascii="Arial" w:cs="Arial" w:eastAsia="Arial" w:hAnsi="Arial"/>
                <w:sz w:val="13"/>
                <w:szCs w:val="13"/>
                <w:color w:val="auto"/>
              </w:rPr>
              <w:t>Contracted services</w:t>
            </w:r>
          </w:p>
        </w:tc>
        <w:tc>
          <w:tcPr>
            <w:tcW w:w="3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4,571</w:t>
            </w:r>
          </w:p>
        </w:tc>
      </w:tr>
      <w:tr>
        <w:trPr>
          <w:trHeight w:val="231"/>
        </w:trPr>
        <w:tc>
          <w:tcPr>
            <w:tcW w:w="4700" w:type="dxa"/>
            <w:vAlign w:val="bottom"/>
          </w:tcPr>
          <w:p>
            <w:pPr>
              <w:ind w:left="20"/>
              <w:spacing w:after="0"/>
              <w:rPr>
                <w:sz w:val="20"/>
                <w:szCs w:val="20"/>
                <w:color w:val="auto"/>
              </w:rPr>
            </w:pPr>
            <w:r>
              <w:rPr>
                <w:rFonts w:ascii="Arial" w:cs="Arial" w:eastAsia="Arial" w:hAnsi="Arial"/>
                <w:sz w:val="13"/>
                <w:szCs w:val="13"/>
                <w:color w:val="auto"/>
              </w:rPr>
              <w:t>Unrecognized tax benefits</w:t>
            </w:r>
            <w:r>
              <w:rPr>
                <w:rFonts w:ascii="Arial" w:cs="Arial" w:eastAsia="Arial" w:hAnsi="Arial"/>
                <w:sz w:val="17"/>
                <w:szCs w:val="17"/>
                <w:color w:val="auto"/>
                <w:vertAlign w:val="superscript"/>
              </w:rPr>
              <w:t>(6)</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3,591</w:t>
            </w:r>
          </w:p>
        </w:tc>
      </w:tr>
      <w:tr>
        <w:trPr>
          <w:trHeight w:val="182"/>
        </w:trPr>
        <w:tc>
          <w:tcPr>
            <w:tcW w:w="4700" w:type="dxa"/>
            <w:vAlign w:val="bottom"/>
          </w:tcPr>
          <w:p>
            <w:pPr>
              <w:ind w:left="140"/>
              <w:spacing w:after="0"/>
              <w:rPr>
                <w:sz w:val="20"/>
                <w:szCs w:val="20"/>
                <w:color w:val="auto"/>
              </w:rPr>
            </w:pPr>
            <w:r>
              <w:rPr>
                <w:rFonts w:ascii="Arial" w:cs="Arial" w:eastAsia="Arial" w:hAnsi="Arial"/>
                <w:sz w:val="13"/>
                <w:szCs w:val="13"/>
                <w:color w:val="auto"/>
              </w:rPr>
              <w:t>Total contractual cash obligations</w:t>
            </w:r>
          </w:p>
        </w:tc>
        <w:tc>
          <w:tcPr>
            <w:tcW w:w="3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367,569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-1244600</wp:posOffset>
            </wp:positionV>
            <wp:extent cx="727456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-970915</wp:posOffset>
            </wp:positionV>
            <wp:extent cx="72745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-697230</wp:posOffset>
            </wp:positionV>
            <wp:extent cx="72745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-423545</wp:posOffset>
            </wp:positionV>
            <wp:extent cx="72745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2745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Total</w:t>
            </w:r>
          </w:p>
        </w:tc>
      </w:tr>
      <w:tr>
        <w:trPr>
          <w:trHeight w:val="188"/>
        </w:trPr>
        <w:tc>
          <w:tcPr>
            <w:tcW w:w="3360" w:type="dxa"/>
            <w:vAlign w:val="bottom"/>
          </w:tcPr>
          <w:p>
            <w:pPr>
              <w:ind w:left="20"/>
              <w:spacing w:after="0"/>
              <w:rPr>
                <w:sz w:val="20"/>
                <w:szCs w:val="20"/>
                <w:color w:val="auto"/>
              </w:rPr>
            </w:pPr>
            <w:r>
              <w:rPr>
                <w:rFonts w:ascii="Arial" w:cs="Arial" w:eastAsia="Arial" w:hAnsi="Arial"/>
                <w:sz w:val="13"/>
                <w:szCs w:val="13"/>
                <w:color w:val="auto"/>
              </w:rPr>
              <w:t>Contingent repurchase obligations</w:t>
            </w:r>
          </w:p>
        </w:tc>
        <w:tc>
          <w:tcPr>
            <w:tcW w:w="164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874,912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2745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23495</wp:posOffset>
            </wp:positionV>
            <wp:extent cx="34829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8"/>
              </w:rPr>
              <w:t>Less than 1 Year</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1-3 Years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3-5 Years</w:t>
            </w: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More than 5 Years</w:t>
            </w:r>
          </w:p>
        </w:tc>
      </w:tr>
      <w:tr>
        <w:trPr>
          <w:trHeight w:val="188"/>
        </w:trPr>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16"/>
        </w:trPr>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3"/>
                <w:szCs w:val="13"/>
                <w:color w:val="auto"/>
              </w:rPr>
              <w:t>10,250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30,000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219,750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16"/>
        </w:trPr>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3"/>
                <w:szCs w:val="13"/>
                <w:color w:val="auto"/>
              </w:rPr>
              <w:t>8,447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14,596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6,913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16"/>
        </w:trPr>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3"/>
                <w:szCs w:val="13"/>
                <w:color w:val="auto"/>
              </w:rPr>
              <w:t>6,580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13,675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8,341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16"/>
        </w:trPr>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3"/>
                <w:szCs w:val="13"/>
                <w:color w:val="auto"/>
              </w:rPr>
              <w:t>2,925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5,606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4,288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2,979</w:t>
            </w:r>
          </w:p>
        </w:tc>
      </w:tr>
      <w:tr>
        <w:trPr>
          <w:trHeight w:val="216"/>
        </w:trPr>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3"/>
                <w:szCs w:val="13"/>
                <w:color w:val="auto"/>
              </w:rPr>
              <w:t>4,100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7,553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7,928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5,476</w:t>
            </w:r>
          </w:p>
        </w:tc>
      </w:tr>
      <w:tr>
        <w:trPr>
          <w:trHeight w:val="216"/>
        </w:trPr>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3"/>
                <w:szCs w:val="13"/>
                <w:color w:val="auto"/>
              </w:rPr>
              <w:t>1,771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2,088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47</w:t>
            </w:r>
          </w:p>
        </w:tc>
      </w:tr>
      <w:tr>
        <w:trPr>
          <w:trHeight w:val="223"/>
        </w:trPr>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185"/>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34,073</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73,518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247,885</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8,502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Expiration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23495</wp:posOffset>
            </wp:positionV>
            <wp:extent cx="34829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8"/>
              </w:rPr>
              <w:t>Less than 1 Year</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1-3 Years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3-5 Years</w:t>
            </w: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More than 5 Years</w:t>
            </w:r>
          </w:p>
        </w:tc>
      </w:tr>
      <w:tr>
        <w:trPr>
          <w:trHeight w:val="188"/>
        </w:trPr>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55"/>
              <w:spacing w:after="0"/>
              <w:rPr>
                <w:sz w:val="20"/>
                <w:szCs w:val="20"/>
                <w:color w:val="auto"/>
              </w:rPr>
            </w:pPr>
            <w:r>
              <w:rPr>
                <w:rFonts w:ascii="Arial" w:cs="Arial" w:eastAsia="Arial" w:hAnsi="Arial"/>
                <w:sz w:val="13"/>
                <w:szCs w:val="13"/>
                <w:color w:val="auto"/>
              </w:rPr>
              <w:t>770,005</w:t>
            </w:r>
          </w:p>
        </w:tc>
        <w:tc>
          <w:tcPr>
            <w:tcW w:w="120" w:type="dxa"/>
            <w:vAlign w:val="bottom"/>
          </w:tcPr>
          <w:p>
            <w:pPr>
              <w:spacing w:after="0"/>
              <w:rPr>
                <w:sz w:val="16"/>
                <w:szCs w:val="16"/>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104,907</w:t>
            </w:r>
          </w:p>
        </w:tc>
        <w:tc>
          <w:tcPr>
            <w:tcW w:w="1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680" w:type="dxa"/>
            <w:vAlign w:val="bottom"/>
          </w:tcPr>
          <w:p>
            <w:pPr>
              <w:ind w:left="440"/>
              <w:spacing w:after="0"/>
              <w:rPr>
                <w:sz w:val="20"/>
                <w:szCs w:val="20"/>
                <w:color w:val="auto"/>
              </w:rPr>
            </w:pPr>
            <w:r>
              <w:rPr>
                <w:rFonts w:ascii="Arial" w:cs="Arial" w:eastAsia="Arial" w:hAnsi="Arial"/>
                <w:sz w:val="13"/>
                <w:szCs w:val="13"/>
                <w:color w:val="auto"/>
              </w:rPr>
              <w:t>—</w:t>
            </w:r>
          </w:p>
        </w:tc>
      </w:tr>
    </w:tbl>
    <w:p>
      <w:pPr>
        <w:spacing w:after="0" w:line="51" w:lineRule="exact"/>
        <w:rPr>
          <w:sz w:val="20"/>
          <w:szCs w:val="20"/>
          <w:color w:val="auto"/>
        </w:rPr>
      </w:pPr>
    </w:p>
    <w:p>
      <w:pPr>
        <w:sectPr>
          <w:pgSz w:w="11900" w:h="16838" w:orient="portrait"/>
          <w:cols w:equalWidth="0" w:num="2">
            <w:col w:w="5980" w:space="120"/>
            <w:col w:w="5360"/>
          </w:cols>
          <w:pgMar w:left="220" w:top="141" w:right="219" w:bottom="1440" w:gutter="0" w:footer="0" w:header="0"/>
          <w:type w:val="continuous"/>
        </w:sectPr>
      </w:pPr>
    </w:p>
    <w:p>
      <w:pPr>
        <w:ind w:right="740"/>
        <w:spacing w:after="0" w:line="289" w:lineRule="auto"/>
        <w:rPr>
          <w:sz w:val="20"/>
          <w:szCs w:val="20"/>
          <w:color w:val="auto"/>
        </w:rPr>
      </w:pPr>
      <w:r>
        <w:rPr>
          <w:rFonts w:ascii="Arial" w:cs="Arial" w:eastAsia="Arial" w:hAnsi="Arial"/>
          <w:sz w:val="11"/>
          <w:szCs w:val="11"/>
          <w:color w:val="auto"/>
        </w:rPr>
        <w:t xml:space="preserve">Note: For additional information refer to Note 4, </w:t>
      </w:r>
      <w:r>
        <w:rPr>
          <w:rFonts w:ascii="Arial" w:cs="Arial" w:eastAsia="Arial" w:hAnsi="Arial"/>
          <w:sz w:val="11"/>
          <w:szCs w:val="11"/>
          <w:i w:val="1"/>
          <w:iCs w:val="1"/>
          <w:color w:val="auto"/>
        </w:rPr>
        <w:t>Derivatives, Investments, and Fair Value Measurements</w:t>
      </w:r>
      <w:r>
        <w:rPr>
          <w:rFonts w:ascii="Arial" w:cs="Arial" w:eastAsia="Arial" w:hAnsi="Arial"/>
          <w:sz w:val="11"/>
          <w:szCs w:val="11"/>
          <w:color w:val="auto"/>
        </w:rPr>
        <w:t xml:space="preserve">; Note 9, </w:t>
      </w:r>
      <w:r>
        <w:rPr>
          <w:rFonts w:ascii="Arial" w:cs="Arial" w:eastAsia="Arial" w:hAnsi="Arial"/>
          <w:sz w:val="11"/>
          <w:szCs w:val="11"/>
          <w:i w:val="1"/>
          <w:iCs w:val="1"/>
          <w:color w:val="auto"/>
        </w:rPr>
        <w:t>Long-Term Debt</w:t>
      </w:r>
      <w:r>
        <w:rPr>
          <w:rFonts w:ascii="Arial" w:cs="Arial" w:eastAsia="Arial" w:hAnsi="Arial"/>
          <w:sz w:val="11"/>
          <w:szCs w:val="11"/>
          <w:color w:val="auto"/>
        </w:rPr>
        <w:t xml:space="preserve">; Note 10, </w:t>
      </w:r>
      <w:r>
        <w:rPr>
          <w:rFonts w:ascii="Arial" w:cs="Arial" w:eastAsia="Arial" w:hAnsi="Arial"/>
          <w:sz w:val="11"/>
          <w:szCs w:val="11"/>
          <w:i w:val="1"/>
          <w:iCs w:val="1"/>
          <w:color w:val="auto"/>
        </w:rPr>
        <w:t>Employee and Retiree Benefits</w:t>
      </w:r>
      <w:r>
        <w:rPr>
          <w:rFonts w:ascii="Arial" w:cs="Arial" w:eastAsia="Arial" w:hAnsi="Arial"/>
          <w:sz w:val="11"/>
          <w:szCs w:val="11"/>
          <w:color w:val="auto"/>
        </w:rPr>
        <w:t xml:space="preserve">; and Note 11, </w:t>
      </w:r>
      <w:r>
        <w:rPr>
          <w:rFonts w:ascii="Arial" w:cs="Arial" w:eastAsia="Arial" w:hAnsi="Arial"/>
          <w:sz w:val="11"/>
          <w:szCs w:val="11"/>
          <w:i w:val="1"/>
          <w:iCs w:val="1"/>
          <w:color w:val="auto"/>
        </w:rPr>
        <w:t>Contingent Liabilities and</w:t>
      </w:r>
      <w:r>
        <w:rPr>
          <w:rFonts w:ascii="Arial" w:cs="Arial" w:eastAsia="Arial" w:hAnsi="Arial"/>
          <w:sz w:val="11"/>
          <w:szCs w:val="11"/>
          <w:color w:val="auto"/>
        </w:rPr>
        <w:t xml:space="preserve"> </w:t>
      </w:r>
      <w:r>
        <w:rPr>
          <w:rFonts w:ascii="Arial" w:cs="Arial" w:eastAsia="Arial" w:hAnsi="Arial"/>
          <w:sz w:val="11"/>
          <w:szCs w:val="11"/>
          <w:i w:val="1"/>
          <w:iCs w:val="1"/>
          <w:color w:val="auto"/>
        </w:rPr>
        <w:t>Commitments</w:t>
      </w:r>
      <w:r>
        <w:rPr>
          <w:rFonts w:ascii="Arial" w:cs="Arial" w:eastAsia="Arial" w:hAnsi="Arial"/>
          <w:sz w:val="11"/>
          <w:szCs w:val="11"/>
          <w:color w:val="auto"/>
        </w:rPr>
        <w:t>, of the Notes to Consolidated Financial Statements, included in Item 8,</w:t>
      </w:r>
      <w:r>
        <w:rPr>
          <w:rFonts w:ascii="Arial" w:cs="Arial" w:eastAsia="Arial" w:hAnsi="Arial"/>
          <w:sz w:val="11"/>
          <w:szCs w:val="11"/>
          <w:i w:val="1"/>
          <w:iCs w:val="1"/>
          <w:color w:val="auto"/>
        </w:rPr>
        <w:t xml:space="preserve"> Financial Statements and Supplementary Data</w:t>
      </w:r>
      <w:r>
        <w:rPr>
          <w:rFonts w:ascii="Arial" w:cs="Arial" w:eastAsia="Arial" w:hAnsi="Arial"/>
          <w:sz w:val="11"/>
          <w:szCs w:val="11"/>
          <w:color w:val="auto"/>
        </w:rPr>
        <w:t>, of this Annual Report on Form 10-K.</w:t>
      </w:r>
    </w:p>
    <w:p>
      <w:pPr>
        <w:spacing w:after="0" w:line="9" w:lineRule="exact"/>
        <w:rPr>
          <w:sz w:val="20"/>
          <w:szCs w:val="20"/>
          <w:color w:val="auto"/>
        </w:rPr>
      </w:pPr>
    </w:p>
    <w:p>
      <w:pPr>
        <w:ind w:left="180" w:hanging="174"/>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Borrowings and repayments are expected to fluctuate over the term; therefore, we are not able to reasonably estimate in which future periods this amount will ultimately be settled.</w:t>
      </w:r>
    </w:p>
    <w:p>
      <w:pPr>
        <w:spacing w:after="0" w:line="2" w:lineRule="exact"/>
        <w:rPr>
          <w:rFonts w:ascii="Arial" w:cs="Arial" w:eastAsia="Arial" w:hAnsi="Arial"/>
          <w:sz w:val="11"/>
          <w:szCs w:val="11"/>
          <w:color w:val="auto"/>
        </w:rPr>
      </w:pPr>
    </w:p>
    <w:p>
      <w:pPr>
        <w:ind w:left="180" w:right="340" w:hanging="174"/>
        <w:spacing w:after="0" w:line="245" w:lineRule="auto"/>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Our Term Loan matures on November 8, 2023. The contractual principal payments are included in the table. Additional principal payments are potentially due annually on a formula based on excess cash flow and the leverage ratio at that time as defined in the Credit Agreement. No amounts for this contingency are included in the above table.</w:t>
      </w:r>
    </w:p>
    <w:p>
      <w:pPr>
        <w:ind w:left="180" w:right="260" w:hanging="174"/>
        <w:spacing w:after="0" w:line="250" w:lineRule="auto"/>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Term Loan is at a variable rate and the interest in the table assumes the variable rate of 5.95% at August 31, 2019 is constant through the maturity dates of the debt and the principal payments on the term debt are made as scheduled. The variable rate is subject to change. Additionally, included in interest payments due by period is a 0.25% commitment fee on the ABL for unused borrowings, which are assumed to be at $165.0 million.</w:t>
      </w:r>
    </w:p>
    <w:p>
      <w:pPr>
        <w:spacing w:after="0" w:line="124" w:lineRule="exact"/>
        <w:rPr>
          <w:rFonts w:ascii="Arial" w:cs="Arial" w:eastAsia="Arial" w:hAnsi="Arial"/>
          <w:sz w:val="11"/>
          <w:szCs w:val="11"/>
          <w:color w:val="auto"/>
        </w:rPr>
      </w:pPr>
    </w:p>
    <w:p>
      <w:pPr>
        <w:ind w:left="180" w:right="280" w:hanging="174"/>
        <w:spacing w:after="0" w:line="245" w:lineRule="auto"/>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We have an interest rate swap agreement with a notional amount of $120.0 million as of August 31, 2019 that decreases to $60.0 million on December 9, 2019 and expires on December 8, 2020. We pay a fixed rate at 1.82%, and receive a floating rate that was 2.45% at August 31, 2019. In the table, we have assumed the floating rate will be constant through the expiration of the interest rate swap when calculating the net swap payments. The variable rate is subject to change.</w:t>
      </w:r>
    </w:p>
    <w:p>
      <w:pPr>
        <w:ind w:left="180" w:hanging="174"/>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 xml:space="preserve">Certain renewal options have been included in our future lease commitments as disclosed in Note 11, </w:t>
      </w:r>
      <w:r>
        <w:rPr>
          <w:rFonts w:ascii="Arial" w:cs="Arial" w:eastAsia="Arial" w:hAnsi="Arial"/>
          <w:sz w:val="11"/>
          <w:szCs w:val="11"/>
          <w:i w:val="1"/>
          <w:iCs w:val="1"/>
          <w:color w:val="auto"/>
        </w:rPr>
        <w:t>Contingent Liabilities and Commitments</w:t>
      </w:r>
      <w:r>
        <w:rPr>
          <w:rFonts w:ascii="Arial" w:cs="Arial" w:eastAsia="Arial" w:hAnsi="Arial"/>
          <w:sz w:val="11"/>
          <w:szCs w:val="11"/>
          <w:color w:val="auto"/>
        </w:rPr>
        <w:t>, of the Notes to Consolidated Financial Statements, included in Item</w:t>
      </w:r>
    </w:p>
    <w:p>
      <w:pPr>
        <w:spacing w:after="0" w:line="2" w:lineRule="exact"/>
        <w:rPr>
          <w:rFonts w:ascii="Arial" w:cs="Arial" w:eastAsia="Arial" w:hAnsi="Arial"/>
          <w:sz w:val="11"/>
          <w:szCs w:val="11"/>
          <w:color w:val="auto"/>
        </w:rPr>
      </w:pPr>
    </w:p>
    <w:p>
      <w:pPr>
        <w:ind w:left="180" w:right="220"/>
        <w:spacing w:after="0" w:line="245" w:lineRule="auto"/>
        <w:rPr>
          <w:rFonts w:ascii="Arial" w:cs="Arial" w:eastAsia="Arial" w:hAnsi="Arial"/>
          <w:sz w:val="11"/>
          <w:szCs w:val="11"/>
          <w:color w:val="auto"/>
        </w:rPr>
      </w:pPr>
      <w:r>
        <w:rPr>
          <w:rFonts w:ascii="Arial" w:cs="Arial" w:eastAsia="Arial" w:hAnsi="Arial"/>
          <w:sz w:val="11"/>
          <w:szCs w:val="11"/>
          <w:color w:val="auto"/>
        </w:rPr>
        <w:t xml:space="preserve">8, </w:t>
      </w:r>
      <w:r>
        <w:rPr>
          <w:rFonts w:ascii="Arial" w:cs="Arial" w:eastAsia="Arial" w:hAnsi="Arial"/>
          <w:sz w:val="11"/>
          <w:szCs w:val="11"/>
          <w:i w:val="1"/>
          <w:iCs w:val="1"/>
          <w:color w:val="auto"/>
        </w:rPr>
        <w:t>Financial Statements and Supplementary Data</w:t>
      </w:r>
      <w:r>
        <w:rPr>
          <w:rFonts w:ascii="Arial" w:cs="Arial" w:eastAsia="Arial" w:hAnsi="Arial"/>
          <w:sz w:val="11"/>
          <w:szCs w:val="11"/>
          <w:color w:val="auto"/>
        </w:rPr>
        <w:t>, of this Annual Report on Form 10-K. However, because these renewals have not been signed and are not contractually obligated, balances within the table exclude the payments related to these options.</w:t>
      </w:r>
    </w:p>
    <w:p>
      <w:pPr>
        <w:ind w:left="180" w:right="60" w:hanging="174"/>
        <w:spacing w:after="0" w:line="267" w:lineRule="auto"/>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Unrecognized tax benefits relate to uncertain tax positions. As we are not able to reasonably estimate the timing of the payments or the amount by which the liability will increase or decrease over time, the related balances have not been reflected in the "Payments Due by Period" section of the table.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460"/>
          </w:cols>
          <w:pgMar w:left="220" w:top="141" w:right="219" w:bottom="1440" w:gutter="0" w:footer="0" w:header="0"/>
          <w:type w:val="continuous"/>
        </w:sectPr>
      </w:pPr>
    </w:p>
    <w:bookmarkStart w:id="33" w:name="page34"/>
    <w:bookmarkEnd w:id="3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Estimates</w:t>
      </w:r>
    </w:p>
    <w:p>
      <w:pPr>
        <w:spacing w:after="0" w:line="168"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Our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our consolidated financial statements are prepared. Because future events and their effects cannot be determined with certainty, actual results could differ from our assumptions and estimates, and such differences could be material.</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 xml:space="preserve">Our significant accounting policies are discussed in Note 1,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Supplementary Data </w:t>
      </w:r>
      <w:r>
        <w:rPr>
          <w:rFonts w:ascii="Arial" w:cs="Arial" w:eastAsia="Arial" w:hAnsi="Arial"/>
          <w:sz w:val="13"/>
          <w:szCs w:val="13"/>
          <w:color w:val="auto"/>
        </w:rPr>
        <w:t>, of this Annual Report on Form 10-K. We believe that the following accounting estimates are the most critical to aid in fully understanding and evaluating our reported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results. These estimates require our most difficult, subjective, or complex judgments because they relate to matters that are inherently uncertain. We have reviewed these critical accounting estimates and related disclosures with the Audit Committee of our Board of Directors.</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We have not made any material changes during the past three fiscal years, nor do we believe there is a reasonable likelihood of a material future change to the accounting methodologies for the areas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 and Indefinite-lived Intangible Assets</w:t>
      </w:r>
    </w:p>
    <w:p>
      <w:pPr>
        <w:spacing w:after="0" w:line="166" w:lineRule="exact"/>
        <w:rPr>
          <w:sz w:val="20"/>
          <w:szCs w:val="20"/>
          <w:color w:val="auto"/>
        </w:rPr>
      </w:pPr>
    </w:p>
    <w:p>
      <w:pPr>
        <w:ind w:right="240"/>
        <w:spacing w:after="0" w:line="251" w:lineRule="auto"/>
        <w:rPr>
          <w:sz w:val="20"/>
          <w:szCs w:val="20"/>
          <w:color w:val="auto"/>
        </w:rPr>
      </w:pPr>
      <w:r>
        <w:rPr>
          <w:rFonts w:ascii="Arial" w:cs="Arial" w:eastAsia="Arial" w:hAnsi="Arial"/>
          <w:sz w:val="13"/>
          <w:szCs w:val="13"/>
          <w:color w:val="auto"/>
        </w:rPr>
        <w:t>We test goodwill and indefinite-lived intangible assets (trade names) for impairment at least annually in the fourth quarter and more frequently if events or circumstances occur that would indicate a reduction in fair value. Our test of impairment begins by either performing a qualitative evaluation or a quantitative test:</w:t>
      </w:r>
    </w:p>
    <w:p>
      <w:pPr>
        <w:spacing w:after="0" w:line="140" w:lineRule="exact"/>
        <w:rPr>
          <w:sz w:val="20"/>
          <w:szCs w:val="20"/>
          <w:color w:val="auto"/>
        </w:rPr>
      </w:pPr>
    </w:p>
    <w:p>
      <w:pPr>
        <w:ind w:left="520" w:hanging="255"/>
        <w:spacing w:after="0" w:line="245" w:lineRule="auto"/>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Qualitative evaluation - Performed to determine whether it is more likely than not that the carrying value of goodwill or the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goodwill exceeds the fair value of goodwill, we perform the quantitative test to determine the amount of the impairment.</w:t>
      </w:r>
    </w:p>
    <w:p>
      <w:pPr>
        <w:spacing w:after="0" w:line="143" w:lineRule="exact"/>
        <w:rPr>
          <w:rFonts w:ascii="Arial" w:cs="Arial" w:eastAsia="Arial" w:hAnsi="Arial"/>
          <w:sz w:val="13"/>
          <w:szCs w:val="13"/>
          <w:color w:val="auto"/>
        </w:rPr>
      </w:pPr>
    </w:p>
    <w:p>
      <w:pPr>
        <w:ind w:left="520" w:right="260" w:hanging="255"/>
        <w:spacing w:after="0" w:line="244" w:lineRule="auto"/>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Quantitative test - Used to calculate the fair value of goodwill or the trade name. If the carrying value of goodwill or the trade name exceeds the fair value of the asset,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w:t>
      </w:r>
    </w:p>
    <w:p>
      <w:pPr>
        <w:spacing w:after="0" w:line="145" w:lineRule="exact"/>
        <w:rPr>
          <w:sz w:val="20"/>
          <w:szCs w:val="20"/>
          <w:color w:val="auto"/>
        </w:rPr>
      </w:pPr>
    </w:p>
    <w:p>
      <w:pPr>
        <w:jc w:val="both"/>
        <w:ind w:right="200"/>
        <w:spacing w:after="0" w:line="246" w:lineRule="auto"/>
        <w:rPr>
          <w:sz w:val="20"/>
          <w:szCs w:val="20"/>
          <w:color w:val="auto"/>
        </w:rPr>
      </w:pPr>
      <w:r>
        <w:rPr>
          <w:rFonts w:ascii="Arial" w:cs="Arial" w:eastAsia="Arial" w:hAnsi="Arial"/>
          <w:sz w:val="13"/>
          <w:szCs w:val="13"/>
          <w:color w:val="auto"/>
        </w:rPr>
        <w:t>Actual results may differ from assumed and estimated amounts. As of August 31, 2019, our goodwill balance includes $244.7 million related to our Towable segment and $30.2 million related to our Chris-Craft operating segment, and our indefinite-lived intangible asset balance is $177.3 million. The qualitative test was not performed in the current year. No impairments were recorded in Fiscal 2019, 2018, and 2017.</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Repurchase Commitments</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It is customary practice for manufacturers in our industries to enter into repurchase agreements with financing institutions that provide financing to their dealers. Our repurchase agreements generally provide that, in the event of a default by a dealer in its obligation to these lenders, we will repurchase units sold to the dealer that have not been resold to retail customers. The terms of these agreements, which can last up to 24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45"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Based on these repurchase agreements, we establish an associated loss reserve. Our loss reserve for repurchase commitments contains uncertainties because the calculation requires management to make assumptions and apply judgment regarding a number of factors. We base our reserve primarily on our historical loss experience rate per dollar of dealer inventory. The historical experience has been affected by a number of factors which are evaluated, such as macro-market conditions, current retail demand for our product, location of the dealer, and the financing source. The percentage of dealer inventory we estimate we will repurchase and the associated estimated loss is based on historical loss experience and current trends and economic conditions.</w:t>
      </w:r>
    </w:p>
    <w:p>
      <w:pPr>
        <w:spacing w:after="0" w:line="144"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Repurchase risk is affected by the credit worthiness of our dealer network and if we are obligated to repurchase a substantially larger number of units in the future, this would increase our costs and could have a material adverse effect on our results 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20"/>
          </w:cols>
          <w:pgMar w:left="220" w:top="141" w:right="25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operations, financial condition, and cash flows. A hypothetical change of a 10% increase or decrease in our repurchases commitments as of August 31, 2019 would have not have a material effect on our net income.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Warranty</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We provide certain service and warranty on our products. Estimated costs related to product warranty are accrued at the time of sale and are based upon past warranty claims and unit sales history.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Estimates are adjusted as needed to reflect actual costs incurred as information becomes available.</w:t>
      </w:r>
    </w:p>
    <w:p>
      <w:pPr>
        <w:spacing w:after="0" w:line="152" w:lineRule="exact"/>
        <w:rPr>
          <w:sz w:val="20"/>
          <w:szCs w:val="20"/>
          <w:color w:val="auto"/>
        </w:rPr>
      </w:pPr>
    </w:p>
    <w:p>
      <w:pPr>
        <w:ind w:right="380"/>
        <w:spacing w:after="0" w:line="246"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44" w:lineRule="exact"/>
        <w:rPr>
          <w:sz w:val="20"/>
          <w:szCs w:val="20"/>
          <w:color w:val="auto"/>
        </w:rPr>
      </w:pPr>
    </w:p>
    <w:p>
      <w:pPr>
        <w:ind w:right="60"/>
        <w:spacing w:after="0" w:line="292" w:lineRule="auto"/>
        <w:rPr>
          <w:sz w:val="20"/>
          <w:szCs w:val="20"/>
          <w:color w:val="auto"/>
        </w:rPr>
      </w:pPr>
      <w:r>
        <w:rPr>
          <w:rFonts w:ascii="Arial" w:cs="Arial" w:eastAsia="Arial" w:hAnsi="Arial"/>
          <w:sz w:val="12"/>
          <w:szCs w:val="12"/>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31, 2019 would have affected net income by approximately $3.7 million.</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 xml:space="preserve">We account for income taxes in accordance with Accounting Standards Codification ("ASC") 740, </w:t>
      </w:r>
      <w:r>
        <w:rPr>
          <w:rFonts w:ascii="Arial" w:cs="Arial" w:eastAsia="Arial" w:hAnsi="Arial"/>
          <w:sz w:val="13"/>
          <w:szCs w:val="13"/>
          <w:i w:val="1"/>
          <w:iCs w:val="1"/>
          <w:color w:val="auto"/>
        </w:rPr>
        <w:t>Income Taxes</w:t>
      </w:r>
      <w:r>
        <w:rPr>
          <w:rFonts w:ascii="Arial" w:cs="Arial" w:eastAsia="Arial" w:hAnsi="Arial"/>
          <w:sz w:val="13"/>
          <w:szCs w:val="13"/>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w:t>
      </w:r>
    </w:p>
    <w:p>
      <w:pPr>
        <w:spacing w:after="0" w:line="137" w:lineRule="exact"/>
        <w:rPr>
          <w:sz w:val="20"/>
          <w:szCs w:val="20"/>
          <w:color w:val="auto"/>
        </w:rPr>
      </w:pPr>
    </w:p>
    <w:p>
      <w:pPr>
        <w:ind w:right="160"/>
        <w:spacing w:after="0" w:line="246" w:lineRule="auto"/>
        <w:rPr>
          <w:sz w:val="20"/>
          <w:szCs w:val="20"/>
          <w:color w:val="auto"/>
        </w:rPr>
      </w:pPr>
      <w:r>
        <w:rPr>
          <w:rFonts w:ascii="Arial" w:cs="Arial" w:eastAsia="Arial" w:hAnsi="Arial"/>
          <w:sz w:val="13"/>
          <w:szCs w:val="13"/>
          <w:color w:val="auto"/>
        </w:rPr>
        <w:t>We will continue to assess the likelihood that our deferred tax assets are properly measured and will be realizable at each reporting period. Any adjustment to the deferred tax assets could materially impact our financial position and results of operations. As of August 31, 2019, we have determined that our deferred tax assets are properly measured and realizable and, therefore, no valuation allowance has been recorded.</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 xml:space="preserve">For a summary of new applicable accounting pronouncements, see Note 1,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Statements and Supplementary Data</w:t>
      </w:r>
      <w:r>
        <w:rPr>
          <w:rFonts w:ascii="Arial" w:cs="Arial" w:eastAsia="Arial" w:hAnsi="Arial"/>
          <w:sz w:val="13"/>
          <w:szCs w:val="13"/>
          <w:color w:val="auto"/>
        </w:rPr>
        <w:t>, of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risk</w:t>
      </w:r>
    </w:p>
    <w:p>
      <w:pPr>
        <w:spacing w:after="0" w:line="168"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We are exposed to market risks related to fluctuations in interest rates on the outstanding variable rate debt. As of August 31, 2019, we had $260.0 million outstanding under our Term Loan, subject to variable interest rates. This risk is partially mitigated through the use of an interest rate swap contract as detailed below.</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 xml:space="preserve">We entered into an interest swap contract on January 23, 2017, to effectively convert $200.0 million of the Term Loan balance to a fixed rate. The notional amount of the swap reduced to $170.0 million on December 8, 2017, to $120.0 million on December 8, 2018 and will reduce to $60.0 million on December 9, 2019. The swap contract expires on December 8, 2020. For our Term Loan in Fiscal 2019, a 1.0% increase in interest rates would have increased our interest expense by an estimated $1.4 million, and a 1.0% decrease in interest rates would have decreased our interest expense by an estimated $1.4 million. For additional information, see Note 9,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of the Notes to Consolidated Financial Statements,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of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For variable rate debt, interest rate changes generally do not affect the fair value of the debt instrument, but do impact future earnings and cash flows, assuming other factors are held constant.</w:t>
      </w:r>
    </w:p>
    <w:p>
      <w:pPr>
        <w:spacing w:after="0" w:line="152"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 xml:space="preserve">Derivative instruments are accounted for at fair value and have been designated for hedge accounting. The fair value of the interest rate swap is based on observable market data (Level 2) and was $0.1 million on August 31, 2019. The interest rate swap requires us to pay interest at a fixed rate of 1.82% through the December 8, 2020 expiration of the swap. A 1.0% increase in the interest rate would have changed the fair value of the swap as of August 31, 2019 by an estimated $0.8 million and a 1.0% decrease would have changed the fair value by an estimated $0.8 million. For additional information, see Note 4, Derivatives, Investments, and Fair Value Measurements, of the Notes to Consolidated Financial Statements, included in Item 8, </w:t>
      </w:r>
      <w:r>
        <w:rPr>
          <w:rFonts w:ascii="Arial" w:cs="Arial" w:eastAsia="Arial" w:hAnsi="Arial"/>
          <w:sz w:val="13"/>
          <w:szCs w:val="13"/>
          <w:i w:val="1"/>
          <w:iCs w:val="1"/>
          <w:color w:val="auto"/>
        </w:rPr>
        <w:t>Financial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40"/>
          </w:cols>
          <w:pgMar w:left="220" w:top="141" w:right="23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3"/>
          <w:szCs w:val="13"/>
          <w:i w:val="1"/>
          <w:iCs w:val="1"/>
          <w:color w:val="auto"/>
        </w:rPr>
        <w:t>Statements and Supplementary Data</w:t>
      </w:r>
      <w:r>
        <w:rPr>
          <w:rFonts w:ascii="Arial" w:cs="Arial" w:eastAsia="Arial" w:hAnsi="Arial"/>
          <w:sz w:val="13"/>
          <w:szCs w:val="13"/>
          <w:color w:val="auto"/>
        </w:rPr>
        <w:t>, of this Annual Report on Form 10-K. While these are our best estimates of the impact of the specified interest rate scenario, actual results could differ from those</w:t>
      </w:r>
      <w:r>
        <w:rPr>
          <w:rFonts w:ascii="Arial" w:cs="Arial" w:eastAsia="Arial" w:hAnsi="Arial"/>
          <w:sz w:val="13"/>
          <w:szCs w:val="13"/>
          <w:i w:val="1"/>
          <w:iCs w:val="1"/>
          <w:color w:val="auto"/>
        </w:rPr>
        <w:t xml:space="preserve"> </w:t>
      </w:r>
      <w:r>
        <w:rPr>
          <w:rFonts w:ascii="Arial" w:cs="Arial" w:eastAsia="Arial" w:hAnsi="Arial"/>
          <w:sz w:val="13"/>
          <w:szCs w:val="13"/>
          <w:color w:val="auto"/>
        </w:rPr>
        <w:t>projected. The sensitivity analysis presented assumes interest rate changes are instantaneous, parallel shifts in the yield curve. In reality, interest rate changes of this magnitude are rarely instantaneous or parallel.</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360"/>
          </w:cols>
          <w:pgMar w:left="220" w:top="141" w:right="31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47"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The Company's internal control over financial reporting is supported by written policies and procedures that:</w:t>
      </w:r>
    </w:p>
    <w:p>
      <w:pPr>
        <w:spacing w:after="0" w:line="131" w:lineRule="exact"/>
        <w:rPr>
          <w:sz w:val="20"/>
          <w:szCs w:val="20"/>
          <w:color w:val="auto"/>
        </w:rPr>
      </w:pPr>
    </w:p>
    <w:p>
      <w:pPr>
        <w:ind w:left="520" w:hanging="255"/>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Company's assets;</w:t>
      </w:r>
    </w:p>
    <w:p>
      <w:pPr>
        <w:spacing w:after="0" w:line="130" w:lineRule="exact"/>
        <w:rPr>
          <w:rFonts w:ascii="Arial" w:cs="Arial" w:eastAsia="Arial" w:hAnsi="Arial"/>
          <w:sz w:val="13"/>
          <w:szCs w:val="13"/>
          <w:color w:val="auto"/>
        </w:rPr>
      </w:pPr>
    </w:p>
    <w:p>
      <w:pPr>
        <w:ind w:left="520" w:right="120" w:hanging="255"/>
        <w:spacing w:after="0" w:line="251" w:lineRule="auto"/>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18" w:lineRule="exact"/>
        <w:rPr>
          <w:rFonts w:ascii="Arial" w:cs="Arial" w:eastAsia="Arial" w:hAnsi="Arial"/>
          <w:sz w:val="13"/>
          <w:szCs w:val="13"/>
          <w:color w:val="auto"/>
        </w:rPr>
      </w:pPr>
    </w:p>
    <w:p>
      <w:pPr>
        <w:ind w:left="520" w:right="20" w:hanging="255"/>
        <w:spacing w:after="0" w:line="251" w:lineRule="auto"/>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180"/>
        <w:spacing w:after="0" w:line="292" w:lineRule="auto"/>
        <w:rPr>
          <w:sz w:val="20"/>
          <w:szCs w:val="20"/>
          <w:color w:val="auto"/>
        </w:rPr>
      </w:pPr>
      <w:r>
        <w:rPr>
          <w:rFonts w:ascii="Arial" w:cs="Arial" w:eastAsia="Arial" w:hAnsi="Arial"/>
          <w:sz w:val="12"/>
          <w:szCs w:val="12"/>
          <w:color w:val="auto"/>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 independent registered public accounting firm.</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jc w:val="both"/>
        <w:ind w:right="100"/>
        <w:spacing w:after="0" w:line="245" w:lineRule="auto"/>
        <w:rPr>
          <w:sz w:val="20"/>
          <w:szCs w:val="20"/>
          <w:color w:val="auto"/>
        </w:rPr>
      </w:pPr>
      <w:r>
        <w:rPr>
          <w:rFonts w:ascii="Arial" w:cs="Arial" w:eastAsia="Arial" w:hAnsi="Arial"/>
          <w:sz w:val="13"/>
          <w:szCs w:val="13"/>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Based on its assessment, management has concluded that the Company's internal control over financial reporting was effective as of August 31, 2019.</w:t>
      </w:r>
    </w:p>
    <w:p>
      <w:pPr>
        <w:spacing w:after="0" w:line="131" w:lineRule="exact"/>
        <w:rPr>
          <w:sz w:val="20"/>
          <w:szCs w:val="20"/>
          <w:color w:val="auto"/>
        </w:rPr>
      </w:pPr>
    </w:p>
    <w:p>
      <w:pPr>
        <w:ind w:right="240"/>
        <w:spacing w:after="0" w:line="251" w:lineRule="auto"/>
        <w:rPr>
          <w:sz w:val="20"/>
          <w:szCs w:val="20"/>
          <w:color w:val="auto"/>
        </w:rPr>
      </w:pPr>
      <w:r>
        <w:rPr>
          <w:rFonts w:ascii="Arial" w:cs="Arial" w:eastAsia="Arial" w:hAnsi="Arial"/>
          <w:sz w:val="13"/>
          <w:szCs w:val="13"/>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c>
          <w:tcPr>
            <w:tcW w:w="1480" w:type="dxa"/>
            <w:vAlign w:val="bottom"/>
          </w:tcPr>
          <w:p>
            <w:pPr>
              <w:spacing w:after="0"/>
              <w:rPr>
                <w:sz w:val="15"/>
                <w:szCs w:val="15"/>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/s/ Bryan L. Hughes</w:t>
            </w:r>
          </w:p>
        </w:tc>
      </w:tr>
      <w:tr>
        <w:trPr>
          <w:trHeight w:val="188"/>
        </w:trPr>
        <w:tc>
          <w:tcPr>
            <w:tcW w:w="4940" w:type="dxa"/>
            <w:vAlign w:val="bottom"/>
          </w:tcPr>
          <w:p>
            <w:pPr>
              <w:ind w:left="20"/>
              <w:spacing w:after="0"/>
              <w:rPr>
                <w:sz w:val="20"/>
                <w:szCs w:val="20"/>
                <w:color w:val="auto"/>
              </w:rPr>
            </w:pPr>
            <w:r>
              <w:rPr>
                <w:rFonts w:ascii="Arial" w:cs="Arial" w:eastAsia="Arial" w:hAnsi="Arial"/>
                <w:sz w:val="13"/>
                <w:szCs w:val="13"/>
                <w:color w:val="auto"/>
              </w:rPr>
              <w:t>Michael J. Happe</w:t>
            </w:r>
          </w:p>
        </w:tc>
        <w:tc>
          <w:tcPr>
            <w:tcW w:w="148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3"/>
                <w:szCs w:val="13"/>
                <w:color w:val="auto"/>
              </w:rPr>
              <w:t>Bryan L. Hughes</w:t>
            </w:r>
          </w:p>
        </w:tc>
      </w:tr>
      <w:tr>
        <w:trPr>
          <w:trHeight w:val="194"/>
        </w:trPr>
        <w:tc>
          <w:tcPr>
            <w:tcW w:w="4940" w:type="dxa"/>
            <w:vAlign w:val="bottom"/>
          </w:tcPr>
          <w:p>
            <w:pPr>
              <w:ind w:left="20"/>
              <w:spacing w:after="0"/>
              <w:rPr>
                <w:sz w:val="20"/>
                <w:szCs w:val="20"/>
                <w:color w:val="auto"/>
              </w:rPr>
            </w:pPr>
            <w:r>
              <w:rPr>
                <w:rFonts w:ascii="Arial" w:cs="Arial" w:eastAsia="Arial" w:hAnsi="Arial"/>
                <w:sz w:val="13"/>
                <w:szCs w:val="13"/>
                <w:color w:val="auto"/>
              </w:rPr>
              <w:t>President, Chief Executive Officer</w:t>
            </w:r>
          </w:p>
        </w:tc>
        <w:tc>
          <w:tcPr>
            <w:tcW w:w="148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Arial" w:cs="Arial" w:eastAsia="Arial" w:hAnsi="Arial"/>
                <w:sz w:val="13"/>
                <w:szCs w:val="13"/>
                <w:color w:val="auto"/>
              </w:rPr>
              <w:t>Vice President, Chief Financial Officer</w:t>
            </w:r>
          </w:p>
        </w:tc>
      </w:tr>
      <w:tr>
        <w:trPr>
          <w:trHeight w:val="453"/>
        </w:trPr>
        <w:tc>
          <w:tcPr>
            <w:tcW w:w="4940" w:type="dxa"/>
            <w:vAlign w:val="bottom"/>
          </w:tcPr>
          <w:p>
            <w:pPr>
              <w:ind w:left="20"/>
              <w:spacing w:after="0"/>
              <w:rPr>
                <w:sz w:val="20"/>
                <w:szCs w:val="20"/>
                <w:color w:val="auto"/>
              </w:rPr>
            </w:pPr>
            <w:r>
              <w:rPr>
                <w:rFonts w:ascii="Arial" w:cs="Arial" w:eastAsia="Arial" w:hAnsi="Arial"/>
                <w:sz w:val="13"/>
                <w:szCs w:val="13"/>
                <w:color w:val="auto"/>
              </w:rPr>
              <w:t>October 23, 2019</w:t>
            </w:r>
          </w:p>
        </w:tc>
        <w:tc>
          <w:tcPr>
            <w:tcW w:w="148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3"/>
                <w:szCs w:val="13"/>
                <w:color w:val="auto"/>
              </w:rPr>
              <w:t>October 23, 2019</w:t>
            </w:r>
          </w:p>
        </w:tc>
      </w:tr>
      <w:tr>
        <w:trPr>
          <w:trHeight w:val="517"/>
        </w:trPr>
        <w:tc>
          <w:tcPr>
            <w:tcW w:w="4940" w:type="dxa"/>
            <w:vAlign w:val="bottom"/>
          </w:tcPr>
          <w:p>
            <w:pPr>
              <w:spacing w:after="0"/>
              <w:rPr>
                <w:sz w:val="24"/>
                <w:szCs w:val="24"/>
                <w:color w:val="auto"/>
              </w:rPr>
            </w:pPr>
          </w:p>
        </w:tc>
        <w:tc>
          <w:tcPr>
            <w:tcW w:w="1480" w:type="dxa"/>
            <w:vAlign w:val="bottom"/>
          </w:tcPr>
          <w:p>
            <w:pPr>
              <w:jc w:val="right"/>
              <w:ind w:right="555"/>
              <w:spacing w:after="0"/>
              <w:rPr>
                <w:sz w:val="20"/>
                <w:szCs w:val="20"/>
                <w:color w:val="auto"/>
              </w:rPr>
            </w:pPr>
            <w:r>
              <w:rPr>
                <w:rFonts w:ascii="Arial" w:cs="Arial" w:eastAsia="Arial" w:hAnsi="Arial"/>
                <w:sz w:val="13"/>
                <w:szCs w:val="13"/>
                <w:color w:val="auto"/>
              </w:rPr>
              <w:t>37</w:t>
            </w:r>
          </w:p>
        </w:tc>
        <w:tc>
          <w:tcPr>
            <w:tcW w:w="5040" w:type="dxa"/>
            <w:vAlign w:val="bottom"/>
          </w:tcPr>
          <w:p>
            <w:pPr>
              <w:spacing w:after="0"/>
              <w:rPr>
                <w:sz w:val="24"/>
                <w:szCs w:val="24"/>
                <w:color w:val="auto"/>
              </w:rPr>
            </w:pPr>
          </w:p>
        </w:tc>
      </w:tr>
    </w:tbl>
    <w:p>
      <w:pPr>
        <w:sectPr>
          <w:pgSz w:w="11900" w:h="16838" w:orient="portrait"/>
          <w:cols w:equalWidth="0" w:num="1">
            <w:col w:w="11460"/>
          </w:cols>
          <w:pgMar w:left="220" w:top="141" w:right="21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Winnebago Industries, Inc.</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276"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We have audited the accompanying consolidated balance sheets of Winnebago Industries, Inc. and subsidiaries (the "Company") as of August 31, 2019 and August 25, 2018, the related consolidated statements of income and comprehensive income, changes in stockholders' equity, and cash flows, for each of the three years in the period ended August 31, 2019, and the related notes (collectively referred to as the "financial statements"). In our opinion, the financial statements present fairly, in all material respects, the financial position of the Company as of August 31, 2019 and August 25, 2018, and the results of its operations and its cash flows for each of the three years in the period ended August 31, 2019, in conformity with accounting principles generally accepted in the United States of America.</w:t>
      </w:r>
    </w:p>
    <w:p>
      <w:pPr>
        <w:spacing w:after="0" w:line="253" w:lineRule="exact"/>
        <w:rPr>
          <w:sz w:val="20"/>
          <w:szCs w:val="20"/>
          <w:color w:val="auto"/>
        </w:rPr>
      </w:pPr>
    </w:p>
    <w:p>
      <w:pPr>
        <w:jc w:val="both"/>
        <w:ind w:right="260"/>
        <w:spacing w:after="0" w:line="246" w:lineRule="auto"/>
        <w:rPr>
          <w:sz w:val="20"/>
          <w:szCs w:val="20"/>
          <w:color w:val="auto"/>
        </w:rPr>
      </w:pPr>
      <w:r>
        <w:rPr>
          <w:rFonts w:ascii="Arial" w:cs="Arial" w:eastAsia="Arial" w:hAnsi="Arial"/>
          <w:sz w:val="13"/>
          <w:szCs w:val="13"/>
          <w:color w:val="auto"/>
        </w:rPr>
        <w:t xml:space="preserve">We have also audited, in accordance with the standards of the Public Company Accounting Oversight Board (United States) (PCAOB), the Company's internal control over financial reporting as of August 31, 2019,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and our report dated October 23, 2019, expressed an unqualified opinion on the Company's internal control over financial reporting.</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7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2"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Audit Matter</w:t>
      </w:r>
    </w:p>
    <w:p>
      <w:pPr>
        <w:spacing w:after="0" w:line="276"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Product Warranties - Grand Design - Refer to Note 8 to the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Critical Audit Matter Description</w:t>
      </w:r>
    </w:p>
    <w:p>
      <w:pPr>
        <w:spacing w:after="0" w:line="274" w:lineRule="exact"/>
        <w:rPr>
          <w:sz w:val="20"/>
          <w:szCs w:val="20"/>
          <w:color w:val="auto"/>
        </w:rPr>
      </w:pPr>
    </w:p>
    <w:p>
      <w:pPr>
        <w:ind w:right="220"/>
        <w:spacing w:after="0" w:line="246" w:lineRule="auto"/>
        <w:rPr>
          <w:sz w:val="20"/>
          <w:szCs w:val="20"/>
          <w:color w:val="auto"/>
        </w:rPr>
      </w:pPr>
      <w:r>
        <w:rPr>
          <w:rFonts w:ascii="Arial" w:cs="Arial" w:eastAsia="Arial" w:hAnsi="Arial"/>
          <w:sz w:val="13"/>
          <w:szCs w:val="13"/>
          <w:color w:val="auto"/>
        </w:rPr>
        <w:t>The Company provides certain service and warranty on its products. Estimated costs related to product warranty are accrued at the time of sale based upon historical warranty claims and unit sales history. Estimates are adjusted as needed to reflect actual costs incurred as information becomes available. Grand Design RV, LLC (“Grand Design”) was founded in 2013 and acquired by the Company in November 2016 and makes up the majority of the Company’s $44.4 million product warranty accrual as of August 31, 2019.</w:t>
      </w:r>
    </w:p>
    <w:p>
      <w:pPr>
        <w:spacing w:after="0" w:line="252" w:lineRule="exact"/>
        <w:rPr>
          <w:sz w:val="20"/>
          <w:szCs w:val="20"/>
          <w:color w:val="auto"/>
        </w:rPr>
      </w:pPr>
    </w:p>
    <w:p>
      <w:pPr>
        <w:jc w:val="both"/>
        <w:ind w:right="40"/>
        <w:spacing w:after="0" w:line="245" w:lineRule="auto"/>
        <w:rPr>
          <w:sz w:val="20"/>
          <w:szCs w:val="20"/>
          <w:color w:val="auto"/>
        </w:rPr>
      </w:pPr>
      <w:r>
        <w:rPr>
          <w:rFonts w:ascii="Arial" w:cs="Arial" w:eastAsia="Arial" w:hAnsi="Arial"/>
          <w:sz w:val="13"/>
          <w:szCs w:val="13"/>
          <w:color w:val="auto"/>
        </w:rPr>
        <w:t>We identified the product warranty accrual for Grand Design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paid, specifically due to Grand Design’s significant growth since inception and a relatively short history of warranty claims paid from which to develop product warranty estimates.</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How the Critical Audit Matter Was Addressed in the Audit</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Our procedures related to the auditing of the product warranty accrual for Grand Design included the following, among others:</w:t>
      </w:r>
    </w:p>
    <w:p>
      <w:pPr>
        <w:spacing w:after="0" w:line="131" w:lineRule="exact"/>
        <w:rPr>
          <w:sz w:val="20"/>
          <w:szCs w:val="20"/>
          <w:color w:val="auto"/>
        </w:rPr>
      </w:pPr>
    </w:p>
    <w:p>
      <w:pPr>
        <w:ind w:left="520" w:right="120" w:hanging="255"/>
        <w:spacing w:after="0" w:line="242"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evaluated the operating effectiveness of controls over management’s estimation of the product warranty accrual, including those over historical product warranty claim data and projected future product warranty claims.</w:t>
      </w:r>
    </w:p>
    <w:p>
      <w:pPr>
        <w:ind w:left="520" w:hanging="255"/>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evaluated the accuracy and relevance of the historical product warranty claims as an input to management’s product warranty accrual calculation.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60"/>
          </w:cols>
          <w:pgMar w:left="220" w:top="141" w:right="21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left="520" w:right="100" w:hanging="255"/>
        <w:spacing w:after="0" w:line="242" w:lineRule="auto"/>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evaluated the completeness of the accrual estimate through inquiries of operational and executive management regarding knowledge of known product warranty claims or product issues and evaluated whether they were appropriately considered in the determination of the product warranty accrual.</w:t>
      </w:r>
    </w:p>
    <w:p>
      <w:pPr>
        <w:ind w:left="520" w:right="340" w:hanging="255"/>
        <w:spacing w:after="0" w:line="242" w:lineRule="auto"/>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evaluated management’s ability to accurately estimate the warranty accrual by comparing the product warranty accrual in prior years to the actual product warranty claims paid in the subsequent years.</w:t>
      </w:r>
    </w:p>
    <w:p>
      <w:pPr>
        <w:ind w:left="520" w:hanging="255"/>
        <w:spacing w:after="0" w:line="251" w:lineRule="auto"/>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assessed management’s methodology and tested the valuation of the product warranty accrual by developing an expectation for the accrual based on the historical amounts recorded as a percentage of sales and compared our expectation to the amount recorded by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October 23,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1986.</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440"/>
          </w:cols>
          <w:pgMar w:left="220" w:top="141" w:right="23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Winnebago Industries, Inc.</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262" w:lineRule="exact"/>
        <w:rPr>
          <w:sz w:val="20"/>
          <w:szCs w:val="20"/>
          <w:color w:val="auto"/>
        </w:rPr>
      </w:pPr>
    </w:p>
    <w:p>
      <w:pPr>
        <w:jc w:val="both"/>
        <w:ind w:right="140"/>
        <w:spacing w:after="0" w:line="257" w:lineRule="auto"/>
        <w:rPr>
          <w:sz w:val="20"/>
          <w:szCs w:val="20"/>
          <w:color w:val="auto"/>
        </w:rPr>
      </w:pPr>
      <w:r>
        <w:rPr>
          <w:rFonts w:ascii="Arial" w:cs="Arial" w:eastAsia="Arial" w:hAnsi="Arial"/>
          <w:sz w:val="13"/>
          <w:szCs w:val="13"/>
          <w:color w:val="auto"/>
        </w:rPr>
        <w:t xml:space="preserve">We have audited the internal control over financial reporting of Winnebago Industries, Inc. and subsidiaries (the “Company”) as of August 31, 2019, based on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(2013) </w:t>
      </w:r>
      <w:r>
        <w:rPr>
          <w:rFonts w:ascii="Arial" w:cs="Arial" w:eastAsia="Arial" w:hAnsi="Arial"/>
          <w:sz w:val="13"/>
          <w:szCs w:val="13"/>
          <w:color w:val="auto"/>
        </w:rPr>
        <w:t>issued by the Committee of Sponsoring Organizations of the Treadway Commission (COSO). In our opinion, the Company maintained, in all material respects,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internal control over financial reporting as of August 31, 2019,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COSO.</w:t>
      </w:r>
    </w:p>
    <w:p>
      <w:pPr>
        <w:spacing w:after="0" w:line="245" w:lineRule="exact"/>
        <w:rPr>
          <w:sz w:val="20"/>
          <w:szCs w:val="20"/>
          <w:color w:val="auto"/>
        </w:rPr>
      </w:pPr>
    </w:p>
    <w:p>
      <w:pPr>
        <w:ind w:right="320"/>
        <w:spacing w:after="0" w:line="251"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consolidated financial statements as of and for the year ended August 31, 2019, of the Company and our report dated October 23, 2019, expressed an unqualified opinion on those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76"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276"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56"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October 23, 2019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40"/>
          </w:cols>
          <w:pgMar w:left="220" w:top="14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32"/>
        </w:trPr>
        <w:tc>
          <w:tcPr>
            <w:tcW w:w="608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3"/>
        </w:trPr>
        <w:tc>
          <w:tcPr>
            <w:tcW w:w="608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Income and Comprehensive Income</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9"/>
        </w:trPr>
        <w:tc>
          <w:tcPr>
            <w:tcW w:w="6080" w:type="dxa"/>
            <w:vAlign w:val="bottom"/>
            <w:gridSpan w:val="2"/>
          </w:tcPr>
          <w:p>
            <w:pPr>
              <w:spacing w:after="0"/>
              <w:rPr>
                <w:sz w:val="20"/>
                <w:szCs w:val="20"/>
                <w:color w:val="auto"/>
              </w:rPr>
            </w:pPr>
            <w:r>
              <w:rPr>
                <w:rFonts w:ascii="Arial" w:cs="Arial" w:eastAsia="Arial" w:hAnsi="Arial"/>
                <w:sz w:val="13"/>
                <w:szCs w:val="13"/>
                <w:i w:val="1"/>
                <w:iCs w:val="1"/>
                <w:color w:val="auto"/>
              </w:rPr>
              <w:t>$ in thousands, except per share data</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10"/>
        </w:trPr>
        <w:tc>
          <w:tcPr>
            <w:tcW w:w="6080" w:type="dxa"/>
            <w:vAlign w:val="bottom"/>
            <w:gridSpan w:val="2"/>
          </w:tcPr>
          <w:p>
            <w:pPr>
              <w:ind w:left="20"/>
              <w:spacing w:after="0"/>
              <w:rPr>
                <w:sz w:val="20"/>
                <w:szCs w:val="20"/>
                <w:color w:val="auto"/>
              </w:rPr>
            </w:pPr>
            <w:r>
              <w:rPr>
                <w:rFonts w:ascii="Arial" w:cs="Arial" w:eastAsia="Arial" w:hAnsi="Arial"/>
                <w:sz w:val="13"/>
                <w:szCs w:val="13"/>
                <w:b w:val="1"/>
                <w:bCs w:val="1"/>
                <w:color w:val="auto"/>
              </w:rPr>
              <w:t>Fiscal Years Ended</w:t>
            </w:r>
          </w:p>
        </w:tc>
        <w:tc>
          <w:tcPr>
            <w:tcW w:w="240" w:type="dxa"/>
            <w:vAlign w:val="bottom"/>
          </w:tcPr>
          <w:p>
            <w:pPr>
              <w:spacing w:after="0"/>
              <w:rPr>
                <w:sz w:val="24"/>
                <w:szCs w:val="24"/>
                <w:color w:val="auto"/>
              </w:rPr>
            </w:pP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2019</w:t>
            </w:r>
          </w:p>
        </w:tc>
        <w:tc>
          <w:tcPr>
            <w:tcW w:w="22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25, 2018</w:t>
            </w:r>
          </w:p>
        </w:tc>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26, 2017</w:t>
            </w:r>
          </w:p>
        </w:tc>
      </w:tr>
      <w:tr>
        <w:trPr>
          <w:trHeight w:val="196"/>
        </w:trPr>
        <w:tc>
          <w:tcPr>
            <w:tcW w:w="60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1,985,674</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2,016,829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1,547,119</w:t>
            </w: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Cost of goods sold</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1,678,477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1,716,993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1,324,542</w:t>
            </w:r>
          </w:p>
        </w:tc>
      </w:tr>
      <w:tr>
        <w:trPr>
          <w:trHeight w:val="196"/>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307,197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299,836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222,577</w:t>
            </w:r>
          </w:p>
        </w:tc>
      </w:tr>
      <w:tr>
        <w:trPr>
          <w:trHeight w:val="20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142,295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130,116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97,607</w:t>
            </w: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Postretirement health care benefit income</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(24,796)</w:t>
            </w: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9,635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24,660</w:t>
            </w:r>
          </w:p>
        </w:tc>
      </w:tr>
      <w:tr>
        <w:trPr>
          <w:trHeight w:val="196"/>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151,930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139,444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97,471</w:t>
            </w:r>
          </w:p>
        </w:tc>
      </w:tr>
      <w:tr>
        <w:trPr>
          <w:trHeight w:val="20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155,267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160,392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125,106</w:t>
            </w: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17,939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18,246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16,837</w:t>
            </w: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(1,581)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r>
      <w:tr>
        <w:trPr>
          <w:trHeight w:val="196"/>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Income before income taxes</w:t>
            </w:r>
          </w:p>
        </w:tc>
        <w:tc>
          <w:tcPr>
            <w:tcW w:w="240" w:type="dxa"/>
            <w:vAlign w:val="bottom"/>
          </w:tcPr>
          <w:p>
            <w:pPr>
              <w:spacing w:after="0"/>
              <w:rPr>
                <w:sz w:val="17"/>
                <w:szCs w:val="17"/>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138,909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142,640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108,599</w:t>
            </w: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27,111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40,283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37,269</w:t>
            </w:r>
          </w:p>
        </w:tc>
      </w:tr>
      <w:tr>
        <w:trPr>
          <w:trHeight w:val="230"/>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111,798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102,357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71,330</w:t>
            </w:r>
          </w:p>
        </w:tc>
      </w:tr>
      <w:tr>
        <w:trPr>
          <w:trHeight w:val="212"/>
        </w:trPr>
        <w:tc>
          <w:tcPr>
            <w:tcW w:w="10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Income per common share:</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2.33</w:t>
            </w:r>
          </w:p>
        </w:tc>
      </w:tr>
      <w:tr>
        <w:trPr>
          <w:trHeight w:val="20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Diluted</w:t>
            </w: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2.32</w:t>
            </w:r>
          </w:p>
        </w:tc>
      </w:tr>
      <w:tr>
        <w:trPr>
          <w:trHeight w:val="245"/>
        </w:trPr>
        <w:tc>
          <w:tcPr>
            <w:tcW w:w="102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30,648</w:t>
            </w:r>
          </w:p>
        </w:tc>
      </w:tr>
      <w:tr>
        <w:trPr>
          <w:trHeight w:val="20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Diluted</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31,721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31,814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30,766</w:t>
            </w:r>
          </w:p>
        </w:tc>
      </w:tr>
      <w:tr>
        <w:trPr>
          <w:trHeight w:val="245"/>
        </w:trPr>
        <w:tc>
          <w:tcPr>
            <w:tcW w:w="102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111,798</w:t>
            </w:r>
          </w:p>
        </w:tc>
        <w:tc>
          <w:tcPr>
            <w:tcW w:w="1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102,357</w:t>
            </w:r>
          </w:p>
        </w:tc>
        <w:tc>
          <w:tcPr>
            <w:tcW w:w="1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71,330</w:t>
            </w: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Amortization of prior service credit (net of tax of $0, $0, and $15,409)</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(25,035)</w:t>
            </w:r>
          </w:p>
        </w:tc>
      </w:tr>
      <w:tr>
        <w:trPr>
          <w:trHeight w:val="22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Amortization of net actuarial loss (net of tax of $10, $11, and $5,976)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9,705</w:t>
            </w:r>
          </w:p>
        </w:tc>
      </w:tr>
      <w:tr>
        <w:trPr>
          <w:trHeight w:val="20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Increase in actuarial loss (net of tax of $0, $0, and $35)</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2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Plan amendment (net of tax of $0, $0, and $2,402)</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3,903</w:t>
            </w:r>
          </w:p>
        </w:tc>
      </w:tr>
      <w:tr>
        <w:trPr>
          <w:trHeight w:val="208"/>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Change in fair value of interest rate swap (net of tax of $454, $840, and $314)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(1,415)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w:t>
            </w:r>
          </w:p>
        </w:tc>
      </w:tr>
      <w:tr>
        <w:trPr>
          <w:trHeight w:val="196"/>
        </w:trPr>
        <w:tc>
          <w:tcPr>
            <w:tcW w:w="60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Total other comprehensive income (loss)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(1,383)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1,974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(11,998)</w:t>
            </w:r>
          </w:p>
        </w:tc>
      </w:tr>
      <w:tr>
        <w:trPr>
          <w:trHeight w:val="190"/>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Comprehensive income</w:t>
            </w: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110,415</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104,331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59,332</w:t>
            </w:r>
          </w:p>
        </w:tc>
      </w:tr>
      <w:tr>
        <w:trPr>
          <w:trHeight w:val="20"/>
        </w:trPr>
        <w:tc>
          <w:tcPr>
            <w:tcW w:w="10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460"/>
          </w:cols>
          <w:pgMar w:left="220" w:top="119"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32"/>
        </w:trPr>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3"/>
        </w:trPr>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Consolidated Balance Sheets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9"/>
        </w:trPr>
        <w:tc>
          <w:tcPr>
            <w:tcW w:w="7920" w:type="dxa"/>
            <w:vAlign w:val="bottom"/>
            <w:gridSpan w:val="2"/>
          </w:tcPr>
          <w:p>
            <w:pPr>
              <w:spacing w:after="0"/>
              <w:rPr>
                <w:sz w:val="20"/>
                <w:szCs w:val="20"/>
                <w:color w:val="auto"/>
              </w:rPr>
            </w:pPr>
            <w:r>
              <w:rPr>
                <w:rFonts w:ascii="Arial" w:cs="Arial" w:eastAsia="Arial" w:hAnsi="Arial"/>
                <w:sz w:val="13"/>
                <w:szCs w:val="13"/>
                <w:i w:val="1"/>
                <w:iCs w:val="1"/>
                <w:color w:val="auto"/>
              </w:rPr>
              <w:t>$ and shares in thousands, except per share data</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10"/>
        </w:trPr>
        <w:tc>
          <w:tcPr>
            <w:tcW w:w="10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2019</w:t>
            </w:r>
          </w:p>
        </w:tc>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25, 2018</w:t>
            </w:r>
          </w:p>
        </w:tc>
      </w:tr>
      <w:tr>
        <w:trPr>
          <w:trHeight w:val="214"/>
        </w:trPr>
        <w:tc>
          <w:tcPr>
            <w:tcW w:w="7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37,431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2,342</w:t>
            </w: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Receivables, less allowance for doubtful accounts ($160 and $197, respectively)</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158,049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164,585</w:t>
            </w: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201,126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195,128</w:t>
            </w:r>
          </w:p>
        </w:tc>
      </w:tr>
      <w:tr>
        <w:trPr>
          <w:trHeight w:val="208"/>
        </w:trPr>
        <w:tc>
          <w:tcPr>
            <w:tcW w:w="7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14,051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9,883</w:t>
            </w:r>
          </w:p>
        </w:tc>
      </w:tr>
      <w:tr>
        <w:trPr>
          <w:trHeight w:val="196"/>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410,657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371,938</w:t>
            </w:r>
          </w:p>
        </w:tc>
      </w:tr>
      <w:tr>
        <w:trPr>
          <w:trHeight w:val="196"/>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7"/>
                <w:szCs w:val="17"/>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127,572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101,193</w:t>
            </w:r>
          </w:p>
        </w:tc>
      </w:tr>
      <w:tr>
        <w:trPr>
          <w:trHeight w:val="223"/>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274,931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274,370</w:t>
            </w: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intangible assets, net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256,082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265,717</w:t>
            </w: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Investment in life insurance</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26,846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28,297</w:t>
            </w:r>
          </w:p>
        </w:tc>
      </w:tr>
      <w:tr>
        <w:trPr>
          <w:trHeight w:val="216"/>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8,143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10,290</w:t>
            </w:r>
          </w:p>
        </w:tc>
      </w:tr>
      <w:tr>
        <w:trPr>
          <w:trHeight w:val="230"/>
        </w:trPr>
        <w:tc>
          <w:tcPr>
            <w:tcW w:w="79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assets</w:t>
            </w: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1,104,231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1,051,805</w:t>
            </w:r>
          </w:p>
        </w:tc>
      </w:tr>
      <w:tr>
        <w:trPr>
          <w:trHeight w:val="201"/>
        </w:trPr>
        <w:tc>
          <w:tcPr>
            <w:tcW w:w="102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81,635</w:t>
            </w:r>
          </w:p>
        </w:tc>
        <w:tc>
          <w:tcPr>
            <w:tcW w:w="1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81,039</w:t>
            </w: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taxes payable</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15,655</w:t>
            </w: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Accrued expenses: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Accrued compensation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29,350</w:t>
            </w:r>
          </w:p>
        </w:tc>
      </w:tr>
      <w:tr>
        <w:trPr>
          <w:trHeight w:val="208"/>
        </w:trPr>
        <w:tc>
          <w:tcPr>
            <w:tcW w:w="7920" w:type="dxa"/>
            <w:vAlign w:val="bottom"/>
            <w:gridSpan w:val="2"/>
          </w:tcPr>
          <w:p>
            <w:pPr>
              <w:ind w:left="220"/>
              <w:spacing w:after="0"/>
              <w:rPr>
                <w:sz w:val="20"/>
                <w:szCs w:val="20"/>
                <w:color w:val="auto"/>
              </w:rPr>
            </w:pPr>
            <w:r>
              <w:rPr>
                <w:rFonts w:ascii="Arial" w:cs="Arial" w:eastAsia="Arial" w:hAnsi="Arial"/>
                <w:sz w:val="13"/>
                <w:szCs w:val="13"/>
                <w:color w:val="auto"/>
              </w:rPr>
              <w:t>Product warranties</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44,436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40,498</w:t>
            </w:r>
          </w:p>
        </w:tc>
      </w:tr>
      <w:tr>
        <w:trPr>
          <w:trHeight w:val="223"/>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Self-insurance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12,262</w:t>
            </w:r>
          </w:p>
        </w:tc>
      </w:tr>
      <w:tr>
        <w:trPr>
          <w:trHeight w:val="208"/>
        </w:trPr>
        <w:tc>
          <w:tcPr>
            <w:tcW w:w="7920" w:type="dxa"/>
            <w:vAlign w:val="bottom"/>
            <w:gridSpan w:val="2"/>
          </w:tcPr>
          <w:p>
            <w:pPr>
              <w:ind w:left="220"/>
              <w:spacing w:after="0"/>
              <w:rPr>
                <w:sz w:val="20"/>
                <w:szCs w:val="20"/>
                <w:color w:val="auto"/>
              </w:rPr>
            </w:pPr>
            <w:r>
              <w:rPr>
                <w:rFonts w:ascii="Arial" w:cs="Arial" w:eastAsia="Arial" w:hAnsi="Arial"/>
                <w:sz w:val="13"/>
                <w:szCs w:val="13"/>
                <w:color w:val="auto"/>
              </w:rPr>
              <w:t>Promotional</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10,896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11,017</w:t>
            </w:r>
          </w:p>
        </w:tc>
      </w:tr>
      <w:tr>
        <w:trPr>
          <w:trHeight w:val="223"/>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Accrued interest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3,095</w:t>
            </w:r>
          </w:p>
        </w:tc>
      </w:tr>
      <w:tr>
        <w:trPr>
          <w:trHeight w:val="208"/>
        </w:trPr>
        <w:tc>
          <w:tcPr>
            <w:tcW w:w="7920" w:type="dxa"/>
            <w:vAlign w:val="bottom"/>
            <w:gridSpan w:val="2"/>
          </w:tcPr>
          <w:p>
            <w:pPr>
              <w:ind w:left="220"/>
              <w:spacing w:after="0"/>
              <w:rPr>
                <w:sz w:val="20"/>
                <w:szCs w:val="20"/>
                <w:color w:val="auto"/>
              </w:rPr>
            </w:pPr>
            <w:r>
              <w:rPr>
                <w:rFonts w:ascii="Arial" w:cs="Arial" w:eastAsia="Arial" w:hAnsi="Arial"/>
                <w:sz w:val="13"/>
                <w:szCs w:val="13"/>
                <w:color w:val="auto"/>
              </w:rPr>
              <w:t>Other</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13,678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11,269</w:t>
            </w:r>
          </w:p>
        </w:tc>
      </w:tr>
      <w:tr>
        <w:trPr>
          <w:trHeight w:val="216"/>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Current maturities of long-term debt</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8,892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96"/>
        </w:trPr>
        <w:tc>
          <w:tcPr>
            <w:tcW w:w="7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Total current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197,744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204,185</w:t>
            </w:r>
          </w:p>
        </w:tc>
      </w:tr>
      <w:tr>
        <w:trPr>
          <w:trHeight w:val="214"/>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Non-current 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Long-term debt, less current maturities</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245,402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291,441</w:t>
            </w: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4,457</w:t>
            </w: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Unrecognized tax benefits</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3,591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1,745</w:t>
            </w: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compensation benefits, net of current portion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15,282</w:t>
            </w:r>
          </w:p>
        </w:tc>
      </w:tr>
      <w:tr>
        <w:trPr>
          <w:trHeight w:val="208"/>
        </w:trPr>
        <w:tc>
          <w:tcPr>
            <w:tcW w:w="7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Other</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250</w:t>
            </w:r>
          </w:p>
        </w:tc>
      </w:tr>
      <w:tr>
        <w:trPr>
          <w:trHeight w:val="203"/>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non-current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274,275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313,175</w:t>
            </w:r>
          </w:p>
        </w:tc>
      </w:tr>
      <w:tr>
        <w:trPr>
          <w:trHeight w:val="198"/>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Contingent liabilities and commitments (Note 11)</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Preferred stock, par value $0.01: Authorized-10,000 shares; Issued-none</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 par value $0.50: Authorized-60,000 shares; Issued-51,776 shares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25,888</w:t>
            </w: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91,185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86,223</w:t>
            </w:r>
          </w:p>
        </w:tc>
      </w:tr>
      <w:tr>
        <w:trPr>
          <w:trHeight w:val="223"/>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866,886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768,816</w:t>
            </w:r>
          </w:p>
        </w:tc>
      </w:tr>
      <w:tr>
        <w:trPr>
          <w:trHeight w:val="208"/>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24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892</w:t>
            </w:r>
          </w:p>
        </w:tc>
      </w:tr>
      <w:tr>
        <w:trPr>
          <w:trHeight w:val="216"/>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Treasury stock, at cost: 20,262 and 20,243 shares,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(351,256)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(347,374)</w:t>
            </w:r>
          </w:p>
        </w:tc>
      </w:tr>
      <w:tr>
        <w:trPr>
          <w:trHeight w:val="196"/>
        </w:trPr>
        <w:tc>
          <w:tcPr>
            <w:tcW w:w="7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632,212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534,445</w:t>
            </w:r>
          </w:p>
        </w:tc>
      </w:tr>
      <w:tr>
        <w:trPr>
          <w:trHeight w:val="190"/>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1,104,231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1,051,805</w:t>
            </w:r>
          </w:p>
        </w:tc>
      </w:tr>
      <w:tr>
        <w:trPr>
          <w:trHeight w:val="20"/>
        </w:trPr>
        <w:tc>
          <w:tcPr>
            <w:tcW w:w="10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60"/>
          </w:cols>
          <w:pgMar w:left="220" w:top="119"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32"/>
        </w:trPr>
        <w:tc>
          <w:tcPr>
            <w:tcW w:w="608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3"/>
        </w:trPr>
        <w:tc>
          <w:tcPr>
            <w:tcW w:w="608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Cash Flows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9"/>
        </w:trPr>
        <w:tc>
          <w:tcPr>
            <w:tcW w:w="6080" w:type="dxa"/>
            <w:vAlign w:val="bottom"/>
            <w:gridSpan w:val="2"/>
          </w:tcPr>
          <w:p>
            <w:pPr>
              <w:spacing w:after="0"/>
              <w:rPr>
                <w:sz w:val="20"/>
                <w:szCs w:val="20"/>
                <w:color w:val="auto"/>
              </w:rPr>
            </w:pPr>
            <w:r>
              <w:rPr>
                <w:rFonts w:ascii="Arial" w:cs="Arial" w:eastAsia="Arial" w:hAnsi="Arial"/>
                <w:sz w:val="13"/>
                <w:szCs w:val="13"/>
                <w:i w:val="1"/>
                <w:iCs w:val="1"/>
                <w:color w:val="auto"/>
              </w:rPr>
              <w:t>$ in thousands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10"/>
        </w:trPr>
        <w:tc>
          <w:tcPr>
            <w:tcW w:w="6080" w:type="dxa"/>
            <w:vAlign w:val="bottom"/>
            <w:gridSpan w:val="2"/>
          </w:tcPr>
          <w:p>
            <w:pPr>
              <w:ind w:left="20"/>
              <w:spacing w:after="0"/>
              <w:rPr>
                <w:sz w:val="20"/>
                <w:szCs w:val="20"/>
                <w:color w:val="auto"/>
              </w:rPr>
            </w:pPr>
            <w:r>
              <w:rPr>
                <w:rFonts w:ascii="Arial" w:cs="Arial" w:eastAsia="Arial" w:hAnsi="Arial"/>
                <w:sz w:val="13"/>
                <w:szCs w:val="13"/>
                <w:b w:val="1"/>
                <w:bCs w:val="1"/>
                <w:color w:val="auto"/>
              </w:rPr>
              <w:t>Fiscal Years Ended</w:t>
            </w:r>
          </w:p>
        </w:tc>
        <w:tc>
          <w:tcPr>
            <w:tcW w:w="240" w:type="dxa"/>
            <w:vAlign w:val="bottom"/>
          </w:tcPr>
          <w:p>
            <w:pPr>
              <w:spacing w:after="0"/>
              <w:rPr>
                <w:sz w:val="24"/>
                <w:szCs w:val="24"/>
                <w:color w:val="auto"/>
              </w:rPr>
            </w:pP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2019</w:t>
            </w:r>
          </w:p>
        </w:tc>
        <w:tc>
          <w:tcPr>
            <w:tcW w:w="22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25, 2018</w:t>
            </w:r>
          </w:p>
        </w:tc>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26, 2017</w:t>
            </w:r>
          </w:p>
        </w:tc>
      </w:tr>
      <w:tr>
        <w:trPr>
          <w:trHeight w:val="206"/>
        </w:trPr>
        <w:tc>
          <w:tcPr>
            <w:tcW w:w="60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111,798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102,357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71,330</w:t>
            </w: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13,682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7,315</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Amortization of intangibles</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9,635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9,328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24,660</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Amortization of debt issuance costs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1,612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1,596</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Last in, first-out expense</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2,258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3,344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1,722</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2,977</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7,984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5,784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8,360</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compensation expense and postretirement benefit income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(23,379)</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Other, net</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(1,257)</w:t>
            </w: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assets and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Receivables</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6,418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(37,739)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(25,136)</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(8,256)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(46,429)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(6,165)</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(4,499)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2,353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(2,461)</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23,778</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Income taxes and unrecognized tax benefits</w:t>
            </w:r>
          </w:p>
        </w:tc>
        <w:tc>
          <w:tcPr>
            <w:tcW w:w="24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(13,810)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7,939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7,045</w:t>
            </w:r>
          </w:p>
        </w:tc>
      </w:tr>
      <w:tr>
        <w:trPr>
          <w:trHeight w:val="216"/>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(2,350)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17,992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6,742</w:t>
            </w:r>
          </w:p>
        </w:tc>
      </w:tr>
      <w:tr>
        <w:trPr>
          <w:trHeight w:val="196"/>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133,750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83,346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97,127</w:t>
            </w:r>
          </w:p>
        </w:tc>
      </w:tr>
      <w:tr>
        <w:trPr>
          <w:trHeight w:val="21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Purchases of property and equipment</w:t>
            </w:r>
          </w:p>
        </w:tc>
        <w:tc>
          <w:tcPr>
            <w:tcW w:w="24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(40,858)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(28,668)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(13,993)</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 of business, net of cash acquired</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(702)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(81,200)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(392,473)</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Proceeds from the sale of property</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223</w:t>
            </w:r>
          </w:p>
        </w:tc>
      </w:tr>
      <w:tr>
        <w:trPr>
          <w:trHeight w:val="216"/>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2,476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(2,231)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858</w:t>
            </w:r>
          </w:p>
        </w:tc>
      </w:tr>
      <w:tr>
        <w:trPr>
          <w:trHeight w:val="196"/>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(38,936)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(111,761)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(405,385)</w:t>
            </w:r>
          </w:p>
        </w:tc>
      </w:tr>
      <w:tr>
        <w:trPr>
          <w:trHeight w:val="21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Borrowings on credit agreement</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891,892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221,133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366,400</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Repayments of credit agreement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(930,424)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(206,601)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(82,400)</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Payments of cash dividends</w:t>
            </w:r>
          </w:p>
        </w:tc>
        <w:tc>
          <w:tcPr>
            <w:tcW w:w="24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(13,670)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(12,738)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(12,738)</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Payments for repurchases of common stock</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(8,171)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w:t>
            </w: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Payments of debt issuance costs</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(11,020)</w:t>
            </w:r>
          </w:p>
        </w:tc>
      </w:tr>
      <w:tr>
        <w:trPr>
          <w:trHeight w:val="216"/>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96"/>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(59,725)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(5,188)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258,620</w:t>
            </w:r>
          </w:p>
        </w:tc>
      </w:tr>
      <w:tr>
        <w:trPr>
          <w:trHeight w:val="20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35,089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(33,603)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(49,638)</w:t>
            </w:r>
          </w:p>
        </w:tc>
      </w:tr>
      <w:tr>
        <w:trPr>
          <w:trHeight w:val="208"/>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2,342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35,945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85,583</w:t>
            </w:r>
          </w:p>
        </w:tc>
      </w:tr>
      <w:tr>
        <w:trPr>
          <w:trHeight w:val="19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37,431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2,342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35,945</w:t>
            </w:r>
          </w:p>
        </w:tc>
      </w:tr>
      <w:tr>
        <w:trPr>
          <w:trHeight w:val="20"/>
        </w:trPr>
        <w:tc>
          <w:tcPr>
            <w:tcW w:w="10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2"/>
        </w:trPr>
        <w:tc>
          <w:tcPr>
            <w:tcW w:w="10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 cash flow disclosure:</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Income taxes paid, net</w:t>
            </w: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37,061</w:t>
            </w:r>
          </w:p>
        </w:tc>
        <w:tc>
          <w:tcPr>
            <w:tcW w:w="1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26,436</w:t>
            </w:r>
          </w:p>
        </w:tc>
        <w:tc>
          <w:tcPr>
            <w:tcW w:w="1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21,421</w:t>
            </w: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paid</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16,565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11,893</w:t>
            </w: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Winnebago common stock for acquisition of business</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124,066</w:t>
            </w:r>
          </w:p>
        </w:tc>
      </w:tr>
      <w:tr>
        <w:trPr>
          <w:trHeight w:val="200"/>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Capital expenditures in accounts payable</w:t>
            </w: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698</w:t>
            </w:r>
          </w:p>
        </w:tc>
        <w:tc>
          <w:tcPr>
            <w:tcW w:w="10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1,021</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60"/>
          </w:cols>
          <w:pgMar w:left="220" w:top="119" w:right="21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7" w:lineRule="exact"/>
        <w:rPr>
          <w:sz w:val="20"/>
          <w:szCs w:val="20"/>
          <w:color w:val="auto"/>
        </w:rPr>
      </w:pPr>
    </w:p>
    <w:p>
      <w:pPr>
        <w:ind w:right="560"/>
        <w:spacing w:after="0" w:line="251" w:lineRule="auto"/>
        <w:rPr>
          <w:sz w:val="20"/>
          <w:szCs w:val="20"/>
          <w:color w:val="auto"/>
        </w:rPr>
      </w:pPr>
      <w:r>
        <w:rPr>
          <w:rFonts w:ascii="Arial" w:cs="Arial" w:eastAsia="Arial" w:hAnsi="Arial"/>
          <w:sz w:val="13"/>
          <w:szCs w:val="13"/>
          <w:b w:val="1"/>
          <w:bCs w:val="1"/>
          <w:color w:val="auto"/>
        </w:rPr>
        <w:t xml:space="preserve">Consolidated Statements of Changes in Stockholders' Equity </w:t>
      </w:r>
      <w:r>
        <w:rPr>
          <w:rFonts w:ascii="Arial" w:cs="Arial" w:eastAsia="Arial" w:hAnsi="Arial"/>
          <w:sz w:val="13"/>
          <w:szCs w:val="13"/>
          <w:i w:val="1"/>
          <w:iCs w:val="1"/>
          <w:color w:val="auto"/>
        </w:rPr>
        <w:t>$ and shares in thousands, except per share data</w:t>
      </w:r>
    </w:p>
    <w:p>
      <w:pPr>
        <w:spacing w:after="0" w:line="279" w:lineRule="exact"/>
        <w:rPr>
          <w:sz w:val="20"/>
          <w:szCs w:val="20"/>
          <w:color w:val="auto"/>
        </w:rPr>
      </w:pPr>
    </w:p>
    <w:p>
      <w:pPr>
        <w:ind w:left="3240"/>
        <w:spacing w:after="0"/>
        <w:rPr>
          <w:sz w:val="20"/>
          <w:szCs w:val="20"/>
          <w:color w:val="auto"/>
        </w:rPr>
      </w:pPr>
      <w:r>
        <w:rPr>
          <w:rFonts w:ascii="Arial" w:cs="Arial" w:eastAsia="Arial" w:hAnsi="Arial"/>
          <w:sz w:val="11"/>
          <w:szCs w:val="11"/>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22225</wp:posOffset>
            </wp:positionV>
            <wp:extent cx="11772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spacing w:after="0" w:line="37" w:lineRule="exact"/>
        <w:rPr>
          <w:sz w:val="20"/>
          <w:szCs w:val="20"/>
          <w:color w:val="auto"/>
        </w:rPr>
      </w:pPr>
    </w:p>
    <w:p>
      <w:pPr>
        <w:jc w:val="both"/>
        <w:ind w:left="2960"/>
        <w:spacing w:after="0"/>
        <w:tabs>
          <w:tab w:leader="none" w:pos="3860" w:val="left"/>
        </w:tabs>
        <w:rPr>
          <w:sz w:val="20"/>
          <w:szCs w:val="20"/>
          <w:color w:val="auto"/>
        </w:rPr>
      </w:pPr>
      <w:r>
        <w:rPr>
          <w:rFonts w:ascii="Arial" w:cs="Arial" w:eastAsia="Arial" w:hAnsi="Arial"/>
          <w:sz w:val="11"/>
          <w:szCs w:val="11"/>
          <w:b w:val="1"/>
          <w:bCs w:val="1"/>
          <w:color w:val="auto"/>
        </w:rPr>
        <w:t>Number</w:t>
      </w:r>
      <w:r>
        <w:rPr>
          <w:sz w:val="20"/>
          <w:szCs w:val="20"/>
          <w:color w:val="auto"/>
        </w:rPr>
        <w:tab/>
      </w:r>
      <w:r>
        <w:rPr>
          <w:rFonts w:ascii="Arial" w:cs="Arial" w:eastAsia="Arial" w:hAnsi="Arial"/>
          <w:sz w:val="11"/>
          <w:szCs w:val="11"/>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jc w:val="center"/>
              <w:ind w:left="23"/>
              <w:spacing w:after="0"/>
              <w:rPr>
                <w:sz w:val="20"/>
                <w:szCs w:val="20"/>
                <w:color w:val="auto"/>
              </w:rPr>
            </w:pPr>
            <w:r>
              <w:rPr>
                <w:rFonts w:ascii="Arial" w:cs="Arial" w:eastAsia="Arial" w:hAnsi="Arial"/>
                <w:sz w:val="11"/>
                <w:szCs w:val="11"/>
                <w:b w:val="1"/>
                <w:bCs w:val="1"/>
                <w:color w:val="auto"/>
              </w:rPr>
              <w:t>Accumulated Other</w:t>
            </w:r>
          </w:p>
        </w:tc>
        <w:tc>
          <w:tcPr>
            <w:tcW w:w="180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Treasury Stock</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20" w:type="dxa"/>
            <w:vAlign w:val="bottom"/>
          </w:tcPr>
          <w:p>
            <w:pPr>
              <w:jc w:val="center"/>
              <w:ind w:right="103"/>
              <w:spacing w:after="0" w:line="98" w:lineRule="exact"/>
              <w:rPr>
                <w:sz w:val="20"/>
                <w:szCs w:val="20"/>
                <w:color w:val="auto"/>
              </w:rPr>
            </w:pPr>
            <w:r>
              <w:rPr>
                <w:rFonts w:ascii="Arial" w:cs="Arial" w:eastAsia="Arial" w:hAnsi="Arial"/>
                <w:sz w:val="11"/>
                <w:szCs w:val="11"/>
                <w:b w:val="1"/>
                <w:bCs w:val="1"/>
                <w:color w:val="auto"/>
              </w:rPr>
              <w:t>Additional Paid-In</w:t>
            </w:r>
          </w:p>
        </w:tc>
        <w:tc>
          <w:tcPr>
            <w:tcW w:w="840" w:type="dxa"/>
            <w:vAlign w:val="bottom"/>
          </w:tcPr>
          <w:p>
            <w:pPr>
              <w:ind w:left="160"/>
              <w:spacing w:after="0" w:line="98" w:lineRule="exact"/>
              <w:rPr>
                <w:sz w:val="20"/>
                <w:szCs w:val="20"/>
                <w:color w:val="auto"/>
              </w:rPr>
            </w:pPr>
            <w:r>
              <w:rPr>
                <w:rFonts w:ascii="Arial" w:cs="Arial" w:eastAsia="Arial" w:hAnsi="Arial"/>
                <w:sz w:val="11"/>
                <w:szCs w:val="11"/>
                <w:b w:val="1"/>
                <w:bCs w:val="1"/>
                <w:color w:val="auto"/>
              </w:rPr>
              <w:t>Retained</w:t>
            </w:r>
          </w:p>
        </w:tc>
        <w:tc>
          <w:tcPr>
            <w:tcW w:w="1580" w:type="dxa"/>
            <w:vAlign w:val="bottom"/>
          </w:tcPr>
          <w:p>
            <w:pPr>
              <w:jc w:val="center"/>
              <w:ind w:left="23"/>
              <w:spacing w:after="0" w:line="98" w:lineRule="exact"/>
              <w:rPr>
                <w:sz w:val="20"/>
                <w:szCs w:val="20"/>
                <w:color w:val="auto"/>
              </w:rPr>
            </w:pPr>
            <w:r>
              <w:rPr>
                <w:rFonts w:ascii="Arial" w:cs="Arial" w:eastAsia="Arial" w:hAnsi="Arial"/>
                <w:sz w:val="11"/>
                <w:szCs w:val="11"/>
                <w:b w:val="1"/>
                <w:bCs w:val="1"/>
                <w:color w:val="auto"/>
              </w:rPr>
              <w:t>Comprehensive Income</w:t>
            </w:r>
          </w:p>
        </w:tc>
        <w:tc>
          <w:tcPr>
            <w:tcW w:w="1800" w:type="dxa"/>
            <w:vAlign w:val="bottom"/>
            <w:tcBorders>
              <w:bottom w:val="single" w:sz="8" w:color="auto"/>
            </w:tcBorders>
            <w:gridSpan w:val="2"/>
            <w:vMerge w:val="continue"/>
          </w:tcPr>
          <w:p>
            <w:pPr>
              <w:spacing w:after="0"/>
              <w:rPr>
                <w:sz w:val="8"/>
                <w:szCs w:val="8"/>
                <w:color w:val="auto"/>
              </w:rPr>
            </w:pPr>
          </w:p>
        </w:tc>
        <w:tc>
          <w:tcPr>
            <w:tcW w:w="1260" w:type="dxa"/>
            <w:vAlign w:val="bottom"/>
          </w:tcPr>
          <w:p>
            <w:pPr>
              <w:jc w:val="center"/>
              <w:ind w:left="143"/>
              <w:spacing w:after="0" w:line="98" w:lineRule="exact"/>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159"/>
        </w:trPr>
        <w:tc>
          <w:tcPr>
            <w:tcW w:w="1120" w:type="dxa"/>
            <w:vAlign w:val="bottom"/>
          </w:tcPr>
          <w:p>
            <w:pPr>
              <w:jc w:val="center"/>
              <w:ind w:right="103"/>
              <w:spacing w:after="0"/>
              <w:rPr>
                <w:sz w:val="20"/>
                <w:szCs w:val="20"/>
                <w:color w:val="auto"/>
              </w:rPr>
            </w:pPr>
            <w:r>
              <w:rPr>
                <w:rFonts w:ascii="Arial" w:cs="Arial" w:eastAsia="Arial" w:hAnsi="Arial"/>
                <w:sz w:val="11"/>
                <w:szCs w:val="11"/>
                <w:b w:val="1"/>
                <w:bCs w:val="1"/>
                <w:color w:val="auto"/>
              </w:rPr>
              <w:t>Capital</w:t>
            </w:r>
          </w:p>
        </w:tc>
        <w:tc>
          <w:tcPr>
            <w:tcW w:w="840" w:type="dxa"/>
            <w:vAlign w:val="bottom"/>
          </w:tcPr>
          <w:p>
            <w:pPr>
              <w:ind w:left="160"/>
              <w:spacing w:after="0"/>
              <w:rPr>
                <w:sz w:val="20"/>
                <w:szCs w:val="20"/>
                <w:color w:val="auto"/>
              </w:rPr>
            </w:pPr>
            <w:r>
              <w:rPr>
                <w:rFonts w:ascii="Arial" w:cs="Arial" w:eastAsia="Arial" w:hAnsi="Arial"/>
                <w:sz w:val="11"/>
                <w:szCs w:val="11"/>
                <w:b w:val="1"/>
                <w:bCs w:val="1"/>
                <w:color w:val="auto"/>
              </w:rPr>
              <w:t>Earnings</w:t>
            </w:r>
          </w:p>
        </w:tc>
        <w:tc>
          <w:tcPr>
            <w:tcW w:w="1580" w:type="dxa"/>
            <w:vAlign w:val="bottom"/>
          </w:tcPr>
          <w:p>
            <w:pPr>
              <w:jc w:val="center"/>
              <w:ind w:left="23"/>
              <w:spacing w:after="0"/>
              <w:rPr>
                <w:sz w:val="20"/>
                <w:szCs w:val="20"/>
                <w:color w:val="auto"/>
              </w:rPr>
            </w:pPr>
            <w:r>
              <w:rPr>
                <w:rFonts w:ascii="Arial" w:cs="Arial" w:eastAsia="Arial" w:hAnsi="Arial"/>
                <w:sz w:val="11"/>
                <w:szCs w:val="11"/>
                <w:b w:val="1"/>
                <w:bCs w:val="1"/>
                <w:color w:val="auto"/>
              </w:rPr>
              <w:t>(Loss)</w:t>
            </w:r>
          </w:p>
        </w:tc>
        <w:tc>
          <w:tcPr>
            <w:tcW w:w="840" w:type="dxa"/>
            <w:vAlign w:val="bottom"/>
          </w:tcPr>
          <w:p>
            <w:pPr>
              <w:ind w:left="180"/>
              <w:spacing w:after="0"/>
              <w:rPr>
                <w:sz w:val="20"/>
                <w:szCs w:val="20"/>
                <w:color w:val="auto"/>
              </w:rPr>
            </w:pPr>
            <w:r>
              <w:rPr>
                <w:rFonts w:ascii="Arial" w:cs="Arial" w:eastAsia="Arial" w:hAnsi="Arial"/>
                <w:sz w:val="11"/>
                <w:szCs w:val="11"/>
                <w:b w:val="1"/>
                <w:bCs w:val="1"/>
                <w:color w:val="auto"/>
              </w:rPr>
              <w:t>Number</w:t>
            </w:r>
          </w:p>
        </w:tc>
        <w:tc>
          <w:tcPr>
            <w:tcW w:w="960" w:type="dxa"/>
            <w:vAlign w:val="bottom"/>
          </w:tcPr>
          <w:p>
            <w:pPr>
              <w:ind w:left="240"/>
              <w:spacing w:after="0"/>
              <w:rPr>
                <w:sz w:val="20"/>
                <w:szCs w:val="20"/>
                <w:color w:val="auto"/>
              </w:rPr>
            </w:pPr>
            <w:r>
              <w:rPr>
                <w:rFonts w:ascii="Arial" w:cs="Arial" w:eastAsia="Arial" w:hAnsi="Arial"/>
                <w:sz w:val="11"/>
                <w:szCs w:val="11"/>
                <w:b w:val="1"/>
                <w:bCs w:val="1"/>
                <w:color w:val="auto"/>
              </w:rPr>
              <w:t>Amount</w:t>
            </w:r>
          </w:p>
        </w:tc>
        <w:tc>
          <w:tcPr>
            <w:tcW w:w="1260" w:type="dxa"/>
            <w:vAlign w:val="bottom"/>
          </w:tcPr>
          <w:p>
            <w:pPr>
              <w:jc w:val="center"/>
              <w:ind w:left="14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320" w:space="340"/>
            <w:col w:w="6800"/>
          </w:cols>
          <w:pgMar w:left="220" w:top="141" w:right="219" w:bottom="1440" w:gutter="0" w:footer="0" w:header="0"/>
        </w:sectPr>
      </w:pPr>
    </w:p>
    <w:tbl>
      <w:tblPr>
        <w:tblLayout w:type="fixed"/>
        <w:tblInd w:w="0" w:type="dxa"/>
        <w:tblCellMar>
          <w:top w:w="0" w:type="dxa"/>
          <w:left w:w="0" w:type="dxa"/>
          <w:bottom w:w="0" w:type="dxa"/>
          <w:right w:w="0" w:type="dxa"/>
        </w:tblCellMar>
      </w:tblPr>
      <w:tr>
        <w:trPr>
          <w:trHeight w:val="172"/>
        </w:trPr>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Balances at August 27, 2016</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51,776</w:t>
            </w:r>
          </w:p>
        </w:tc>
        <w:tc>
          <w:tcPr>
            <w:tcW w:w="38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25,888</w:t>
            </w: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32,717</w:t>
            </w: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620,546</w:t>
            </w:r>
          </w:p>
        </w:tc>
        <w:tc>
          <w:tcPr>
            <w:tcW w:w="560" w:type="dxa"/>
            <w:vAlign w:val="bottom"/>
            <w:tcBorders>
              <w:top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10,975</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(24,875)</w:t>
            </w: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(421,767)</w:t>
            </w:r>
          </w:p>
        </w:tc>
        <w:tc>
          <w:tcPr>
            <w:tcW w:w="540" w:type="dxa"/>
            <w:vAlign w:val="bottom"/>
            <w:tcBorders>
              <w:top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268,359</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Stock-based compensation, net of forfeitures</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2,830</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5</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78</w:t>
            </w:r>
          </w:p>
        </w:tc>
        <w:tc>
          <w:tcPr>
            <w:tcW w:w="54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2,908</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stock</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(1,821)</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155</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2,629</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808</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Issuance of stock for acquisition</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46,205</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4,586</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77,861</w:t>
            </w:r>
          </w:p>
        </w:tc>
        <w:tc>
          <w:tcPr>
            <w:tcW w:w="54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124,066</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Creation of APIC pool due to stock award</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470</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470</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w:t>
            </w:r>
          </w:p>
        </w:tc>
        <w:tc>
          <w:tcPr>
            <w:tcW w:w="3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(1,531)</w:t>
            </w:r>
          </w:p>
        </w:tc>
        <w:tc>
          <w:tcPr>
            <w:tcW w:w="54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(1,531)</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$0.40 per share</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(12,738)</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(12,738)</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Prior service cost and actuarial loss, net of tax</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23"/>
              <w:spacing w:after="0"/>
              <w:rPr>
                <w:sz w:val="20"/>
                <w:szCs w:val="20"/>
                <w:color w:val="auto"/>
              </w:rPr>
            </w:pPr>
            <w:r>
              <w:rPr>
                <w:rFonts w:ascii="Arial" w:cs="Arial" w:eastAsia="Arial" w:hAnsi="Arial"/>
                <w:sz w:val="11"/>
                <w:szCs w:val="11"/>
                <w:color w:val="auto"/>
              </w:rPr>
              <w:t>(15,387)</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(15,387)</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Plan amendment, net of tax</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3,903</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3,903</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Change in fair value of interest rate swap, net of tax</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23"/>
              <w:spacing w:after="0"/>
              <w:rPr>
                <w:sz w:val="20"/>
                <w:szCs w:val="20"/>
                <w:color w:val="auto"/>
              </w:rPr>
            </w:pPr>
            <w:r>
              <w:rPr>
                <w:rFonts w:ascii="Arial" w:cs="Arial" w:eastAsia="Arial" w:hAnsi="Arial"/>
                <w:sz w:val="11"/>
                <w:szCs w:val="11"/>
                <w:color w:val="auto"/>
              </w:rPr>
              <w:t>(514)</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(514)</w:t>
            </w:r>
          </w:p>
        </w:tc>
      </w:tr>
      <w:tr>
        <w:trPr>
          <w:trHeight w:val="172"/>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71,330</w:t>
            </w: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71,330</w:t>
            </w:r>
          </w:p>
        </w:tc>
      </w:tr>
      <w:tr>
        <w:trPr>
          <w:trHeight w:val="163"/>
        </w:trPr>
        <w:tc>
          <w:tcPr>
            <w:tcW w:w="2760" w:type="dxa"/>
            <w:vAlign w:val="bottom"/>
          </w:tcPr>
          <w:p>
            <w:pPr>
              <w:ind w:left="20"/>
              <w:spacing w:after="0"/>
              <w:rPr>
                <w:sz w:val="20"/>
                <w:szCs w:val="20"/>
                <w:color w:val="auto"/>
              </w:rPr>
            </w:pPr>
            <w:r>
              <w:rPr>
                <w:rFonts w:ascii="Arial" w:cs="Arial" w:eastAsia="Arial" w:hAnsi="Arial"/>
                <w:sz w:val="11"/>
                <w:szCs w:val="11"/>
                <w:color w:val="auto"/>
              </w:rPr>
              <w:t>Balances at August 26, 2017</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51,776</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25,888</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80,401</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679,138</w:t>
            </w:r>
          </w:p>
        </w:tc>
        <w:tc>
          <w:tcPr>
            <w:tcW w:w="560" w:type="dxa"/>
            <w:vAlign w:val="bottom"/>
          </w:tcPr>
          <w:p>
            <w:pPr>
              <w:spacing w:after="0"/>
              <w:rPr>
                <w:sz w:val="14"/>
                <w:szCs w:val="14"/>
                <w:color w:val="auto"/>
              </w:rPr>
            </w:pPr>
          </w:p>
        </w:tc>
        <w:tc>
          <w:tcPr>
            <w:tcW w:w="1060" w:type="dxa"/>
            <w:vAlign w:val="bottom"/>
          </w:tcPr>
          <w:p>
            <w:pPr>
              <w:jc w:val="right"/>
              <w:ind w:right="123"/>
              <w:spacing w:after="0"/>
              <w:rPr>
                <w:sz w:val="20"/>
                <w:szCs w:val="20"/>
                <w:color w:val="auto"/>
              </w:rPr>
            </w:pPr>
            <w:r>
              <w:rPr>
                <w:rFonts w:ascii="Arial" w:cs="Arial" w:eastAsia="Arial" w:hAnsi="Arial"/>
                <w:sz w:val="11"/>
                <w:szCs w:val="11"/>
                <w:color w:val="auto"/>
              </w:rPr>
              <w:t>(1,023)</w:t>
            </w:r>
          </w:p>
        </w:tc>
        <w:tc>
          <w:tcPr>
            <w:tcW w:w="660" w:type="dxa"/>
            <w:vAlign w:val="bottom"/>
          </w:tcPr>
          <w:p>
            <w:pPr>
              <w:jc w:val="right"/>
              <w:spacing w:after="0"/>
              <w:rPr>
                <w:sz w:val="20"/>
                <w:szCs w:val="20"/>
                <w:color w:val="auto"/>
              </w:rPr>
            </w:pPr>
            <w:r>
              <w:rPr>
                <w:rFonts w:ascii="Arial" w:cs="Arial" w:eastAsia="Arial" w:hAnsi="Arial"/>
                <w:sz w:val="11"/>
                <w:szCs w:val="11"/>
                <w:color w:val="auto"/>
              </w:rPr>
              <w:t>(20,183)</w:t>
            </w:r>
          </w:p>
        </w:tc>
        <w:tc>
          <w:tcPr>
            <w:tcW w:w="3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(342,730)</w:t>
            </w:r>
          </w:p>
        </w:tc>
        <w:tc>
          <w:tcPr>
            <w:tcW w:w="54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441,674</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net of forfeitures</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7,406</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78</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7,484</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Issuance of stock</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(1,584)</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104</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1,759</w:t>
            </w:r>
          </w:p>
        </w:tc>
        <w:tc>
          <w:tcPr>
            <w:tcW w:w="54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175</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(6,481)</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(6,481)</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Common stock dividends; $0.40 per share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(12,738)</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(12,738)</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Actuarial loss, net of tax</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27</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Change in fair value of interest rate swap, net of tax</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1,947</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1,947</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Reclassification of tax effects</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59</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(59)</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168"/>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102,357</w:t>
            </w: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102,357</w:t>
            </w: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August 25, 2018</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51,776</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25,888</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86,223</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768,816</w:t>
            </w: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892</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(20,243)</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(347,374)</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534,445</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Stock-based compensation, net of forfeitures</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6,993</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5</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82</w:t>
            </w:r>
          </w:p>
        </w:tc>
        <w:tc>
          <w:tcPr>
            <w:tcW w:w="54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7,075</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stock</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(2,031)</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244</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4,207</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2,176</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(268)</w:t>
            </w:r>
          </w:p>
        </w:tc>
        <w:tc>
          <w:tcPr>
            <w:tcW w:w="3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(8,171)</w:t>
            </w:r>
          </w:p>
        </w:tc>
        <w:tc>
          <w:tcPr>
            <w:tcW w:w="54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(8,171)</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$0.43 per share</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(13,728)</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(13,728)</w:t>
            </w:r>
          </w:p>
        </w:tc>
      </w:tr>
      <w:tr>
        <w:trPr>
          <w:trHeight w:val="168"/>
        </w:trPr>
        <w:tc>
          <w:tcPr>
            <w:tcW w:w="2760" w:type="dxa"/>
            <w:vAlign w:val="bottom"/>
          </w:tcPr>
          <w:p>
            <w:pPr>
              <w:ind w:left="20"/>
              <w:spacing w:after="0"/>
              <w:rPr>
                <w:sz w:val="20"/>
                <w:szCs w:val="20"/>
                <w:color w:val="auto"/>
              </w:rPr>
            </w:pPr>
            <w:r>
              <w:rPr>
                <w:rFonts w:ascii="Arial" w:cs="Arial" w:eastAsia="Arial" w:hAnsi="Arial"/>
                <w:sz w:val="11"/>
                <w:szCs w:val="11"/>
                <w:color w:val="auto"/>
              </w:rPr>
              <w:t>Actuarial loss, net of tax</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32</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32</w:t>
            </w: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fair value of interest rate swap, net of tax</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(1,415)</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(1,415)</w:t>
            </w:r>
          </w:p>
        </w:tc>
      </w:tr>
      <w:tr>
        <w:trPr>
          <w:trHeight w:val="168"/>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111,798</w:t>
            </w: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111,798</w:t>
            </w:r>
          </w:p>
        </w:tc>
      </w:tr>
      <w:tr>
        <w:trPr>
          <w:trHeight w:val="16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August 31, 2019</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51,776</w:t>
            </w: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25,888</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91,185</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866,886</w:t>
            </w: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(491)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(20,262)</w:t>
            </w: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(351,256)</w:t>
            </w:r>
          </w:p>
        </w:tc>
        <w:tc>
          <w:tcPr>
            <w:tcW w:w="54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632,212</w:t>
            </w:r>
          </w:p>
        </w:tc>
      </w:tr>
      <w:tr>
        <w:trPr>
          <w:trHeight w:val="20"/>
        </w:trPr>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460"/>
          </w:cols>
          <w:pgMar w:left="220" w:top="141" w:right="219" w:bottom="1440" w:gutter="0" w:footer="0" w:header="0"/>
          <w:type w:val="continuous"/>
        </w:sectPr>
      </w:pPr>
    </w:p>
    <w:bookmarkStart w:id="44" w:name="page45"/>
    <w:bookmarkEnd w:id="4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Summary of Significant Accounting Policies</w:t>
      </w:r>
    </w:p>
    <w:p>
      <w:pPr>
        <w:spacing w:after="0" w:line="168"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Unless the context otherwise requires, the use of the terms "Winnebago Industries," "we," "us," and "our" in these Notes to Consolidated Financial Statements refers to Winnebago Industries, Inc. and its wholly-owned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Nature of Operations</w:t>
      </w:r>
    </w:p>
    <w:p>
      <w:pPr>
        <w:spacing w:after="0" w:line="168"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Winnebago Industries, Inc. is one of the leading U.S. manufacturers with a diversified portfolio of recreation vehicles ("RV"s) and marine products used primarily in leisure travel and outdoor recreation activities.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Other products manufactured by us consist primarily of original equipment manufacturing parts for other manufacturers and commercial vehicles.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Reportable Segments</w:t>
      </w:r>
    </w:p>
    <w:p>
      <w:pPr>
        <w:spacing w:after="0" w:line="168" w:lineRule="exact"/>
        <w:rPr>
          <w:sz w:val="20"/>
          <w:szCs w:val="20"/>
          <w:color w:val="auto"/>
        </w:rPr>
      </w:pPr>
    </w:p>
    <w:p>
      <w:pPr>
        <w:ind w:right="160"/>
        <w:spacing w:after="0" w:line="246" w:lineRule="auto"/>
        <w:rPr>
          <w:sz w:val="20"/>
          <w:szCs w:val="20"/>
          <w:color w:val="auto"/>
        </w:rPr>
      </w:pPr>
      <w:r>
        <w:rPr>
          <w:rFonts w:ascii="Arial" w:cs="Arial" w:eastAsia="Arial" w:hAnsi="Arial"/>
          <w:sz w:val="13"/>
          <w:szCs w:val="13"/>
          <w:color w:val="auto"/>
        </w:rPr>
        <w:t xml:space="preserve">We have two reportable segments: (1) Towable and (2) Motorhome. The Towable segment includes all products which are not motorized and are generally towed by another vehicle. The Motorhome segment includes products that include a motorized chassis as well as other related manufactured products. Certain corporate administration expenses and non-operating income and expense are recorded in a Corporate / All Other category. See Note 3, </w:t>
      </w:r>
      <w:r>
        <w:rPr>
          <w:rFonts w:ascii="Arial" w:cs="Arial" w:eastAsia="Arial" w:hAnsi="Arial"/>
          <w:sz w:val="13"/>
          <w:szCs w:val="13"/>
          <w:i w:val="1"/>
          <w:iCs w:val="1"/>
          <w:color w:val="auto"/>
        </w:rPr>
        <w:t>Business Segments</w:t>
      </w:r>
      <w:r>
        <w:rPr>
          <w:rFonts w:ascii="Arial" w:cs="Arial" w:eastAsia="Arial" w:hAnsi="Arial"/>
          <w:sz w:val="13"/>
          <w:szCs w:val="13"/>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Principles of Consolidation</w:t>
      </w:r>
    </w:p>
    <w:p>
      <w:pPr>
        <w:spacing w:after="0" w:line="168" w:lineRule="exact"/>
        <w:rPr>
          <w:sz w:val="20"/>
          <w:szCs w:val="20"/>
          <w:color w:val="auto"/>
        </w:rPr>
      </w:pPr>
    </w:p>
    <w:p>
      <w:pPr>
        <w:ind w:right="340"/>
        <w:spacing w:after="0" w:line="251" w:lineRule="auto"/>
        <w:rPr>
          <w:sz w:val="20"/>
          <w:szCs w:val="20"/>
          <w:color w:val="auto"/>
        </w:rPr>
      </w:pPr>
      <w:r>
        <w:rPr>
          <w:rFonts w:ascii="Arial" w:cs="Arial" w:eastAsia="Arial" w:hAnsi="Arial"/>
          <w:sz w:val="13"/>
          <w:szCs w:val="13"/>
          <w:color w:val="auto"/>
        </w:rPr>
        <w:t>The consolidated financial statements for Fiscal 2019 include the parent company and our wholly-owned subsidiaries. All intercompany balances and transactions with our subsidiaries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Period</w:t>
      </w:r>
    </w:p>
    <w:p>
      <w:pPr>
        <w:spacing w:after="0" w:line="168" w:lineRule="exact"/>
        <w:rPr>
          <w:sz w:val="20"/>
          <w:szCs w:val="20"/>
          <w:color w:val="auto"/>
        </w:rPr>
      </w:pPr>
    </w:p>
    <w:p>
      <w:pPr>
        <w:ind w:right="320"/>
        <w:spacing w:after="0" w:line="251" w:lineRule="auto"/>
        <w:rPr>
          <w:sz w:val="20"/>
          <w:szCs w:val="20"/>
          <w:color w:val="auto"/>
        </w:rPr>
      </w:pPr>
      <w:r>
        <w:rPr>
          <w:rFonts w:ascii="Arial" w:cs="Arial" w:eastAsia="Arial" w:hAnsi="Arial"/>
          <w:sz w:val="13"/>
          <w:szCs w:val="13"/>
          <w:color w:val="auto"/>
        </w:rPr>
        <w:t>We follow a 52-/53-week fiscal year, ending the last Saturday in August. Fiscal 2019 is a 53-week year, while Fiscal 2018 and 2017 were 52-week years. The extra (53rd) week in Fiscal 2019 was recognized in our fourth quarter.</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68" w:lineRule="exact"/>
        <w:rPr>
          <w:sz w:val="20"/>
          <w:szCs w:val="20"/>
          <w:color w:val="auto"/>
        </w:rPr>
      </w:pPr>
    </w:p>
    <w:p>
      <w:pPr>
        <w:jc w:val="both"/>
        <w:ind w:right="380"/>
        <w:spacing w:after="0" w:line="24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168"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Cash and cash equivalents consist primarily of highly liquid investments with an original maturity of three months or less. The carrying amount approximates fair value due to the short maturity of the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 Instruments and Hedging Activities</w:t>
      </w:r>
    </w:p>
    <w:p>
      <w:pPr>
        <w:spacing w:after="0" w:line="168"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 xml:space="preserve">We use derivative instruments to hedge our floating interest rate exposure. Derivative instruments are accounted for at fair value in accordance with Accounting Standards Codification ("ASC")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We have designated these derivatives as cash flow hedges for accounting purposes. Changes in fair value, for the effective portion of qualifying hedges, are recorded in other comprehensive income. We review the effectiveness of our hedging instruments on a quarterly basis, recognize current year hedge ineffectiveness immediately in earnings, and discontinue hedge accounting for any hedge that we no longer consider to be highly effective. Refer to Note 4, </w:t>
      </w:r>
      <w:r>
        <w:rPr>
          <w:rFonts w:ascii="Arial" w:cs="Arial" w:eastAsia="Arial" w:hAnsi="Arial"/>
          <w:sz w:val="13"/>
          <w:szCs w:val="13"/>
          <w:i w:val="1"/>
          <w:iCs w:val="1"/>
          <w:color w:val="auto"/>
        </w:rPr>
        <w:t>Derivatives, Investments, and Fair Value Measurements</w:t>
      </w:r>
      <w:r>
        <w:rPr>
          <w:rFonts w:ascii="Arial" w:cs="Arial" w:eastAsia="Arial" w:hAnsi="Arial"/>
          <w:sz w:val="13"/>
          <w:szCs w:val="13"/>
          <w:color w:val="auto"/>
        </w:rPr>
        <w:t>,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Receivables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Receivables consist principally of amounts due from our dealer network for RVs and boats sold.</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establish allowances for doubtful accounts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440"/>
          </w:cols>
          <w:pgMar w:left="220" w:top="141" w:right="23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168"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Generally, inventories are stated at the lower of cost or market, valued using the First-in, First-out basis ("FIFO"), except for our Motorhome segment which is valued using the Last-in, First-out ("LIFO") basis. Manufacturing cost includes materials, labor, and manufacturing overhead. Unallocated overhead and abnormal costs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and Equipment</w:t>
      </w:r>
    </w:p>
    <w:p>
      <w:pPr>
        <w:spacing w:after="0" w:line="168" w:lineRule="exact"/>
        <w:rPr>
          <w:sz w:val="20"/>
          <w:szCs w:val="20"/>
          <w:color w:val="auto"/>
        </w:rPr>
      </w:pPr>
    </w:p>
    <w:p>
      <w:pPr>
        <w:ind w:right="180"/>
        <w:spacing w:after="0" w:line="153" w:lineRule="exact"/>
        <w:rPr>
          <w:sz w:val="20"/>
          <w:szCs w:val="20"/>
          <w:color w:val="auto"/>
        </w:rPr>
      </w:pPr>
      <w:r>
        <w:rPr>
          <w:rFonts w:ascii="Arial" w:cs="Arial" w:eastAsia="Arial" w:hAnsi="Arial"/>
          <w:sz w:val="13"/>
          <w:szCs w:val="13"/>
          <w:color w:val="auto"/>
        </w:rPr>
        <w:t>Depreciation of property and equipment is computed using the straight</w:t>
      </w:r>
      <w:r>
        <w:rPr>
          <w:rFonts w:ascii="MS PGothic" w:cs="MS PGothic" w:eastAsia="MS PGothic" w:hAnsi="MS PGothic"/>
          <w:sz w:val="13"/>
          <w:szCs w:val="13"/>
          <w:color w:val="auto"/>
        </w:rPr>
        <w:t>‑</w:t>
      </w:r>
      <w:r>
        <w:rPr>
          <w:rFonts w:ascii="Arial" w:cs="Arial" w:eastAsia="Arial" w:hAnsi="Arial"/>
          <w:sz w:val="13"/>
          <w:szCs w:val="13"/>
          <w:color w:val="auto"/>
        </w:rPr>
        <w:t>line method on the cost of the assets, less allowance for salvage value where appropriate, at rates based upon their estimated service lives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Asset Class</w:t>
            </w:r>
          </w:p>
        </w:tc>
        <w:tc>
          <w:tcPr>
            <w:tcW w:w="488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b w:val="1"/>
                <w:bCs w:val="1"/>
                <w:color w:val="auto"/>
              </w:rPr>
              <w:t>Asset Life</w:t>
            </w:r>
          </w:p>
        </w:tc>
      </w:tr>
      <w:tr>
        <w:trPr>
          <w:trHeight w:val="193"/>
        </w:trPr>
        <w:tc>
          <w:tcPr>
            <w:tcW w:w="6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Buildings</w:t>
            </w:r>
          </w:p>
        </w:tc>
        <w:tc>
          <w:tcPr>
            <w:tcW w:w="4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8-45 years</w:t>
            </w:r>
          </w:p>
        </w:tc>
      </w:tr>
      <w:tr>
        <w:trPr>
          <w:trHeight w:val="186"/>
        </w:trPr>
        <w:tc>
          <w:tcPr>
            <w:tcW w:w="6580" w:type="dxa"/>
            <w:vAlign w:val="bottom"/>
          </w:tcPr>
          <w:p>
            <w:pPr>
              <w:ind w:left="20"/>
              <w:spacing w:after="0"/>
              <w:rPr>
                <w:sz w:val="20"/>
                <w:szCs w:val="20"/>
                <w:color w:val="auto"/>
              </w:rPr>
            </w:pPr>
            <w:r>
              <w:rPr>
                <w:rFonts w:ascii="Arial" w:cs="Arial" w:eastAsia="Arial" w:hAnsi="Arial"/>
                <w:sz w:val="13"/>
                <w:szCs w:val="13"/>
                <w:color w:val="auto"/>
              </w:rPr>
              <w:t>Machinery and equipment</w:t>
            </w:r>
          </w:p>
        </w:tc>
        <w:tc>
          <w:tcPr>
            <w:tcW w:w="4880" w:type="dxa"/>
            <w:vAlign w:val="bottom"/>
          </w:tcPr>
          <w:p>
            <w:pPr>
              <w:jc w:val="right"/>
              <w:ind w:right="155"/>
              <w:spacing w:after="0"/>
              <w:rPr>
                <w:sz w:val="20"/>
                <w:szCs w:val="20"/>
                <w:color w:val="auto"/>
              </w:rPr>
            </w:pPr>
            <w:r>
              <w:rPr>
                <w:rFonts w:ascii="Arial" w:cs="Arial" w:eastAsia="Arial" w:hAnsi="Arial"/>
                <w:sz w:val="13"/>
                <w:szCs w:val="13"/>
                <w:color w:val="auto"/>
              </w:rPr>
              <w:t>1-15 years</w:t>
            </w:r>
          </w:p>
        </w:tc>
      </w:tr>
      <w:tr>
        <w:trPr>
          <w:trHeight w:val="202"/>
        </w:trPr>
        <w:tc>
          <w:tcPr>
            <w:tcW w:w="6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w:t>
            </w:r>
          </w:p>
        </w:tc>
        <w:tc>
          <w:tcPr>
            <w:tcW w:w="4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1-10 years</w:t>
            </w:r>
          </w:p>
        </w:tc>
      </w:tr>
      <w:tr>
        <w:trPr>
          <w:trHeight w:val="178"/>
        </w:trPr>
        <w:tc>
          <w:tcPr>
            <w:tcW w:w="6580" w:type="dxa"/>
            <w:vAlign w:val="bottom"/>
          </w:tcPr>
          <w:p>
            <w:pPr>
              <w:ind w:left="20"/>
              <w:spacing w:after="0"/>
              <w:rPr>
                <w:sz w:val="20"/>
                <w:szCs w:val="20"/>
                <w:color w:val="auto"/>
              </w:rPr>
            </w:pPr>
            <w:r>
              <w:rPr>
                <w:rFonts w:ascii="Arial" w:cs="Arial" w:eastAsia="Arial" w:hAnsi="Arial"/>
                <w:sz w:val="13"/>
                <w:szCs w:val="13"/>
                <w:color w:val="auto"/>
              </w:rPr>
              <w:t>Transportation equipment</w:t>
            </w:r>
          </w:p>
        </w:tc>
        <w:tc>
          <w:tcPr>
            <w:tcW w:w="4880" w:type="dxa"/>
            <w:vAlign w:val="bottom"/>
          </w:tcPr>
          <w:p>
            <w:pPr>
              <w:jc w:val="right"/>
              <w:ind w:right="155"/>
              <w:spacing w:after="0"/>
              <w:rPr>
                <w:sz w:val="20"/>
                <w:szCs w:val="20"/>
                <w:color w:val="auto"/>
              </w:rPr>
            </w:pPr>
            <w:r>
              <w:rPr>
                <w:rFonts w:ascii="Arial" w:cs="Arial" w:eastAsia="Arial" w:hAnsi="Arial"/>
                <w:sz w:val="13"/>
                <w:szCs w:val="13"/>
                <w:color w:val="auto"/>
              </w:rPr>
              <w:t>1-7 years</w:t>
            </w:r>
          </w:p>
        </w:tc>
      </w:tr>
      <w:tr>
        <w:trPr>
          <w:trHeight w:val="323"/>
        </w:trPr>
        <w:tc>
          <w:tcPr>
            <w:tcW w:w="6580" w:type="dxa"/>
            <w:vAlign w:val="bottom"/>
          </w:tcPr>
          <w:p>
            <w:pPr>
              <w:spacing w:after="0"/>
              <w:rPr>
                <w:sz w:val="20"/>
                <w:szCs w:val="20"/>
                <w:color w:val="auto"/>
              </w:rPr>
            </w:pPr>
            <w:r>
              <w:rPr>
                <w:rFonts w:ascii="Arial" w:cs="Arial" w:eastAsia="Arial" w:hAnsi="Arial"/>
                <w:sz w:val="13"/>
                <w:szCs w:val="13"/>
                <w:b w:val="1"/>
                <w:bCs w:val="1"/>
                <w:color w:val="auto"/>
              </w:rPr>
              <w:t>Goodwill and Indefinite-Lived Intangible Assets</w:t>
            </w:r>
          </w:p>
        </w:tc>
        <w:tc>
          <w:tcPr>
            <w:tcW w:w="4880" w:type="dxa"/>
            <w:vAlign w:val="bottom"/>
          </w:tcPr>
          <w:p>
            <w:pPr>
              <w:spacing w:after="0"/>
              <w:rPr>
                <w:sz w:val="24"/>
                <w:szCs w:val="24"/>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w:t>
      </w:r>
    </w:p>
    <w:p>
      <w:pPr>
        <w:spacing w:after="0" w:line="166" w:lineRule="exact"/>
        <w:rPr>
          <w:sz w:val="20"/>
          <w:szCs w:val="20"/>
          <w:color w:val="auto"/>
        </w:rPr>
      </w:pPr>
    </w:p>
    <w:p>
      <w:pPr>
        <w:ind w:right="100"/>
        <w:spacing w:after="0" w:line="246" w:lineRule="auto"/>
        <w:rPr>
          <w:sz w:val="20"/>
          <w:szCs w:val="20"/>
          <w:color w:val="auto"/>
        </w:rPr>
      </w:pPr>
      <w:r>
        <w:rPr>
          <w:rFonts w:ascii="Arial" w:cs="Arial" w:eastAsia="Arial" w:hAnsi="Arial"/>
          <w:sz w:val="13"/>
          <w:szCs w:val="13"/>
          <w:color w:val="auto"/>
        </w:rPr>
        <w:t xml:space="preserve">Goodwill is tested annually in the fourth quarter of each year and is tested for impairment between annual tests if an event occurs or circumstances change that would indicate the carrying amounts may be impaired. Impairment testing for goodwill is done at a reporting unit level and all goodwill is assigned to a reporting unit. Our reporting units are the same as our operating segments as defined in Note 3, </w:t>
      </w:r>
      <w:r>
        <w:rPr>
          <w:rFonts w:ascii="Arial" w:cs="Arial" w:eastAsia="Arial" w:hAnsi="Arial"/>
          <w:sz w:val="13"/>
          <w:szCs w:val="13"/>
          <w:i w:val="1"/>
          <w:iCs w:val="1"/>
          <w:color w:val="auto"/>
        </w:rPr>
        <w:t>Business Segments</w:t>
      </w:r>
      <w:r>
        <w:rPr>
          <w:rFonts w:ascii="Arial" w:cs="Arial" w:eastAsia="Arial" w:hAnsi="Arial"/>
          <w:sz w:val="13"/>
          <w:szCs w:val="13"/>
          <w:color w:val="auto"/>
        </w:rPr>
        <w:t>.</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Companies have the option to first assess qualitative factors to determine whether the fair value of a reporting unit is “more likely than not” less than its carrying amount. If it is more likely than not that an impairment has occurred, companies then perform the quantitative goodwill impairment test. If we perform the quantitative test, we compare the carrying value of the reporting unit to an estimate of the reporting unit’s fair value to identify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market and economic conditions, and market-participant considerations. If we fail the quantitative assessment of goodwill impairment, we will recognize an impairment loss equal to the amount that a reporting unit's carrying value exceeds its fair value.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names</w:t>
      </w:r>
    </w:p>
    <w:p>
      <w:pPr>
        <w:spacing w:after="0" w:line="166" w:lineRule="exact"/>
        <w:rPr>
          <w:sz w:val="20"/>
          <w:szCs w:val="20"/>
          <w:color w:val="auto"/>
        </w:rPr>
      </w:pPr>
    </w:p>
    <w:p>
      <w:pPr>
        <w:ind w:right="120"/>
        <w:spacing w:after="0" w:line="272" w:lineRule="auto"/>
        <w:rPr>
          <w:sz w:val="20"/>
          <w:szCs w:val="20"/>
          <w:color w:val="auto"/>
        </w:rPr>
      </w:pPr>
      <w:r>
        <w:rPr>
          <w:rFonts w:ascii="Arial" w:cs="Arial" w:eastAsia="Arial" w:hAnsi="Arial"/>
          <w:sz w:val="12"/>
          <w:szCs w:val="12"/>
          <w:color w:val="auto"/>
        </w:rPr>
        <w:t>We have indefinite-lived intangible assets for trade names related to Grand Design within our Towable segment and to Chris-Craft within our Corporate / All Other category. Annually in the fourth quarter, or if conditions indicate an interim review is necessary, we assess qualitative factors to determine if it is more likely than not that the fair value of an indefinite-lived intangible asset is less than its carrying amount. If we perform a quantitative test, we use the relief from royalty method to determine the fair value of the trade name. This method uses assumptions, which require significant judgment and actual results may differ from assumed and estimated amounts. If we conclude that there has been impairment, we will write down the carrying value of the asset to its fair value.</w:t>
      </w:r>
    </w:p>
    <w:p>
      <w:pPr>
        <w:spacing w:after="0" w:line="129" w:lineRule="exact"/>
        <w:rPr>
          <w:sz w:val="20"/>
          <w:szCs w:val="20"/>
          <w:color w:val="auto"/>
        </w:rPr>
      </w:pPr>
    </w:p>
    <w:p>
      <w:pPr>
        <w:ind w:right="240"/>
        <w:spacing w:after="0" w:line="251" w:lineRule="auto"/>
        <w:rPr>
          <w:sz w:val="20"/>
          <w:szCs w:val="20"/>
          <w:color w:val="auto"/>
        </w:rPr>
      </w:pPr>
      <w:r>
        <w:rPr>
          <w:rFonts w:ascii="Arial" w:cs="Arial" w:eastAsia="Arial" w:hAnsi="Arial"/>
          <w:sz w:val="13"/>
          <w:szCs w:val="13"/>
          <w:color w:val="auto"/>
        </w:rPr>
        <w:t>During the fourth quarter of Fiscal 2019, we completed our annual impairment tests. We elected not to rely on the qualitative assessment as of the testing date and rather performed the quantitative analysis. The result of the test was that the fair value exceeded the carrying value, and no impairment was indicated.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Definite-Lived Intangible Assets and Long-Lived Assets</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from future cash flows.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this asset and other long-lived assets is regularly evaluated.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impairment loss for the year ended August 31, 2019 for definite-lived intangible assets or long-lived assets.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60"/>
          </w:cols>
          <w:pgMar w:left="220" w:top="141" w:right="21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Self-Insurance</w:t>
      </w:r>
    </w:p>
    <w:p>
      <w:pPr>
        <w:spacing w:after="0" w:line="168"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Generally, we self-insure for a portion of product liability claims, workers' compensation, and health insurance. Under these plans, liabilities are recognized for claims incurred, including those incurred but not reported. We use third party administrators and actuaries using historical claims experience and various state statutes to assist in the determination of our accrued liability balance. We have a $50.0 million insurance policy that includes a self-insured retention for product liability of $1.0 million per occurrence and $2.0 million in aggregate per policy year. Our self-insured health insurance policy includes an individual retention of $0.2 million per occurrence and an aggregate retention of 125% of expected annual claims. We maintain excess liability insurance with outside insurance carriers to minimize our risks related to catastrophic claims in excess of our self-insured positions for product liability, health insurance, and personal injury matters. Any material change in the aforementioned factors could have an adverse impact on our operating results. Balances are included within Accrued expenses: Self-insurance on our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68"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In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Consolidated Statements of Income and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Litigation expense, including estimated defense costs, is recorded when probable and reasonably estimable.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 xml:space="preserve">Our primary source of revenue is generated through the sale of non-motorized towable units, motorized units, and marine units to our independent dealer network (our customers). Unit revenue is recognized at a point-in-time when the performance obligation is satisfied, which generally occurs when the unit is shipped to or picked-up from our manufacturing facilities by the customer. Our payment terms are typically before or on delivery, and do not include a significant financing component. The amount of consideration received and recorded to revenue varies with changes in marketing incentives and offers to our customers. These marketing incentives and offers to our customers are considered variable consideration. We adjust the estimate of revenue at the earlier of when the most likely amount of consideration we expect to receive changes or when the consideration becomes fixed. Refer to Note 12, </w:t>
      </w:r>
      <w:r>
        <w:rPr>
          <w:rFonts w:ascii="Arial" w:cs="Arial" w:eastAsia="Arial" w:hAnsi="Arial"/>
          <w:sz w:val="13"/>
          <w:szCs w:val="13"/>
          <w:i w:val="1"/>
          <w:iCs w:val="1"/>
          <w:color w:val="auto"/>
        </w:rPr>
        <w:t>Revenue Recognition</w:t>
      </w:r>
      <w:r>
        <w:rPr>
          <w:rFonts w:ascii="Arial" w:cs="Arial" w:eastAsia="Arial" w:hAnsi="Arial"/>
          <w:sz w:val="13"/>
          <w:szCs w:val="13"/>
          <w:color w:val="auto"/>
        </w:rPr>
        <w:t>,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Advertising</w:t>
      </w:r>
    </w:p>
    <w:p>
      <w:pPr>
        <w:spacing w:after="0" w:line="168"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Advertising costs, which consist primarily of literature and trade shows, were $8.3 million, $7.4 million, and $5.7 million in Fiscal 2019, 2018, and 2017, respectively. Advertising costs are included in Selling, general, and administrative expenses and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 xml:space="preserve">We evaluated events occurring between the end of our most recent fiscal year and the date the financial statements were issued. There were no material subsequent events, except as noted in Note 9, </w:t>
      </w:r>
      <w:r>
        <w:rPr>
          <w:rFonts w:ascii="Arial" w:cs="Arial" w:eastAsia="Arial" w:hAnsi="Arial"/>
          <w:sz w:val="13"/>
          <w:szCs w:val="13"/>
          <w:i w:val="1"/>
          <w:iCs w:val="1"/>
          <w:color w:val="auto"/>
        </w:rPr>
        <w:t>Long-Term Debt</w:t>
      </w:r>
      <w:r>
        <w:rPr>
          <w:rFonts w:ascii="Arial" w:cs="Arial" w:eastAsia="Arial" w:hAnsi="Arial"/>
          <w:sz w:val="13"/>
          <w:szCs w:val="13"/>
          <w:color w:val="auto"/>
        </w:rPr>
        <w:t>, and Note 13,</w:t>
      </w:r>
      <w:r>
        <w:rPr>
          <w:rFonts w:ascii="Arial" w:cs="Arial" w:eastAsia="Arial" w:hAnsi="Arial"/>
          <w:sz w:val="13"/>
          <w:szCs w:val="13"/>
          <w:i w:val="1"/>
          <w:iCs w:val="1"/>
          <w:color w:val="auto"/>
        </w:rPr>
        <w:t xml:space="preserve"> Stock-Based Compensation Plans</w:t>
      </w:r>
      <w:r>
        <w:rPr>
          <w:rFonts w:ascii="Arial" w:cs="Arial" w:eastAsia="Arial" w:hAnsi="Arial"/>
          <w:sz w:val="13"/>
          <w:szCs w:val="13"/>
          <w:color w:val="auto"/>
        </w:rPr>
        <w:t>, and the items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Dividend</w:t>
      </w:r>
    </w:p>
    <w:p>
      <w:pPr>
        <w:spacing w:after="0" w:line="166"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On August 14, 2019, our Board of Directors declared a quarterly cash dividend of $0.11 per share, totaling $3.5 million, paid on September 25, 2019 to common stockholders of record at the close of business on September 11, 2019.</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Acquisition</w:t>
      </w:r>
    </w:p>
    <w:p>
      <w:pPr>
        <w:spacing w:after="0" w:line="166"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On September 15, 2019, we entered into a definitive agreement to acquire Newmar Corporation ("Newmar") for total consideration of approximately $344.0 million, based on the closing price of our stock on September 13, 2019. The consideration will consist of approximately $270.0 million in cash and a fixed amount of 2.0 million shares of our stock. Newmar is a leading manufacturer of Class A and Super C motorized recreational vehicles that sells through an established network of independent authorized dealers throughout North America.</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60"/>
          </w:cols>
          <w:pgMar w:left="220" w:top="141" w:right="21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300"/>
        <w:spacing w:after="0" w:line="251" w:lineRule="auto"/>
        <w:rPr>
          <w:sz w:val="20"/>
          <w:szCs w:val="20"/>
          <w:color w:val="auto"/>
        </w:rPr>
      </w:pPr>
      <w:r>
        <w:rPr>
          <w:rFonts w:ascii="Arial" w:cs="Arial" w:eastAsia="Arial" w:hAnsi="Arial"/>
          <w:sz w:val="13"/>
          <w:szCs w:val="13"/>
          <w:color w:val="auto"/>
        </w:rPr>
        <w:t>The Purchase Agreement also provides that we may terminate the Purchase Agreement if our stock price falls below $20.00 per share, in which case we will be subject to a termination fee of $5.0 million. The acquisition is not subject to approval by our shareholders.</w:t>
      </w:r>
    </w:p>
    <w:p>
      <w:pPr>
        <w:spacing w:after="0" w:line="14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In connection with the execution of the Purchase Agreement, we executed a commitment letter with Goldman Sachs Bank USA, Bank of Montreal, and BMO Capital Markets Corp. (the “Commitment Letter”). As set forth in the Commitment Letter, (a) we intend to obtain up to $290.0 million in gross cash proceeds from the issuance of senior secured notes (the “Senior Notes”) and (b) if we do not, or are unable to, issue the full amount of the Senior Notes at or prior to the time of the closing of the acquisition, we plan to obtain a senior secured bridge facility in an amount up to $290.0 million minus any gross cash proceeds received by us from the issuance of any Senior Notes or other securities.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 xml:space="preserve">In the first quarter of Fiscal 2019, we adopted Accounting Standard Update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which establishes a comprehensive five-step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We elected the modified retrospective method of adoption, which we applied to contracts not completed as of the initial date of adoption. Application of the transition requirements had no material impact on operations or beginning retained earnings. While certain control processes and procedures were updated for this adoption, the changes did not have a material impact on our internal control over financial reporting framework.</w:t>
      </w:r>
    </w:p>
    <w:p>
      <w:pPr>
        <w:spacing w:after="0" w:line="127"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 xml:space="preserve">Also, in the first quarter of Fiscal 2019, we retrospectively adopted ASU 2016-15, </w:t>
      </w:r>
      <w:r>
        <w:rPr>
          <w:rFonts w:ascii="Arial" w:cs="Arial" w:eastAsia="Arial" w:hAnsi="Arial"/>
          <w:sz w:val="13"/>
          <w:szCs w:val="13"/>
          <w:i w:val="1"/>
          <w:iCs w:val="1"/>
          <w:color w:val="auto"/>
        </w:rPr>
        <w:t>Classification of Certain Cash Receipts and Cash Payments (Topic 230)</w:t>
      </w:r>
      <w:r>
        <w:rPr>
          <w:rFonts w:ascii="Arial" w:cs="Arial" w:eastAsia="Arial" w:hAnsi="Arial"/>
          <w:sz w:val="13"/>
          <w:szCs w:val="13"/>
          <w:color w:val="auto"/>
        </w:rPr>
        <w:t>, which provides guidance for eight specific cash flow issues with the objective of reducing the existing diversity in practice. The adoption of this standard did not materially impact our statements of cash flows, and no cash flow reclassifications were required for the prior years.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154" w:lineRule="exact"/>
        <w:rPr>
          <w:sz w:val="20"/>
          <w:szCs w:val="20"/>
          <w:color w:val="auto"/>
        </w:rPr>
      </w:pPr>
    </w:p>
    <w:p>
      <w:pPr>
        <w:jc w:val="both"/>
        <w:ind w:right="80"/>
        <w:spacing w:after="0" w:line="250" w:lineRule="auto"/>
        <w:rPr>
          <w:sz w:val="20"/>
          <w:szCs w:val="20"/>
          <w:color w:val="auto"/>
        </w:rPr>
      </w:pPr>
      <w:r>
        <w:rPr>
          <w:rFonts w:ascii="Arial" w:cs="Arial" w:eastAsia="Arial" w:hAnsi="Arial"/>
          <w:sz w:val="13"/>
          <w:szCs w:val="13"/>
          <w:color w:val="auto"/>
        </w:rPr>
        <w:t xml:space="preserve">In February 2016, the Financial Accounting Standards Board ("FASB") issued ASU 2016-02, </w:t>
      </w:r>
      <w:r>
        <w:rPr>
          <w:rFonts w:ascii="Arial" w:cs="Arial" w:eastAsia="Arial" w:hAnsi="Arial"/>
          <w:sz w:val="13"/>
          <w:szCs w:val="13"/>
          <w:i w:val="1"/>
          <w:iCs w:val="1"/>
          <w:color w:val="auto"/>
        </w:rPr>
        <w:t>Leases (Topic 842)</w:t>
      </w:r>
      <w:r>
        <w:rPr>
          <w:rFonts w:ascii="Arial" w:cs="Arial" w:eastAsia="Arial" w:hAnsi="Arial"/>
          <w:sz w:val="13"/>
          <w:szCs w:val="13"/>
          <w:color w:val="auto"/>
        </w:rPr>
        <w:t>, which requires an entity to recognize both assets and liabilities arising from financing and operating leases, along with additional qualitative and quantitative disclosures. We plan to adopt the standard as of September 1, 2019, the beginning of Fiscal 2020. We will elect the package of practical expedients permitted under the transition guidance within the new standard, which among other things, allows us to carryforward the historical lease classification. In addition, we are electing the hindsight practical expedient to determine the reasonably certain lease term for existing leases. We will make an accounting policy election to keep leases with an initial term of 12 months or less off of the balance sheet. We will recognize these lease payments in the Consolidated Statement of Income on a straight-line basis over the lease term.</w:t>
      </w:r>
    </w:p>
    <w:p>
      <w:pPr>
        <w:spacing w:after="0" w:line="141"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We estimate adoption of the standard will result in recognition of additional net lease assets and lease liabilities of approximately $34.0 million as of September 1, 2019. We do not believe the standard will materially impact our consolidated net earnings or our cash flows. As part of our adoption, we have also modified our control procedures and processes.</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 xml:space="preserve">In August 2017, the FASB issued ASU 2017-12, </w:t>
      </w:r>
      <w:r>
        <w:rPr>
          <w:rFonts w:ascii="Arial" w:cs="Arial" w:eastAsia="Arial" w:hAnsi="Arial"/>
          <w:sz w:val="13"/>
          <w:szCs w:val="13"/>
          <w:i w:val="1"/>
          <w:iCs w:val="1"/>
          <w:color w:val="auto"/>
        </w:rPr>
        <w:t>Derivatives and Hedging (Topic 815)</w:t>
      </w:r>
      <w:r>
        <w:rPr>
          <w:rFonts w:ascii="Arial" w:cs="Arial" w:eastAsia="Arial" w:hAnsi="Arial"/>
          <w:sz w:val="13"/>
          <w:szCs w:val="13"/>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expect to adopt the new guidance in the first quarter of Fiscal 2020, and we do not expect a material impact to our consolidated financial statements.</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 xml:space="preserve">In June 2016, the FASB issued ASU 2016-13, </w:t>
      </w:r>
      <w:r>
        <w:rPr>
          <w:rFonts w:ascii="Arial" w:cs="Arial" w:eastAsia="Arial" w:hAnsi="Arial"/>
          <w:sz w:val="13"/>
          <w:szCs w:val="13"/>
          <w:i w:val="1"/>
          <w:iCs w:val="1"/>
          <w:color w:val="auto"/>
        </w:rPr>
        <w:t>Financial Instruments - Credit Losses (Topic 326): Measurement of Credit Losses on Financial Instruments</w:t>
      </w:r>
      <w:r>
        <w:rPr>
          <w:rFonts w:ascii="Arial" w:cs="Arial" w:eastAsia="Arial" w:hAnsi="Arial"/>
          <w:sz w:val="13"/>
          <w:szCs w:val="13"/>
          <w:color w:val="auto"/>
        </w:rPr>
        <w:t>, and has since issued additional amendments. ASU 2016-13 will replace today’s “incurred loss” approach with an “expected loss” model for instruments measured at amortized cost. The standard is effective for annual reporting periods beginning after December 15, 2019 (our Fiscal 2021), including interim periods within those annual reporting periods. We expect to adopt the new guidance in the first quarter of Fiscal 2021, and we do not expect a material impact to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Business Combinations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Chris-Craft USA, Inc.</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On June 4, 2018, we acquired 100% of the ownership interest of Chris-Craft USA, Inc. ("Chris-Craft"). The acquisition diversifies our outdoor lifestyle value proposition into the recreational powerboat industry. The assets, liabilities, and operating results have been included in our financial statements from the date of acquisition within the Corporate / All Other category. Pro forma results of operations for this acquisition have not been presented, as it was immaterial to the reported results. The purchase price allocation was finalized during the fourth quarter of Fiscal 2019.</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40"/>
          </w:cols>
          <w:pgMar w:left="220" w:top="141" w:right="23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Grand Design RV, LLC</w:t>
      </w:r>
    </w:p>
    <w:p>
      <w:pPr>
        <w:spacing w:after="0" w:line="179" w:lineRule="exact"/>
        <w:rPr>
          <w:sz w:val="20"/>
          <w:szCs w:val="20"/>
          <w:color w:val="auto"/>
        </w:rPr>
      </w:pPr>
    </w:p>
    <w:p>
      <w:pPr>
        <w:ind w:right="300"/>
        <w:spacing w:after="0" w:line="285" w:lineRule="auto"/>
        <w:rPr>
          <w:sz w:val="20"/>
          <w:szCs w:val="20"/>
          <w:color w:val="auto"/>
        </w:rPr>
      </w:pPr>
      <w:r>
        <w:rPr>
          <w:rFonts w:ascii="Arial" w:cs="Arial" w:eastAsia="Arial" w:hAnsi="Arial"/>
          <w:sz w:val="13"/>
          <w:szCs w:val="13"/>
          <w:color w:val="auto"/>
        </w:rPr>
        <w:t>On November 8, 2016, we acquired 100% of the ownership interests of Grand Design RV, LLC ("Grand Design") in accordance with the Securities Purchase Agreement for an aggregate purchase price of $520.5 million, which was paid in cash and Winnebago common stock shares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shares)</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November 8, 2016</w:t>
            </w:r>
          </w:p>
        </w:tc>
      </w:tr>
      <w:tr>
        <w:trPr>
          <w:trHeight w:val="193"/>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396,442</w:t>
            </w:r>
          </w:p>
        </w:tc>
      </w:tr>
      <w:tr>
        <w:trPr>
          <w:trHeight w:val="186"/>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Winnebago shares: 4,586,555 at $27.05 per share</w:t>
            </w: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124,066</w:t>
            </w:r>
          </w:p>
        </w:tc>
      </w:tr>
      <w:tr>
        <w:trPr>
          <w:trHeight w:val="19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520,508</w:t>
            </w:r>
          </w:p>
        </w:tc>
      </w:tr>
      <w:tr>
        <w:trPr>
          <w:trHeight w:val="20"/>
        </w:trPr>
        <w:tc>
          <w:tcPr>
            <w:tcW w:w="9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cash portion was funded from cash on hand and borrowings under our debt agreements discussed in Note 9, </w:t>
      </w:r>
      <w:r>
        <w:rPr>
          <w:rFonts w:ascii="Arial" w:cs="Arial" w:eastAsia="Arial" w:hAnsi="Arial"/>
          <w:sz w:val="13"/>
          <w:szCs w:val="13"/>
          <w:i w:val="1"/>
          <w:iCs w:val="1"/>
          <w:color w:val="auto"/>
        </w:rPr>
        <w:t>Long-Term Debt</w:t>
      </w:r>
      <w:r>
        <w:rPr>
          <w:rFonts w:ascii="Arial" w:cs="Arial" w:eastAsia="Arial" w:hAnsi="Arial"/>
          <w:sz w:val="13"/>
          <w:szCs w:val="13"/>
          <w:color w:val="auto"/>
        </w:rPr>
        <w:t>. The stock was valued using our share price on the date of closing.</w:t>
      </w:r>
    </w:p>
    <w:p>
      <w:pPr>
        <w:spacing w:after="0" w:line="152" w:lineRule="exact"/>
        <w:rPr>
          <w:sz w:val="20"/>
          <w:szCs w:val="20"/>
          <w:color w:val="auto"/>
        </w:rPr>
      </w:pPr>
    </w:p>
    <w:p>
      <w:pPr>
        <w:ind w:right="260"/>
        <w:spacing w:after="0" w:line="257" w:lineRule="auto"/>
        <w:rPr>
          <w:sz w:val="20"/>
          <w:szCs w:val="20"/>
          <w:color w:val="auto"/>
        </w:rPr>
      </w:pPr>
      <w:r>
        <w:rPr>
          <w:rFonts w:ascii="Arial" w:cs="Arial" w:eastAsia="Arial" w:hAnsi="Arial"/>
          <w:sz w:val="13"/>
          <w:szCs w:val="13"/>
          <w:color w:val="auto"/>
        </w:rPr>
        <w:t xml:space="preserve">The acquisition has been accounted for in accordance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using the acquisition method of accounting. Under the acquisition method of accounting, the total purchase price was allocated to the net tangible and intangible assets of Grand Design acquired, based on their fair values at the date of the acquisition. The purchase price allocation was finalized during the first quarter of Fiscal 2018.</w:t>
      </w:r>
    </w:p>
    <w:p>
      <w:pPr>
        <w:spacing w:after="0" w:line="137" w:lineRule="exact"/>
        <w:rPr>
          <w:sz w:val="20"/>
          <w:szCs w:val="20"/>
          <w:color w:val="auto"/>
        </w:rPr>
      </w:pPr>
    </w:p>
    <w:p>
      <w:pPr>
        <w:jc w:val="both"/>
        <w:ind w:right="180"/>
        <w:spacing w:after="0" w:line="245" w:lineRule="auto"/>
        <w:rPr>
          <w:sz w:val="20"/>
          <w:szCs w:val="20"/>
          <w:color w:val="auto"/>
        </w:rPr>
      </w:pPr>
      <w:r>
        <w:rPr>
          <w:rFonts w:ascii="Arial" w:cs="Arial" w:eastAsia="Arial" w:hAnsi="Arial"/>
          <w:sz w:val="13"/>
          <w:szCs w:val="13"/>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SP GE VIII-B GD RV Blocker Corp. ("Blocker Corporation"), which held the remaining 10.66% of the Grand Design member interests. We agreed to acquire Blocker Corporation as part of the Securities Purchase Agreement, and we did not receive a step-up in basis for 10.66% of the Grand Design assets. As a result, we established certain deferred tax liabilities on the opening balance sheet that relate to Blocker Corporation. In Fiscal 2018, Blocker Corporation was dissolved.</w:t>
      </w:r>
    </w:p>
    <w:p>
      <w:pPr>
        <w:spacing w:after="0" w:line="144" w:lineRule="exact"/>
        <w:rPr>
          <w:sz w:val="20"/>
          <w:szCs w:val="20"/>
          <w:color w:val="auto"/>
        </w:rPr>
      </w:pPr>
    </w:p>
    <w:p>
      <w:pPr>
        <w:jc w:val="both"/>
        <w:ind w:right="200"/>
        <w:spacing w:after="0" w:line="251" w:lineRule="auto"/>
        <w:rPr>
          <w:sz w:val="20"/>
          <w:szCs w:val="20"/>
          <w:color w:val="auto"/>
        </w:rPr>
      </w:pPr>
      <w:r>
        <w:rPr>
          <w:rFonts w:ascii="Arial" w:cs="Arial" w:eastAsia="Arial" w:hAnsi="Arial"/>
          <w:sz w:val="13"/>
          <w:szCs w:val="13"/>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w:t>
      </w:r>
    </w:p>
    <w:p>
      <w:pPr>
        <w:spacing w:after="0" w:line="140" w:lineRule="exact"/>
        <w:rPr>
          <w:sz w:val="20"/>
          <w:szCs w:val="20"/>
          <w:color w:val="auto"/>
        </w:rPr>
      </w:pPr>
    </w:p>
    <w:p>
      <w:pPr>
        <w:ind w:right="260"/>
        <w:spacing w:after="0" w:line="246" w:lineRule="auto"/>
        <w:rPr>
          <w:sz w:val="20"/>
          <w:szCs w:val="20"/>
          <w:color w:val="auto"/>
        </w:rPr>
      </w:pPr>
      <w:r>
        <w:rPr>
          <w:rFonts w:ascii="Arial" w:cs="Arial" w:eastAsia="Arial" w:hAnsi="Arial"/>
          <w:sz w:val="13"/>
          <w:szCs w:val="13"/>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Fiscal 2019, 2018, and 2017 following the November 8, 2016 closing date: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9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2017</w:t>
            </w:r>
          </w:p>
        </w:tc>
      </w:tr>
      <w:tr>
        <w:trPr>
          <w:trHeight w:val="203"/>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92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1,069,862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969,362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559,664</w:t>
            </w:r>
          </w:p>
        </w:tc>
      </w:tr>
      <w:tr>
        <w:trPr>
          <w:trHeight w:val="200"/>
        </w:trPr>
        <w:tc>
          <w:tcPr>
            <w:tcW w:w="35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29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145,900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129,123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54,188</w:t>
            </w:r>
          </w:p>
        </w:tc>
      </w:tr>
    </w:tbl>
    <w:p>
      <w:pPr>
        <w:spacing w:after="0" w:line="168"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 Unaudited pro forma information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4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2017</w:t>
            </w:r>
            <w:r>
              <w:rPr>
                <w:rFonts w:ascii="Arial" w:cs="Arial" w:eastAsia="Arial" w:hAnsi="Arial"/>
                <w:sz w:val="17"/>
                <w:szCs w:val="17"/>
                <w:b w:val="1"/>
                <w:bCs w:val="1"/>
                <w:color w:val="auto"/>
                <w:vertAlign w:val="superscript"/>
              </w:rPr>
              <w:t>(1)</w:t>
            </w:r>
          </w:p>
        </w:tc>
      </w:tr>
      <w:tr>
        <w:trPr>
          <w:trHeight w:val="185"/>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408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1,642,786</w:t>
            </w:r>
          </w:p>
        </w:tc>
      </w:tr>
      <w:tr>
        <w:trPr>
          <w:trHeight w:val="186"/>
        </w:trPr>
        <w:tc>
          <w:tcPr>
            <w:tcW w:w="60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4080" w:type="dxa"/>
            <w:vAlign w:val="bottom"/>
          </w:tcPr>
          <w:p>
            <w:pPr>
              <w:spacing w:after="0"/>
              <w:rPr>
                <w:sz w:val="16"/>
                <w:szCs w:val="16"/>
                <w:color w:val="auto"/>
              </w:rPr>
            </w:pPr>
          </w:p>
        </w:tc>
        <w:tc>
          <w:tcPr>
            <w:tcW w:w="1340" w:type="dxa"/>
            <w:vAlign w:val="bottom"/>
          </w:tcPr>
          <w:p>
            <w:pPr>
              <w:jc w:val="right"/>
              <w:ind w:right="35"/>
              <w:spacing w:after="0"/>
              <w:rPr>
                <w:sz w:val="20"/>
                <w:szCs w:val="20"/>
                <w:color w:val="auto"/>
              </w:rPr>
            </w:pPr>
            <w:r>
              <w:rPr>
                <w:rFonts w:ascii="Arial" w:cs="Arial" w:eastAsia="Arial" w:hAnsi="Arial"/>
                <w:sz w:val="13"/>
                <w:szCs w:val="13"/>
                <w:color w:val="auto"/>
              </w:rPr>
              <w:t>91,163</w:t>
            </w:r>
          </w:p>
        </w:tc>
      </w:tr>
      <w:tr>
        <w:trPr>
          <w:trHeight w:val="202"/>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per share - basic</w:t>
            </w:r>
          </w:p>
        </w:tc>
        <w:tc>
          <w:tcPr>
            <w:tcW w:w="40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2.89</w:t>
            </w:r>
          </w:p>
        </w:tc>
      </w:tr>
      <w:tr>
        <w:trPr>
          <w:trHeight w:val="178"/>
        </w:trPr>
        <w:tc>
          <w:tcPr>
            <w:tcW w:w="6040" w:type="dxa"/>
            <w:vAlign w:val="bottom"/>
          </w:tcPr>
          <w:p>
            <w:pPr>
              <w:ind w:left="20"/>
              <w:spacing w:after="0"/>
              <w:rPr>
                <w:sz w:val="20"/>
                <w:szCs w:val="20"/>
                <w:color w:val="auto"/>
              </w:rPr>
            </w:pPr>
            <w:r>
              <w:rPr>
                <w:rFonts w:ascii="Arial" w:cs="Arial" w:eastAsia="Arial" w:hAnsi="Arial"/>
                <w:sz w:val="13"/>
                <w:szCs w:val="13"/>
                <w:color w:val="auto"/>
              </w:rPr>
              <w:t>Income per share - diluted</w:t>
            </w:r>
          </w:p>
        </w:tc>
        <w:tc>
          <w:tcPr>
            <w:tcW w:w="4080" w:type="dxa"/>
            <w:vAlign w:val="bottom"/>
          </w:tcPr>
          <w:p>
            <w:pPr>
              <w:spacing w:after="0"/>
              <w:rPr>
                <w:sz w:val="15"/>
                <w:szCs w:val="15"/>
                <w:color w:val="auto"/>
              </w:rPr>
            </w:pPr>
          </w:p>
        </w:tc>
        <w:tc>
          <w:tcPr>
            <w:tcW w:w="1340" w:type="dxa"/>
            <w:vAlign w:val="bottom"/>
          </w:tcPr>
          <w:p>
            <w:pPr>
              <w:jc w:val="right"/>
              <w:ind w:right="35"/>
              <w:spacing w:after="0"/>
              <w:rPr>
                <w:sz w:val="20"/>
                <w:szCs w:val="20"/>
                <w:color w:val="auto"/>
              </w:rPr>
            </w:pPr>
            <w:r>
              <w:rPr>
                <w:rFonts w:ascii="Arial" w:cs="Arial" w:eastAsia="Arial" w:hAnsi="Arial"/>
                <w:sz w:val="13"/>
                <w:szCs w:val="13"/>
                <w:color w:val="auto"/>
              </w:rPr>
              <w:t>2.88</w:t>
            </w:r>
          </w:p>
        </w:tc>
      </w:tr>
    </w:tbl>
    <w:p>
      <w:pPr>
        <w:spacing w:after="0" w:line="63" w:lineRule="exact"/>
        <w:rPr>
          <w:sz w:val="20"/>
          <w:szCs w:val="20"/>
          <w:color w:val="auto"/>
        </w:rPr>
      </w:pPr>
    </w:p>
    <w:p>
      <w:pPr>
        <w:ind w:left="200" w:hanging="194"/>
        <w:spacing w:after="0"/>
        <w:tabs>
          <w:tab w:leader="none" w:pos="2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Net income and income per share include the increased benefit of $16.3 million, net of tax, associated with the termination of the postretirement health care plan in Fiscal 2017.</w:t>
      </w:r>
    </w:p>
    <w:p>
      <w:pPr>
        <w:spacing w:after="0" w:line="345" w:lineRule="exact"/>
        <w:rPr>
          <w:rFonts w:ascii="Arial" w:cs="Arial" w:eastAsia="Arial" w:hAnsi="Arial"/>
          <w:sz w:val="11"/>
          <w:szCs w:val="11"/>
          <w:color w:val="auto"/>
        </w:rPr>
      </w:pPr>
    </w:p>
    <w:p>
      <w:pPr>
        <w:ind w:left="5660"/>
        <w:spacing w:after="0"/>
        <w:rPr>
          <w:rFonts w:ascii="Arial" w:cs="Arial" w:eastAsia="Arial" w:hAnsi="Arial"/>
          <w:sz w:val="11"/>
          <w:szCs w:val="11"/>
          <w:color w:val="auto"/>
        </w:rPr>
      </w:pPr>
      <w:r>
        <w:rPr>
          <w:rFonts w:ascii="Arial" w:cs="Arial" w:eastAsia="Arial" w:hAnsi="Arial"/>
          <w:sz w:val="13"/>
          <w:szCs w:val="13"/>
          <w:color w:val="auto"/>
        </w:rPr>
        <w:t>49</w:t>
      </w:r>
    </w:p>
    <w:p>
      <w:pPr>
        <w:sectPr>
          <w:pgSz w:w="11900" w:h="16838" w:orient="portrait"/>
          <w:cols w:equalWidth="0" w:num="1">
            <w:col w:w="11460"/>
          </w:cols>
          <w:pgMar w:left="220" w:top="141" w:right="21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2017</w:t>
            </w:r>
          </w:p>
        </w:tc>
      </w:tr>
      <w:tr>
        <w:trPr>
          <w:trHeight w:val="193"/>
        </w:trPr>
        <w:tc>
          <w:tcPr>
            <w:tcW w:w="7460" w:type="dxa"/>
            <w:vAlign w:val="bottom"/>
            <w:shd w:val="clear" w:color="auto" w:fill="CCEEFF"/>
          </w:tcPr>
          <w:p>
            <w:pPr>
              <w:ind w:left="20"/>
              <w:spacing w:after="0" w:line="193" w:lineRule="exact"/>
              <w:rPr>
                <w:sz w:val="20"/>
                <w:szCs w:val="20"/>
                <w:color w:val="auto"/>
              </w:rPr>
            </w:pPr>
            <w:r>
              <w:rPr>
                <w:rFonts w:ascii="Arial" w:cs="Arial" w:eastAsia="Arial" w:hAnsi="Arial"/>
                <w:sz w:val="13"/>
                <w:szCs w:val="13"/>
                <w:color w:val="auto"/>
              </w:rPr>
              <w:t>Amortization of intangibles (1 year or less useful life)</w:t>
            </w:r>
            <w:r>
              <w:rPr>
                <w:rFonts w:ascii="Arial" w:cs="Arial" w:eastAsia="Arial" w:hAnsi="Arial"/>
                <w:sz w:val="17"/>
                <w:szCs w:val="17"/>
                <w:color w:val="auto"/>
                <w:vertAlign w:val="superscript"/>
              </w:rPr>
              <w:t>(1)</w:t>
            </w:r>
          </w:p>
        </w:tc>
        <w:tc>
          <w:tcPr>
            <w:tcW w:w="27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(18,751)</w:t>
            </w:r>
          </w:p>
        </w:tc>
      </w:tr>
      <w:tr>
        <w:trPr>
          <w:trHeight w:val="194"/>
        </w:trPr>
        <w:tc>
          <w:tcPr>
            <w:tcW w:w="7460" w:type="dxa"/>
            <w:vAlign w:val="bottom"/>
          </w:tcPr>
          <w:p>
            <w:pPr>
              <w:ind w:left="20"/>
              <w:spacing w:after="0" w:line="194" w:lineRule="exact"/>
              <w:rPr>
                <w:sz w:val="20"/>
                <w:szCs w:val="20"/>
                <w:color w:val="auto"/>
              </w:rPr>
            </w:pPr>
            <w:r>
              <w:rPr>
                <w:rFonts w:ascii="Arial" w:cs="Arial" w:eastAsia="Arial" w:hAnsi="Arial"/>
                <w:sz w:val="13"/>
                <w:szCs w:val="13"/>
                <w:color w:val="auto"/>
              </w:rPr>
              <w:t>Increase in amortization of intangibles</w:t>
            </w:r>
            <w:r>
              <w:rPr>
                <w:rFonts w:ascii="Arial" w:cs="Arial" w:eastAsia="Arial" w:hAnsi="Arial"/>
                <w:sz w:val="17"/>
                <w:szCs w:val="17"/>
                <w:color w:val="auto"/>
                <w:vertAlign w:val="superscript"/>
              </w:rPr>
              <w:t>(1)</w:t>
            </w:r>
          </w:p>
        </w:tc>
        <w:tc>
          <w:tcPr>
            <w:tcW w:w="270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1,551</w:t>
            </w:r>
          </w:p>
        </w:tc>
      </w:tr>
      <w:tr>
        <w:trPr>
          <w:trHeight w:val="194"/>
        </w:trPr>
        <w:tc>
          <w:tcPr>
            <w:tcW w:w="7460" w:type="dxa"/>
            <w:vAlign w:val="bottom"/>
            <w:shd w:val="clear" w:color="auto" w:fill="CCEEFF"/>
          </w:tcPr>
          <w:p>
            <w:pPr>
              <w:ind w:left="20"/>
              <w:spacing w:after="0" w:line="194" w:lineRule="exact"/>
              <w:rPr>
                <w:sz w:val="20"/>
                <w:szCs w:val="20"/>
                <w:color w:val="auto"/>
              </w:rPr>
            </w:pPr>
            <w:r>
              <w:rPr>
                <w:rFonts w:ascii="Arial" w:cs="Arial" w:eastAsia="Arial" w:hAnsi="Arial"/>
                <w:sz w:val="13"/>
                <w:szCs w:val="13"/>
                <w:color w:val="auto"/>
              </w:rPr>
              <w:t>Expenses related to business combination (transaction costs)</w:t>
            </w:r>
            <w:r>
              <w:rPr>
                <w:rFonts w:ascii="Arial" w:cs="Arial" w:eastAsia="Arial" w:hAnsi="Arial"/>
                <w:sz w:val="17"/>
                <w:szCs w:val="17"/>
                <w:color w:val="auto"/>
                <w:vertAlign w:val="superscript"/>
              </w:rPr>
              <w:t>(2)</w:t>
            </w:r>
          </w:p>
        </w:tc>
        <w:tc>
          <w:tcPr>
            <w:tcW w:w="27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(6,649)</w:t>
            </w:r>
          </w:p>
        </w:tc>
      </w:tr>
      <w:tr>
        <w:trPr>
          <w:trHeight w:val="194"/>
        </w:trPr>
        <w:tc>
          <w:tcPr>
            <w:tcW w:w="7460" w:type="dxa"/>
            <w:vAlign w:val="bottom"/>
          </w:tcPr>
          <w:p>
            <w:pPr>
              <w:ind w:left="20"/>
              <w:spacing w:after="0" w:line="194" w:lineRule="exact"/>
              <w:rPr>
                <w:sz w:val="20"/>
                <w:szCs w:val="20"/>
                <w:color w:val="auto"/>
              </w:rPr>
            </w:pPr>
            <w:r>
              <w:rPr>
                <w:rFonts w:ascii="Arial" w:cs="Arial" w:eastAsia="Arial" w:hAnsi="Arial"/>
                <w:sz w:val="13"/>
                <w:szCs w:val="13"/>
                <w:color w:val="auto"/>
              </w:rPr>
              <w:t>Interest to reflect new debt structure</w:t>
            </w:r>
            <w:r>
              <w:rPr>
                <w:rFonts w:ascii="Arial" w:cs="Arial" w:eastAsia="Arial" w:hAnsi="Arial"/>
                <w:sz w:val="17"/>
                <w:szCs w:val="17"/>
                <w:color w:val="auto"/>
                <w:vertAlign w:val="superscript"/>
              </w:rPr>
              <w:t>(3)</w:t>
            </w:r>
          </w:p>
        </w:tc>
        <w:tc>
          <w:tcPr>
            <w:tcW w:w="270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3,672</w:t>
            </w:r>
          </w:p>
        </w:tc>
      </w:tr>
      <w:tr>
        <w:trPr>
          <w:trHeight w:val="194"/>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Taxes related to the adjustments to the pro forma data and to the income of Grand Design</w:t>
            </w:r>
          </w:p>
        </w:tc>
        <w:tc>
          <w:tcPr>
            <w:tcW w:w="27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11,648</w:t>
            </w:r>
          </w:p>
        </w:tc>
      </w:tr>
    </w:tbl>
    <w:p>
      <w:pPr>
        <w:spacing w:after="0" w:line="35" w:lineRule="exact"/>
        <w:rPr>
          <w:sz w:val="20"/>
          <w:szCs w:val="20"/>
          <w:color w:val="auto"/>
        </w:rPr>
      </w:pPr>
    </w:p>
    <w:p>
      <w:pPr>
        <w:ind w:left="200" w:hanging="194"/>
        <w:spacing w:after="0"/>
        <w:tabs>
          <w:tab w:leader="none" w:pos="2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Refer to Note 7, </w:t>
      </w:r>
      <w:r>
        <w:rPr>
          <w:rFonts w:ascii="Arial" w:cs="Arial" w:eastAsia="Arial" w:hAnsi="Arial"/>
          <w:sz w:val="11"/>
          <w:szCs w:val="11"/>
          <w:i w:val="1"/>
          <w:iCs w:val="1"/>
          <w:color w:val="auto"/>
        </w:rPr>
        <w:t>Goodwill and Intangible Assets</w:t>
      </w:r>
      <w:r>
        <w:rPr>
          <w:rFonts w:ascii="Arial" w:cs="Arial" w:eastAsia="Arial" w:hAnsi="Arial"/>
          <w:sz w:val="11"/>
          <w:szCs w:val="11"/>
          <w:color w:val="auto"/>
        </w:rPr>
        <w:t>, for additional information on the intangible assets recorded as a result of the acquisition.</w:t>
      </w:r>
    </w:p>
    <w:p>
      <w:pPr>
        <w:spacing w:after="0" w:line="14" w:lineRule="exact"/>
        <w:rPr>
          <w:rFonts w:ascii="Arial" w:cs="Arial" w:eastAsia="Arial" w:hAnsi="Arial"/>
          <w:sz w:val="11"/>
          <w:szCs w:val="11"/>
          <w:color w:val="auto"/>
        </w:rPr>
      </w:pPr>
    </w:p>
    <w:p>
      <w:pPr>
        <w:ind w:left="200" w:hanging="194"/>
        <w:spacing w:after="0"/>
        <w:tabs>
          <w:tab w:leader="none" w:pos="2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Pro forma transaction costs include $0.1 million incurred by Grand Design prior to the acquisition.</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Refer to Note 9, </w:t>
      </w:r>
      <w:r>
        <w:rPr>
          <w:rFonts w:ascii="Arial" w:cs="Arial" w:eastAsia="Arial" w:hAnsi="Arial"/>
          <w:sz w:val="11"/>
          <w:szCs w:val="11"/>
          <w:i w:val="1"/>
          <w:iCs w:val="1"/>
          <w:color w:val="auto"/>
        </w:rPr>
        <w:t>Long-Term Debt</w:t>
      </w:r>
      <w:r>
        <w:rPr>
          <w:rFonts w:ascii="Arial" w:cs="Arial" w:eastAsia="Arial" w:hAnsi="Arial"/>
          <w:sz w:val="11"/>
          <w:szCs w:val="11"/>
          <w:color w:val="auto"/>
        </w:rPr>
        <w:t>, for additional information on the new debt structure as a result of the acquisition.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We incurred approximately $7.0 million of acquisition-related costs to date, of which $0.1 million and $6.6 million was expensed during Fiscal 2018 and 2017,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Registration</w:t>
      </w:r>
    </w:p>
    <w:p>
      <w:pPr>
        <w:spacing w:after="0" w:line="166" w:lineRule="exact"/>
        <w:rPr>
          <w:sz w:val="20"/>
          <w:szCs w:val="20"/>
          <w:color w:val="auto"/>
        </w:rPr>
      </w:pPr>
    </w:p>
    <w:p>
      <w:pPr>
        <w:ind w:right="80"/>
        <w:spacing w:after="0" w:line="246" w:lineRule="auto"/>
        <w:rPr>
          <w:sz w:val="20"/>
          <w:szCs w:val="20"/>
          <w:color w:val="auto"/>
        </w:rPr>
      </w:pPr>
      <w:r>
        <w:rPr>
          <w:rFonts w:ascii="Arial" w:cs="Arial" w:eastAsia="Arial" w:hAnsi="Arial"/>
          <w:sz w:val="13"/>
          <w:szCs w:val="13"/>
          <w:color w:val="auto"/>
        </w:rPr>
        <w:t>As a result of the acquisition of Grand Design, we agreed to register the 4,586,555 shares of common stock issued to the sellers pursuant to the terms of a registration rights agreement. Under the registration rights agreement, we filed a shelf registration statement on January 20, 2017 to register these shares for resale. On April 11, 2017, pursuant to an underwriting agreement dated as of April 5, 2017, by and among the Company, certain of the sellers, and Morgan Stanley &amp; Co., LLC, the sellers sold 2,293,277 shares of common stock in an underwritten block trade.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Business Segments</w:t>
      </w:r>
    </w:p>
    <w:p>
      <w:pPr>
        <w:spacing w:after="0" w:line="168"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We have identified five operating segments: 1) Grand Design towables, 2) Winnebago towables, 3) Winnebago motorhomes, 4) Chris-Craft marine, and 5) Winnebago specialty vehicles. We evaluate performance based on each operating segment's Adjusted EBITDA, as defined below, which excludes certain corporate administration expenses and non-operating income and expense.</w:t>
      </w:r>
    </w:p>
    <w:p>
      <w:pPr>
        <w:spacing w:after="0" w:line="140" w:lineRule="exact"/>
        <w:rPr>
          <w:sz w:val="20"/>
          <w:szCs w:val="20"/>
          <w:color w:val="auto"/>
        </w:rPr>
      </w:pPr>
    </w:p>
    <w:p>
      <w:pPr>
        <w:ind w:right="180"/>
        <w:spacing w:after="0" w:line="246" w:lineRule="auto"/>
        <w:rPr>
          <w:sz w:val="20"/>
          <w:szCs w:val="20"/>
          <w:color w:val="auto"/>
        </w:rPr>
      </w:pPr>
      <w:r>
        <w:rPr>
          <w:rFonts w:ascii="Arial" w:cs="Arial" w:eastAsia="Arial" w:hAnsi="Arial"/>
          <w:sz w:val="13"/>
          <w:szCs w:val="13"/>
          <w:color w:val="auto"/>
        </w:rPr>
        <w:t>Our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 chassis as well as other related manufactured products and services).</w:t>
      </w:r>
    </w:p>
    <w:p>
      <w:pPr>
        <w:spacing w:after="0" w:line="144"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 xml:space="preserve">Our chief operating decision maker ("CODM") is our Chief Executive Officer. Our CODM relies on internal management reporting that analyzes consolidated results to the net earnings level and operating segment's Adjusted EBITDA. Our CODM has ultimate responsibility for enterprise decisions. Our CODM determines, in particular, resource allocation for, and monitors the performance of, the consolidated enterprise, the Towable segment, and the Motorhome segment. The Towable segment management and Motorhome segment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3"/>
          <w:szCs w:val="13"/>
          <w:i w:val="1"/>
          <w:iCs w:val="1"/>
          <w:color w:val="auto"/>
        </w:rPr>
        <w:t>Summary of</w:t>
      </w:r>
      <w:r>
        <w:rPr>
          <w:rFonts w:ascii="Arial" w:cs="Arial" w:eastAsia="Arial" w:hAnsi="Arial"/>
          <w:sz w:val="13"/>
          <w:szCs w:val="13"/>
          <w:color w:val="auto"/>
        </w:rPr>
        <w:t xml:space="preserve"> </w:t>
      </w:r>
      <w:r>
        <w:rPr>
          <w:rFonts w:ascii="Arial" w:cs="Arial" w:eastAsia="Arial" w:hAnsi="Arial"/>
          <w:sz w:val="13"/>
          <w:szCs w:val="13"/>
          <w:i w:val="1"/>
          <w:iCs w:val="1"/>
          <w:color w:val="auto"/>
        </w:rPr>
        <w:t>Significant Accounting Policies</w:t>
      </w:r>
      <w:r>
        <w:rPr>
          <w:rFonts w:ascii="Arial" w:cs="Arial" w:eastAsia="Arial" w:hAnsi="Arial"/>
          <w:sz w:val="13"/>
          <w:szCs w:val="13"/>
          <w:color w:val="auto"/>
        </w:rPr>
        <w:t>.</w:t>
      </w:r>
    </w:p>
    <w:p>
      <w:pPr>
        <w:spacing w:after="0" w:line="145" w:lineRule="exact"/>
        <w:rPr>
          <w:sz w:val="20"/>
          <w:szCs w:val="20"/>
          <w:color w:val="auto"/>
        </w:rPr>
      </w:pPr>
    </w:p>
    <w:p>
      <w:pPr>
        <w:ind w:right="140"/>
        <w:spacing w:after="0" w:line="245" w:lineRule="auto"/>
        <w:rPr>
          <w:sz w:val="20"/>
          <w:szCs w:val="20"/>
          <w:color w:val="auto"/>
        </w:rPr>
      </w:pPr>
      <w:r>
        <w:rPr>
          <w:rFonts w:ascii="Arial" w:cs="Arial" w:eastAsia="Arial" w:hAnsi="Arial"/>
          <w:sz w:val="13"/>
          <w:szCs w:val="13"/>
          <w:color w:val="auto"/>
        </w:rPr>
        <w:t>We evaluate the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year to year. Examples of items excluded from Adjusted EBITDA include the postretirement health care benefit income from terminating the plan, acquisition-related costs, restructuring expenses, and non-operating income.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460"/>
          </w:cols>
          <w:pgMar w:left="220" w:top="141"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3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5000" w:type="dxa"/>
            <w:vAlign w:val="bottom"/>
            <w:gridSpan w:val="2"/>
          </w:tcPr>
          <w:p>
            <w:pPr>
              <w:spacing w:after="0"/>
              <w:rPr>
                <w:sz w:val="20"/>
                <w:szCs w:val="20"/>
                <w:color w:val="auto"/>
              </w:rPr>
            </w:pPr>
            <w:r>
              <w:rPr>
                <w:rFonts w:ascii="Arial" w:cs="Arial" w:eastAsia="Arial" w:hAnsi="Arial"/>
                <w:sz w:val="13"/>
                <w:szCs w:val="13"/>
                <w:color w:val="auto"/>
              </w:rPr>
              <w:t>The following table shows information by reportable segment: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0" w:type="dxa"/>
            <w:vAlign w:val="bottom"/>
            <w:gridSpan w:val="2"/>
          </w:tcPr>
          <w:p>
            <w:pPr>
              <w:ind w:left="20"/>
              <w:spacing w:after="0"/>
              <w:rPr>
                <w:sz w:val="20"/>
                <w:szCs w:val="20"/>
                <w:color w:val="auto"/>
              </w:rPr>
            </w:pPr>
            <w:r>
              <w:rPr>
                <w:rFonts w:ascii="Arial" w:cs="Arial" w:eastAsia="Arial" w:hAnsi="Arial"/>
                <w:sz w:val="13"/>
                <w:szCs w:val="13"/>
                <w:color w:val="auto"/>
              </w:rPr>
              <w:t>Towable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1,197,327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3"/>
                <w:szCs w:val="13"/>
                <w:color w:val="auto"/>
              </w:rPr>
              <w:t>1,127,723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5"/>
              <w:spacing w:after="0"/>
              <w:rPr>
                <w:sz w:val="20"/>
                <w:szCs w:val="20"/>
                <w:color w:val="auto"/>
              </w:rPr>
            </w:pPr>
            <w:r>
              <w:rPr>
                <w:rFonts w:ascii="Arial" w:cs="Arial" w:eastAsia="Arial" w:hAnsi="Arial"/>
                <w:sz w:val="13"/>
                <w:szCs w:val="13"/>
                <w:color w:val="auto"/>
              </w:rPr>
              <w:t>685,197</w:t>
            </w:r>
          </w:p>
        </w:tc>
        <w:tc>
          <w:tcPr>
            <w:tcW w:w="0" w:type="dxa"/>
            <w:vAlign w:val="bottom"/>
          </w:tcPr>
          <w:p>
            <w:pPr>
              <w:spacing w:after="0"/>
              <w:rPr>
                <w:sz w:val="1"/>
                <w:szCs w:val="1"/>
                <w:color w:val="auto"/>
              </w:rPr>
            </w:pPr>
          </w:p>
        </w:tc>
      </w:tr>
      <w:tr>
        <w:trPr>
          <w:trHeight w:val="22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706,927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860,675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853,360</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Corporate / All Other</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81,420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28,431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8,562</w:t>
            </w:r>
          </w:p>
        </w:tc>
        <w:tc>
          <w:tcPr>
            <w:tcW w:w="0" w:type="dxa"/>
            <w:vAlign w:val="bottom"/>
          </w:tcPr>
          <w:p>
            <w:pPr>
              <w:spacing w:after="0"/>
              <w:rPr>
                <w:sz w:val="1"/>
                <w:szCs w:val="1"/>
                <w:color w:val="auto"/>
              </w:rPr>
            </w:pPr>
          </w:p>
        </w:tc>
      </w:tr>
      <w:tr>
        <w:trPr>
          <w:trHeight w:val="19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1,985,674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2,016,829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1,547,119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0" w:type="dxa"/>
            <w:vAlign w:val="bottom"/>
            <w:gridSpan w:val="2"/>
          </w:tcPr>
          <w:p>
            <w:pPr>
              <w:ind w:left="20"/>
              <w:spacing w:after="0"/>
              <w:rPr>
                <w:sz w:val="20"/>
                <w:szCs w:val="20"/>
                <w:color w:val="auto"/>
              </w:rPr>
            </w:pPr>
            <w:r>
              <w:rPr>
                <w:rFonts w:ascii="Arial" w:cs="Arial" w:eastAsia="Arial" w:hAnsi="Arial"/>
                <w:sz w:val="13"/>
                <w:szCs w:val="13"/>
                <w:color w:val="auto"/>
              </w:rPr>
              <w:t>Towable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163,677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3"/>
                <w:szCs w:val="13"/>
                <w:color w:val="auto"/>
              </w:rPr>
              <w:t>157,010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5"/>
              <w:spacing w:after="0"/>
              <w:rPr>
                <w:sz w:val="20"/>
                <w:szCs w:val="20"/>
                <w:color w:val="auto"/>
              </w:rPr>
            </w:pPr>
            <w:r>
              <w:rPr>
                <w:rFonts w:ascii="Arial" w:cs="Arial" w:eastAsia="Arial" w:hAnsi="Arial"/>
                <w:sz w:val="13"/>
                <w:szCs w:val="13"/>
                <w:color w:val="auto"/>
              </w:rPr>
              <w:t>89,734</w:t>
            </w:r>
          </w:p>
        </w:tc>
        <w:tc>
          <w:tcPr>
            <w:tcW w:w="0" w:type="dxa"/>
            <w:vAlign w:val="bottom"/>
          </w:tcPr>
          <w:p>
            <w:pPr>
              <w:spacing w:after="0"/>
              <w:rPr>
                <w:sz w:val="1"/>
                <w:szCs w:val="1"/>
                <w:color w:val="auto"/>
              </w:rPr>
            </w:pPr>
          </w:p>
        </w:tc>
      </w:tr>
      <w:tr>
        <w:trPr>
          <w:trHeight w:val="22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27,455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35,508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56,518</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Corporate / All Other</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(11,480)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(10,772)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(7,375)</w:t>
            </w:r>
          </w:p>
        </w:tc>
        <w:tc>
          <w:tcPr>
            <w:tcW w:w="0" w:type="dxa"/>
            <w:vAlign w:val="bottom"/>
          </w:tcPr>
          <w:p>
            <w:pPr>
              <w:spacing w:after="0"/>
              <w:rPr>
                <w:sz w:val="1"/>
                <w:szCs w:val="1"/>
                <w:color w:val="auto"/>
              </w:rPr>
            </w:pPr>
          </w:p>
        </w:tc>
      </w:tr>
      <w:tr>
        <w:trPr>
          <w:trHeight w:val="19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179,652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181,746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138,877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0" w:type="dxa"/>
            <w:vAlign w:val="bottom"/>
            <w:gridSpan w:val="2"/>
          </w:tcPr>
          <w:p>
            <w:pPr>
              <w:ind w:left="20"/>
              <w:spacing w:after="0"/>
              <w:rPr>
                <w:sz w:val="20"/>
                <w:szCs w:val="20"/>
                <w:color w:val="auto"/>
              </w:rPr>
            </w:pPr>
            <w:r>
              <w:rPr>
                <w:rFonts w:ascii="Arial" w:cs="Arial" w:eastAsia="Arial" w:hAnsi="Arial"/>
                <w:sz w:val="13"/>
                <w:szCs w:val="13"/>
                <w:color w:val="auto"/>
              </w:rPr>
              <w:t>Towable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27,679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3"/>
                <w:szCs w:val="13"/>
                <w:color w:val="auto"/>
              </w:rPr>
              <w:t>18,460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5"/>
              <w:spacing w:after="0"/>
              <w:rPr>
                <w:sz w:val="20"/>
                <w:szCs w:val="20"/>
                <w:color w:val="auto"/>
              </w:rPr>
            </w:pPr>
            <w:r>
              <w:rPr>
                <w:rFonts w:ascii="Arial" w:cs="Arial" w:eastAsia="Arial" w:hAnsi="Arial"/>
                <w:sz w:val="13"/>
                <w:szCs w:val="13"/>
                <w:color w:val="auto"/>
              </w:rPr>
              <w:t>4,406</w:t>
            </w:r>
          </w:p>
        </w:tc>
        <w:tc>
          <w:tcPr>
            <w:tcW w:w="0" w:type="dxa"/>
            <w:vAlign w:val="bottom"/>
          </w:tcPr>
          <w:p>
            <w:pPr>
              <w:spacing w:after="0"/>
              <w:rPr>
                <w:sz w:val="1"/>
                <w:szCs w:val="1"/>
                <w:color w:val="auto"/>
              </w:rPr>
            </w:pPr>
          </w:p>
        </w:tc>
      </w:tr>
      <w:tr>
        <w:trPr>
          <w:trHeight w:val="22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9,969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9,302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9,563</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Corporate / All Other</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3,210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906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9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40,858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28,668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13,993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ind w:left="140"/>
              <w:spacing w:after="0"/>
              <w:rPr>
                <w:sz w:val="20"/>
                <w:szCs w:val="20"/>
                <w:color w:val="auto"/>
              </w:rPr>
            </w:pPr>
            <w:r>
              <w:rPr>
                <w:rFonts w:ascii="Arial" w:cs="Arial" w:eastAsia="Arial" w:hAnsi="Arial"/>
                <w:sz w:val="13"/>
                <w:szCs w:val="13"/>
                <w:b w:val="1"/>
                <w:bCs w:val="1"/>
                <w:color w:val="auto"/>
              </w:rPr>
              <w:t>August 31, 2019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25, 2018</w:t>
            </w:r>
          </w:p>
        </w:tc>
        <w:tc>
          <w:tcPr>
            <w:tcW w:w="0" w:type="dxa"/>
            <w:vAlign w:val="bottom"/>
          </w:tcPr>
          <w:p>
            <w:pPr>
              <w:spacing w:after="0"/>
              <w:rPr>
                <w:sz w:val="1"/>
                <w:szCs w:val="1"/>
                <w:color w:val="auto"/>
              </w:rPr>
            </w:pPr>
          </w:p>
        </w:tc>
      </w:tr>
      <w:tr>
        <w:trPr>
          <w:trHeight w:val="214"/>
        </w:trPr>
        <w:tc>
          <w:tcPr>
            <w:tcW w:w="5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0" w:type="dxa"/>
            <w:vAlign w:val="bottom"/>
            <w:gridSpan w:val="2"/>
          </w:tcPr>
          <w:p>
            <w:pPr>
              <w:ind w:left="20"/>
              <w:spacing w:after="0"/>
              <w:rPr>
                <w:sz w:val="20"/>
                <w:szCs w:val="20"/>
                <w:color w:val="auto"/>
              </w:rPr>
            </w:pPr>
            <w:r>
              <w:rPr>
                <w:rFonts w:ascii="Arial" w:cs="Arial" w:eastAsia="Arial" w:hAnsi="Arial"/>
                <w:sz w:val="13"/>
                <w:szCs w:val="13"/>
                <w:color w:val="auto"/>
              </w:rPr>
              <w:t>Towable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628,994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626,588</w:t>
            </w:r>
          </w:p>
        </w:tc>
        <w:tc>
          <w:tcPr>
            <w:tcW w:w="0" w:type="dxa"/>
            <w:vAlign w:val="bottom"/>
          </w:tcPr>
          <w:p>
            <w:pPr>
              <w:spacing w:after="0"/>
              <w:rPr>
                <w:sz w:val="1"/>
                <w:szCs w:val="1"/>
                <w:color w:val="auto"/>
              </w:rPr>
            </w:pPr>
          </w:p>
        </w:tc>
      </w:tr>
      <w:tr>
        <w:trPr>
          <w:trHeight w:val="22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332,157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322,048</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Corporate / All Other</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143,080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103,169</w:t>
            </w:r>
          </w:p>
        </w:tc>
        <w:tc>
          <w:tcPr>
            <w:tcW w:w="0" w:type="dxa"/>
            <w:vAlign w:val="bottom"/>
          </w:tcPr>
          <w:p>
            <w:pPr>
              <w:spacing w:after="0"/>
              <w:rPr>
                <w:sz w:val="1"/>
                <w:szCs w:val="1"/>
                <w:color w:val="auto"/>
              </w:rPr>
            </w:pPr>
          </w:p>
        </w:tc>
      </w:tr>
      <w:tr>
        <w:trPr>
          <w:trHeight w:val="19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1,104,231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1,051,805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The following table reconciles net income to consolidated Adjusted EBITDA:</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111,798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102,357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71,330</w:t>
            </w:r>
          </w:p>
        </w:tc>
        <w:tc>
          <w:tcPr>
            <w:tcW w:w="0" w:type="dxa"/>
            <w:vAlign w:val="bottom"/>
          </w:tcPr>
          <w:p>
            <w:pPr>
              <w:spacing w:after="0"/>
              <w:rPr>
                <w:sz w:val="1"/>
                <w:szCs w:val="1"/>
                <w:color w:val="auto"/>
              </w:rPr>
            </w:pPr>
          </w:p>
        </w:tc>
      </w:tr>
      <w:tr>
        <w:trPr>
          <w:trHeight w:val="208"/>
        </w:trPr>
        <w:tc>
          <w:tcPr>
            <w:tcW w:w="5000" w:type="dxa"/>
            <w:vAlign w:val="bottom"/>
            <w:gridSpan w:val="2"/>
          </w:tcPr>
          <w:p>
            <w:pPr>
              <w:ind w:left="140"/>
              <w:spacing w:after="0"/>
              <w:rPr>
                <w:sz w:val="20"/>
                <w:szCs w:val="20"/>
                <w:color w:val="auto"/>
              </w:rPr>
            </w:pPr>
            <w:r>
              <w:rPr>
                <w:rFonts w:ascii="Arial" w:cs="Arial" w:eastAsia="Arial" w:hAnsi="Arial"/>
                <w:sz w:val="13"/>
                <w:szCs w:val="13"/>
                <w:color w:val="auto"/>
              </w:rPr>
              <w:t>Interest expense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17,939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3"/>
                <w:szCs w:val="13"/>
                <w:color w:val="auto"/>
              </w:rPr>
              <w:t>18,246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15"/>
              <w:spacing w:after="0"/>
              <w:rPr>
                <w:sz w:val="20"/>
                <w:szCs w:val="20"/>
                <w:color w:val="auto"/>
              </w:rPr>
            </w:pPr>
            <w:r>
              <w:rPr>
                <w:rFonts w:ascii="Arial" w:cs="Arial" w:eastAsia="Arial" w:hAnsi="Arial"/>
                <w:sz w:val="13"/>
                <w:szCs w:val="13"/>
                <w:color w:val="auto"/>
              </w:rPr>
              <w:t>16,837</w:t>
            </w:r>
          </w:p>
        </w:tc>
        <w:tc>
          <w:tcPr>
            <w:tcW w:w="0" w:type="dxa"/>
            <w:vAlign w:val="bottom"/>
          </w:tcPr>
          <w:p>
            <w:pPr>
              <w:spacing w:after="0"/>
              <w:rPr>
                <w:sz w:val="1"/>
                <w:szCs w:val="1"/>
                <w:color w:val="auto"/>
              </w:rPr>
            </w:pPr>
          </w:p>
        </w:tc>
      </w:tr>
      <w:tr>
        <w:trPr>
          <w:trHeight w:val="223"/>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Provision for income taxes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27,111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40,283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37,269</w:t>
            </w:r>
          </w:p>
        </w:tc>
        <w:tc>
          <w:tcPr>
            <w:tcW w:w="0" w:type="dxa"/>
            <w:vAlign w:val="bottom"/>
          </w:tcPr>
          <w:p>
            <w:pPr>
              <w:spacing w:after="0"/>
              <w:rPr>
                <w:sz w:val="1"/>
                <w:szCs w:val="1"/>
                <w:color w:val="auto"/>
              </w:rPr>
            </w:pPr>
          </w:p>
        </w:tc>
      </w:tr>
      <w:tr>
        <w:trPr>
          <w:trHeight w:val="208"/>
        </w:trPr>
        <w:tc>
          <w:tcPr>
            <w:tcW w:w="5000" w:type="dxa"/>
            <w:vAlign w:val="bottom"/>
            <w:gridSpan w:val="2"/>
          </w:tcPr>
          <w:p>
            <w:pPr>
              <w:ind w:left="140"/>
              <w:spacing w:after="0"/>
              <w:rPr>
                <w:sz w:val="20"/>
                <w:szCs w:val="20"/>
                <w:color w:val="auto"/>
              </w:rPr>
            </w:pPr>
            <w:r>
              <w:rPr>
                <w:rFonts w:ascii="Arial" w:cs="Arial" w:eastAsia="Arial" w:hAnsi="Arial"/>
                <w:sz w:val="13"/>
                <w:szCs w:val="13"/>
                <w:color w:val="auto"/>
              </w:rPr>
              <w:t>Depreciation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13,682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3"/>
                <w:szCs w:val="13"/>
                <w:color w:val="auto"/>
              </w:rPr>
              <w:t>9,849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15"/>
              <w:spacing w:after="0"/>
              <w:rPr>
                <w:sz w:val="20"/>
                <w:szCs w:val="20"/>
                <w:color w:val="auto"/>
              </w:rPr>
            </w:pPr>
            <w:r>
              <w:rPr>
                <w:rFonts w:ascii="Arial" w:cs="Arial" w:eastAsia="Arial" w:hAnsi="Arial"/>
                <w:sz w:val="13"/>
                <w:szCs w:val="13"/>
                <w:color w:val="auto"/>
              </w:rPr>
              <w:t>7,315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Amortization of intangible assets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9,635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9,328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24,660</w:t>
            </w:r>
          </w:p>
        </w:tc>
        <w:tc>
          <w:tcPr>
            <w:tcW w:w="0" w:type="dxa"/>
            <w:vAlign w:val="bottom"/>
          </w:tcPr>
          <w:p>
            <w:pPr>
              <w:spacing w:after="0"/>
              <w:rPr>
                <w:sz w:val="1"/>
                <w:szCs w:val="1"/>
                <w:color w:val="auto"/>
              </w:rPr>
            </w:pPr>
          </w:p>
        </w:tc>
      </w:tr>
      <w:tr>
        <w:trPr>
          <w:trHeight w:val="196"/>
        </w:trPr>
        <w:tc>
          <w:tcPr>
            <w:tcW w:w="5000" w:type="dxa"/>
            <w:vAlign w:val="bottom"/>
            <w:gridSpan w:val="2"/>
          </w:tcPr>
          <w:p>
            <w:pPr>
              <w:ind w:left="20"/>
              <w:spacing w:after="0"/>
              <w:rPr>
                <w:sz w:val="20"/>
                <w:szCs w:val="20"/>
                <w:color w:val="auto"/>
              </w:rPr>
            </w:pPr>
            <w:r>
              <w:rPr>
                <w:rFonts w:ascii="Arial" w:cs="Arial" w:eastAsia="Arial" w:hAnsi="Arial"/>
                <w:sz w:val="13"/>
                <w:szCs w:val="13"/>
                <w:color w:val="auto"/>
              </w:rPr>
              <w:t>EBITDA</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180,165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115"/>
              <w:spacing w:after="0"/>
              <w:rPr>
                <w:sz w:val="20"/>
                <w:szCs w:val="20"/>
                <w:color w:val="auto"/>
              </w:rPr>
            </w:pPr>
            <w:r>
              <w:rPr>
                <w:rFonts w:ascii="Arial" w:cs="Arial" w:eastAsia="Arial" w:hAnsi="Arial"/>
                <w:sz w:val="13"/>
                <w:szCs w:val="13"/>
                <w:color w:val="auto"/>
              </w:rPr>
              <w:t>180,063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115"/>
              <w:spacing w:after="0"/>
              <w:rPr>
                <w:sz w:val="20"/>
                <w:szCs w:val="20"/>
                <w:color w:val="auto"/>
              </w:rPr>
            </w:pPr>
            <w:r>
              <w:rPr>
                <w:rFonts w:ascii="Arial" w:cs="Arial" w:eastAsia="Arial" w:hAnsi="Arial"/>
                <w:sz w:val="13"/>
                <w:szCs w:val="13"/>
                <w:color w:val="auto"/>
              </w:rPr>
              <w:t>157,411</w:t>
            </w:r>
          </w:p>
        </w:tc>
        <w:tc>
          <w:tcPr>
            <w:tcW w:w="0" w:type="dxa"/>
            <w:vAlign w:val="bottom"/>
          </w:tcPr>
          <w:p>
            <w:pPr>
              <w:spacing w:after="0"/>
              <w:rPr>
                <w:sz w:val="1"/>
                <w:szCs w:val="1"/>
                <w:color w:val="auto"/>
              </w:rPr>
            </w:pPr>
          </w:p>
        </w:tc>
      </w:tr>
      <w:tr>
        <w:trPr>
          <w:trHeight w:val="223"/>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Postretirement health care benefit income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(24,796)</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40"/>
              <w:spacing w:after="0"/>
              <w:rPr>
                <w:sz w:val="20"/>
                <w:szCs w:val="20"/>
                <w:color w:val="auto"/>
              </w:rPr>
            </w:pPr>
            <w:r>
              <w:rPr>
                <w:rFonts w:ascii="Arial" w:cs="Arial" w:eastAsia="Arial" w:hAnsi="Arial"/>
                <w:sz w:val="13"/>
                <w:szCs w:val="13"/>
                <w:color w:val="auto"/>
              </w:rPr>
              <w:t>Restructuring</w:t>
            </w:r>
            <w:r>
              <w:rPr>
                <w:rFonts w:ascii="Arial" w:cs="Arial" w:eastAsia="Arial" w:hAnsi="Arial"/>
                <w:sz w:val="17"/>
                <w:szCs w:val="17"/>
                <w:color w:val="auto"/>
                <w:vertAlign w:val="superscript"/>
              </w:rPr>
              <w:t>(1)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1,068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Acquisition-related costs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2,177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6,592</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Non-operating income</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(1,581)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(494)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179,652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181,746</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138,877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00" w:type="dxa"/>
            <w:vAlign w:val="bottom"/>
            <w:gridSpan w:val="5"/>
          </w:tcPr>
          <w:p>
            <w:pPr>
              <w:spacing w:after="0"/>
              <w:rPr>
                <w:sz w:val="20"/>
                <w:szCs w:val="20"/>
                <w:color w:val="auto"/>
              </w:rPr>
            </w:pPr>
            <w:r>
              <w:rPr>
                <w:rFonts w:ascii="Arial" w:cs="Arial" w:eastAsia="Arial" w:hAnsi="Arial"/>
                <w:sz w:val="11"/>
                <w:szCs w:val="11"/>
                <w:color w:val="auto"/>
              </w:rPr>
              <w:t>(1) Balance excludes depreciation expense classified as restructuring as the balance is already included in the EBITDA calculation.</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5000" w:type="dxa"/>
            <w:vAlign w:val="bottom"/>
            <w:gridSpan w:val="2"/>
          </w:tcPr>
          <w:p>
            <w:pPr>
              <w:spacing w:after="0"/>
              <w:rPr>
                <w:sz w:val="20"/>
                <w:szCs w:val="20"/>
                <w:color w:val="auto"/>
              </w:rPr>
            </w:pPr>
            <w:r>
              <w:rPr>
                <w:rFonts w:ascii="Arial" w:cs="Arial" w:eastAsia="Arial" w:hAnsi="Arial"/>
                <w:sz w:val="13"/>
                <w:szCs w:val="13"/>
                <w:color w:val="auto"/>
              </w:rPr>
              <w:t>The following table reconciles net revenues by geographic area:</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170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1,836,472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1,860,613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1,445,401</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International</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149,202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156,216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101,718</w:t>
            </w:r>
          </w:p>
        </w:tc>
        <w:tc>
          <w:tcPr>
            <w:tcW w:w="0" w:type="dxa"/>
            <w:vAlign w:val="bottom"/>
          </w:tcPr>
          <w:p>
            <w:pPr>
              <w:spacing w:after="0"/>
              <w:rPr>
                <w:sz w:val="1"/>
                <w:szCs w:val="1"/>
                <w:color w:val="auto"/>
              </w:rPr>
            </w:pPr>
          </w:p>
        </w:tc>
      </w:tr>
      <w:tr>
        <w:trPr>
          <w:trHeight w:val="19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Revenues</w:t>
            </w:r>
          </w:p>
        </w:tc>
        <w:tc>
          <w:tcPr>
            <w:tcW w:w="170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1,985,674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2,016,829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1,547,119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15"/>
              <w:spacing w:after="0"/>
              <w:rPr>
                <w:sz w:val="20"/>
                <w:szCs w:val="20"/>
                <w:color w:val="auto"/>
              </w:rPr>
            </w:pPr>
            <w:r>
              <w:rPr>
                <w:rFonts w:ascii="Arial" w:cs="Arial" w:eastAsia="Arial" w:hAnsi="Arial"/>
                <w:sz w:val="13"/>
                <w:szCs w:val="13"/>
                <w:color w:val="auto"/>
              </w:rPr>
              <w:t>51</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0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19" w:right="21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 Derivatives, Investments, and Fair Value Measurements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that are Measured at Fair Value on a Recurring Basis</w:t>
      </w:r>
    </w:p>
    <w:p>
      <w:pPr>
        <w:spacing w:after="0" w:line="154" w:lineRule="exact"/>
        <w:rPr>
          <w:sz w:val="20"/>
          <w:szCs w:val="20"/>
          <w:color w:val="auto"/>
        </w:rPr>
      </w:pPr>
    </w:p>
    <w:p>
      <w:pPr>
        <w:ind w:right="260"/>
        <w:spacing w:after="0" w:line="252" w:lineRule="auto"/>
        <w:rPr>
          <w:sz w:val="20"/>
          <w:szCs w:val="20"/>
          <w:color w:val="auto"/>
        </w:rPr>
      </w:pPr>
      <w:r>
        <w:rPr>
          <w:rFonts w:ascii="Arial" w:cs="Arial" w:eastAsia="Arial" w:hAnsi="Arial"/>
          <w:sz w:val="13"/>
          <w:szCs w:val="13"/>
          <w:color w:val="auto"/>
        </w:rPr>
        <w:t xml:space="preserve">We account for fair value measurements in accordance with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40"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Level 1 - </w:t>
      </w:r>
      <w:r>
        <w:rPr>
          <w:rFonts w:ascii="Arial" w:cs="Arial" w:eastAsia="Arial" w:hAnsi="Arial"/>
          <w:sz w:val="13"/>
          <w:szCs w:val="13"/>
          <w:color w:val="auto"/>
        </w:rPr>
        <w:t>Unadjusted quoted prices that are available in active markets for the identical assets or liabilities at the measurement date.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Level 2 - </w:t>
      </w:r>
      <w:r>
        <w:rPr>
          <w:rFonts w:ascii="Arial" w:cs="Arial" w:eastAsia="Arial" w:hAnsi="Arial"/>
          <w:sz w:val="13"/>
          <w:szCs w:val="13"/>
          <w:color w:val="auto"/>
        </w:rPr>
        <w:t>Other observable inputs available at the measurement date, other than quoted prices included in Level 1, either directly or indirectly, including:</w:t>
      </w:r>
    </w:p>
    <w:p>
      <w:pPr>
        <w:spacing w:after="0" w:line="15" w:lineRule="exact"/>
        <w:rPr>
          <w:sz w:val="20"/>
          <w:szCs w:val="20"/>
          <w:color w:val="auto"/>
        </w:rPr>
      </w:pPr>
    </w:p>
    <w:p>
      <w:pPr>
        <w:ind w:left="520" w:hanging="255"/>
        <w:spacing w:after="0"/>
        <w:tabs>
          <w:tab w:leader="none" w:pos="520" w:val="left"/>
        </w:tabs>
        <w:numPr>
          <w:ilvl w:val="0"/>
          <w:numId w:val="25"/>
        </w:numPr>
        <w:rPr>
          <w:rFonts w:ascii="Arial" w:cs="Arial" w:eastAsia="Arial" w:hAnsi="Arial"/>
          <w:sz w:val="13"/>
          <w:szCs w:val="13"/>
          <w:i w:val="1"/>
          <w:iCs w:val="1"/>
          <w:color w:val="auto"/>
        </w:rPr>
      </w:pPr>
      <w:r>
        <w:rPr>
          <w:rFonts w:ascii="Arial" w:cs="Arial" w:eastAsia="Arial" w:hAnsi="Arial"/>
          <w:sz w:val="13"/>
          <w:szCs w:val="13"/>
          <w:color w:val="auto"/>
        </w:rPr>
        <w:t>Quoted prices for similar assets or liabilities in active markets;</w:t>
      </w:r>
    </w:p>
    <w:p>
      <w:pPr>
        <w:spacing w:after="0" w:line="1" w:lineRule="exact"/>
        <w:rPr>
          <w:rFonts w:ascii="Arial" w:cs="Arial" w:eastAsia="Arial" w:hAnsi="Arial"/>
          <w:sz w:val="13"/>
          <w:szCs w:val="13"/>
          <w:i w:val="1"/>
          <w:iCs w:val="1"/>
          <w:color w:val="auto"/>
        </w:rPr>
      </w:pPr>
    </w:p>
    <w:p>
      <w:pPr>
        <w:ind w:left="520" w:hanging="255"/>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Quoted prices for identical or similar assets in nonactive markets;</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Inputs other than quoted prices that are observable for the asset or liability; and</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Inputs that are derived principally from or corroborated by other observable market data.</w:t>
      </w:r>
    </w:p>
    <w:p>
      <w:pPr>
        <w:spacing w:after="0" w:line="138" w:lineRule="exact"/>
        <w:rPr>
          <w:sz w:val="20"/>
          <w:szCs w:val="20"/>
          <w:color w:val="auto"/>
        </w:rPr>
      </w:pPr>
    </w:p>
    <w:p>
      <w:pPr>
        <w:ind w:right="280"/>
        <w:spacing w:after="0" w:line="273" w:lineRule="auto"/>
        <w:rPr>
          <w:sz w:val="20"/>
          <w:szCs w:val="20"/>
          <w:color w:val="auto"/>
        </w:rPr>
      </w:pPr>
      <w:r>
        <w:rPr>
          <w:rFonts w:ascii="Arial" w:cs="Arial" w:eastAsia="Arial" w:hAnsi="Arial"/>
          <w:sz w:val="13"/>
          <w:szCs w:val="13"/>
          <w:i w:val="1"/>
          <w:iCs w:val="1"/>
          <w:color w:val="auto"/>
        </w:rPr>
        <w:t xml:space="preserve">Level 3 - </w:t>
      </w:r>
      <w:r>
        <w:rPr>
          <w:rFonts w:ascii="Arial" w:cs="Arial" w:eastAsia="Arial" w:hAnsi="Arial"/>
          <w:sz w:val="13"/>
          <w:szCs w:val="13"/>
          <w:color w:val="auto"/>
        </w:rPr>
        <w:t>Unobservable inputs that cannot be corroborated by observable market data and reflect the use of significant management judgment. These values are generally determined using pricing</w:t>
      </w:r>
      <w:r>
        <w:rPr>
          <w:rFonts w:ascii="Arial" w:cs="Arial" w:eastAsia="Arial" w:hAnsi="Arial"/>
          <w:sz w:val="13"/>
          <w:szCs w:val="13"/>
          <w:i w:val="1"/>
          <w:iCs w:val="1"/>
          <w:color w:val="auto"/>
        </w:rPr>
        <w:t xml:space="preserve"> </w:t>
      </w:r>
      <w:r>
        <w:rPr>
          <w:rFonts w:ascii="Arial" w:cs="Arial" w:eastAsia="Arial" w:hAnsi="Arial"/>
          <w:sz w:val="13"/>
          <w:szCs w:val="13"/>
          <w:color w:val="auto"/>
        </w:rPr>
        <w:t>models for which the assumptions utilize management’s estimates of market participant assumptions.</w:t>
      </w:r>
    </w:p>
    <w:p>
      <w:pPr>
        <w:spacing w:after="0" w:line="137"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The following tables set forth by level within the fair value hierarchy our financial assets and liabilities that were accounted for at fair value on a recurring basis at August 31, 2019 and August 25, 2018 according to the valuation techniques we used to determine their fair values: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60" w:type="dxa"/>
            <w:vAlign w:val="bottom"/>
          </w:tcPr>
          <w:p>
            <w:pPr>
              <w:spacing w:after="0"/>
              <w:rPr>
                <w:sz w:val="15"/>
                <w:szCs w:val="15"/>
                <w:color w:val="auto"/>
              </w:rPr>
            </w:pPr>
          </w:p>
        </w:tc>
        <w:tc>
          <w:tcPr>
            <w:tcW w:w="1380" w:type="dxa"/>
            <w:vAlign w:val="bottom"/>
          </w:tcPr>
          <w:p>
            <w:pPr>
              <w:jc w:val="right"/>
              <w:ind w:right="75"/>
              <w:spacing w:after="0"/>
              <w:rPr>
                <w:sz w:val="20"/>
                <w:szCs w:val="20"/>
                <w:color w:val="auto"/>
              </w:rPr>
            </w:pPr>
            <w:r>
              <w:rPr>
                <w:rFonts w:ascii="Arial" w:cs="Arial" w:eastAsia="Arial" w:hAnsi="Arial"/>
                <w:sz w:val="13"/>
                <w:szCs w:val="13"/>
                <w:b w:val="1"/>
                <w:bCs w:val="1"/>
                <w:color w:val="auto"/>
              </w:rPr>
              <w:t>Fair Value at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8"/>
              </w:rPr>
              <w:t>Fair Value Hierarchy</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August 31, 2019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Level 2</w:t>
            </w:r>
          </w:p>
        </w:tc>
        <w:tc>
          <w:tcPr>
            <w:tcW w:w="360" w:type="dxa"/>
            <w:vAlign w:val="bottom"/>
          </w:tcPr>
          <w:p>
            <w:pPr>
              <w:spacing w:after="0"/>
              <w:rPr>
                <w:sz w:val="17"/>
                <w:szCs w:val="17"/>
                <w:color w:val="auto"/>
              </w:rPr>
            </w:pPr>
          </w:p>
        </w:tc>
        <w:tc>
          <w:tcPr>
            <w:tcW w:w="1340" w:type="dxa"/>
            <w:vAlign w:val="bottom"/>
          </w:tcPr>
          <w:p>
            <w:pPr>
              <w:ind w:left="280"/>
              <w:spacing w:after="0"/>
              <w:rPr>
                <w:sz w:val="20"/>
                <w:szCs w:val="20"/>
                <w:color w:val="auto"/>
              </w:rPr>
            </w:pPr>
            <w:r>
              <w:rPr>
                <w:rFonts w:ascii="Arial" w:cs="Arial" w:eastAsia="Arial" w:hAnsi="Arial"/>
                <w:sz w:val="13"/>
                <w:szCs w:val="13"/>
                <w:b w:val="1"/>
                <w:bCs w:val="1"/>
                <w:color w:val="auto"/>
              </w:rPr>
              <w:t>Level 3</w:t>
            </w:r>
          </w:p>
        </w:tc>
      </w:tr>
      <w:tr>
        <w:trPr>
          <w:trHeight w:val="214"/>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Assets that fund deferred compensation:</w:t>
            </w: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08"/>
        </w:trPr>
        <w:tc>
          <w:tcPr>
            <w:tcW w:w="4260" w:type="dxa"/>
            <w:vAlign w:val="bottom"/>
          </w:tcPr>
          <w:p>
            <w:pPr>
              <w:ind w:left="140"/>
              <w:spacing w:after="0"/>
              <w:rPr>
                <w:sz w:val="20"/>
                <w:szCs w:val="20"/>
                <w:color w:val="auto"/>
              </w:rPr>
            </w:pPr>
            <w:r>
              <w:rPr>
                <w:rFonts w:ascii="Arial" w:cs="Arial" w:eastAsia="Arial" w:hAnsi="Arial"/>
                <w:sz w:val="13"/>
                <w:szCs w:val="13"/>
                <w:color w:val="auto"/>
              </w:rPr>
              <w:t>Domestic equity funds</w:t>
            </w:r>
          </w:p>
        </w:tc>
        <w:tc>
          <w:tcPr>
            <w:tcW w:w="1380" w:type="dxa"/>
            <w:vAlign w:val="bottom"/>
          </w:tcPr>
          <w:p>
            <w:pPr>
              <w:jc w:val="right"/>
              <w:ind w:right="1235"/>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373</w:t>
            </w:r>
          </w:p>
        </w:tc>
        <w:tc>
          <w:tcPr>
            <w:tcW w:w="120" w:type="dxa"/>
            <w:vAlign w:val="bottom"/>
          </w:tcPr>
          <w:p>
            <w:pPr>
              <w:spacing w:after="0"/>
              <w:rPr>
                <w:sz w:val="18"/>
                <w:szCs w:val="18"/>
                <w:color w:val="auto"/>
              </w:rPr>
            </w:pPr>
          </w:p>
        </w:tc>
        <w:tc>
          <w:tcPr>
            <w:tcW w:w="1240" w:type="dxa"/>
            <w:vAlign w:val="bottom"/>
          </w:tcPr>
          <w:p>
            <w:pPr>
              <w:jc w:val="right"/>
              <w:ind w:right="1075"/>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55"/>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340" w:type="dxa"/>
            <w:vAlign w:val="bottom"/>
          </w:tcPr>
          <w:p>
            <w:pPr>
              <w:ind w:left="1100"/>
              <w:spacing w:after="0"/>
              <w:rPr>
                <w:sz w:val="20"/>
                <w:szCs w:val="20"/>
                <w:color w:val="auto"/>
              </w:rPr>
            </w:pPr>
            <w:r>
              <w:rPr>
                <w:rFonts w:ascii="Arial" w:cs="Arial" w:eastAsia="Arial" w:hAnsi="Arial"/>
                <w:sz w:val="13"/>
                <w:szCs w:val="13"/>
                <w:color w:val="auto"/>
              </w:rPr>
              <w:t>—</w:t>
            </w:r>
          </w:p>
        </w:tc>
      </w:tr>
      <w:tr>
        <w:trPr>
          <w:trHeight w:val="223"/>
        </w:trPr>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 equity funds</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101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208"/>
        </w:trPr>
        <w:tc>
          <w:tcPr>
            <w:tcW w:w="4260" w:type="dxa"/>
            <w:vAlign w:val="bottom"/>
          </w:tcPr>
          <w:p>
            <w:pPr>
              <w:ind w:left="140"/>
              <w:spacing w:after="0"/>
              <w:rPr>
                <w:sz w:val="20"/>
                <w:szCs w:val="20"/>
                <w:color w:val="auto"/>
              </w:rPr>
            </w:pPr>
            <w:r>
              <w:rPr>
                <w:rFonts w:ascii="Arial" w:cs="Arial" w:eastAsia="Arial" w:hAnsi="Arial"/>
                <w:sz w:val="13"/>
                <w:szCs w:val="13"/>
                <w:color w:val="auto"/>
              </w:rPr>
              <w:t>Fixed income funds</w:t>
            </w:r>
          </w:p>
        </w:tc>
        <w:tc>
          <w:tcPr>
            <w:tcW w:w="1380" w:type="dxa"/>
            <w:vAlign w:val="bottom"/>
          </w:tcPr>
          <w:p>
            <w:pPr>
              <w:spacing w:after="0"/>
              <w:rPr>
                <w:sz w:val="18"/>
                <w:szCs w:val="18"/>
                <w:color w:val="auto"/>
              </w:rPr>
            </w:pP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155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Arial" w:cs="Arial" w:eastAsia="Arial" w:hAnsi="Arial"/>
                <w:sz w:val="13"/>
                <w:szCs w:val="13"/>
                <w:color w:val="auto"/>
              </w:rPr>
              <w:t>—</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swap contract</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190"/>
        </w:trPr>
        <w:tc>
          <w:tcPr>
            <w:tcW w:w="4260" w:type="dxa"/>
            <w:vAlign w:val="bottom"/>
          </w:tcPr>
          <w:p>
            <w:pPr>
              <w:ind w:left="140"/>
              <w:spacing w:after="0"/>
              <w:rPr>
                <w:sz w:val="20"/>
                <w:szCs w:val="20"/>
                <w:color w:val="auto"/>
              </w:rPr>
            </w:pPr>
            <w:r>
              <w:rPr>
                <w:rFonts w:ascii="Arial" w:cs="Arial" w:eastAsia="Arial" w:hAnsi="Arial"/>
                <w:sz w:val="13"/>
                <w:szCs w:val="13"/>
                <w:color w:val="auto"/>
              </w:rPr>
              <w:t>Total assets at fair value</w:t>
            </w:r>
          </w:p>
        </w:tc>
        <w:tc>
          <w:tcPr>
            <w:tcW w:w="1380" w:type="dxa"/>
            <w:vAlign w:val="bottom"/>
            <w:tcBorders>
              <w:top w:val="single" w:sz="8" w:color="auto"/>
              <w:bottom w:val="single" w:sz="8" w:color="auto"/>
            </w:tcBorders>
          </w:tcPr>
          <w:p>
            <w:pPr>
              <w:jc w:val="right"/>
              <w:ind w:right="1235"/>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92"/>
              </w:rPr>
              <w:t>719</w:t>
            </w:r>
          </w:p>
        </w:tc>
        <w:tc>
          <w:tcPr>
            <w:tcW w:w="1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ind w:right="1075"/>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3"/>
                <w:szCs w:val="13"/>
                <w:color w:val="auto"/>
              </w:rPr>
              <w:t>—</w:t>
            </w:r>
          </w:p>
        </w:tc>
      </w:tr>
      <w:tr>
        <w:trPr>
          <w:trHeight w:val="20"/>
        </w:trPr>
        <w:tc>
          <w:tcPr>
            <w:tcW w:w="4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200"/>
              <w:spacing w:after="0"/>
              <w:rPr>
                <w:sz w:val="20"/>
                <w:szCs w:val="20"/>
                <w:color w:val="auto"/>
              </w:rPr>
            </w:pPr>
            <w:r>
              <w:rPr>
                <w:rFonts w:ascii="Arial" w:cs="Arial" w:eastAsia="Arial" w:hAnsi="Arial"/>
                <w:sz w:val="13"/>
                <w:szCs w:val="13"/>
                <w:b w:val="1"/>
                <w:bCs w:val="1"/>
                <w:color w:val="auto"/>
              </w:rPr>
              <w:t>Fair Value at</w:t>
            </w:r>
          </w:p>
        </w:tc>
        <w:tc>
          <w:tcPr>
            <w:tcW w:w="1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8"/>
              </w:rPr>
              <w:t>Fair Value Hierarchy</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7"/>
                <w:szCs w:val="17"/>
                <w:color w:val="auto"/>
              </w:rPr>
            </w:pPr>
          </w:p>
        </w:tc>
        <w:tc>
          <w:tcPr>
            <w:tcW w:w="1560" w:type="dxa"/>
            <w:vAlign w:val="bottom"/>
            <w:gridSpan w:val="2"/>
          </w:tcPr>
          <w:p>
            <w:pPr>
              <w:ind w:left="340"/>
              <w:spacing w:after="0"/>
              <w:rPr>
                <w:sz w:val="20"/>
                <w:szCs w:val="20"/>
                <w:color w:val="auto"/>
              </w:rPr>
            </w:pPr>
            <w:r>
              <w:rPr>
                <w:rFonts w:ascii="Arial" w:cs="Arial" w:eastAsia="Arial" w:hAnsi="Arial"/>
                <w:sz w:val="13"/>
                <w:szCs w:val="13"/>
                <w:b w:val="1"/>
                <w:bCs w:val="1"/>
                <w:color w:val="auto"/>
              </w:rPr>
              <w:t>August 25, 2018</w:t>
            </w:r>
          </w:p>
        </w:tc>
        <w:tc>
          <w:tcPr>
            <w:tcW w:w="120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Level 2</w:t>
            </w:r>
          </w:p>
        </w:tc>
        <w:tc>
          <w:tcPr>
            <w:tcW w:w="360" w:type="dxa"/>
            <w:vAlign w:val="bottom"/>
          </w:tcPr>
          <w:p>
            <w:pPr>
              <w:spacing w:after="0"/>
              <w:rPr>
                <w:sz w:val="17"/>
                <w:szCs w:val="17"/>
                <w:color w:val="auto"/>
              </w:rPr>
            </w:pPr>
          </w:p>
        </w:tc>
        <w:tc>
          <w:tcPr>
            <w:tcW w:w="1340" w:type="dxa"/>
            <w:vAlign w:val="bottom"/>
          </w:tcPr>
          <w:p>
            <w:pPr>
              <w:ind w:left="280"/>
              <w:spacing w:after="0"/>
              <w:rPr>
                <w:sz w:val="20"/>
                <w:szCs w:val="20"/>
                <w:color w:val="auto"/>
              </w:rPr>
            </w:pPr>
            <w:r>
              <w:rPr>
                <w:rFonts w:ascii="Arial" w:cs="Arial" w:eastAsia="Arial" w:hAnsi="Arial"/>
                <w:sz w:val="13"/>
                <w:szCs w:val="13"/>
                <w:b w:val="1"/>
                <w:bCs w:val="1"/>
                <w:color w:val="auto"/>
              </w:rPr>
              <w:t>Level 3</w:t>
            </w:r>
          </w:p>
        </w:tc>
      </w:tr>
      <w:tr>
        <w:trPr>
          <w:trHeight w:val="214"/>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Assets that fund deferred compensation:</w:t>
            </w: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08"/>
        </w:trPr>
        <w:tc>
          <w:tcPr>
            <w:tcW w:w="4260" w:type="dxa"/>
            <w:vAlign w:val="bottom"/>
          </w:tcPr>
          <w:p>
            <w:pPr>
              <w:ind w:left="140"/>
              <w:spacing w:after="0"/>
              <w:rPr>
                <w:sz w:val="20"/>
                <w:szCs w:val="20"/>
                <w:color w:val="auto"/>
              </w:rPr>
            </w:pPr>
            <w:r>
              <w:rPr>
                <w:rFonts w:ascii="Arial" w:cs="Arial" w:eastAsia="Arial" w:hAnsi="Arial"/>
                <w:sz w:val="13"/>
                <w:szCs w:val="13"/>
                <w:color w:val="auto"/>
              </w:rPr>
              <w:t>Domestic equity funds</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ind w:right="55"/>
              <w:spacing w:after="0"/>
              <w:rPr>
                <w:sz w:val="20"/>
                <w:szCs w:val="20"/>
                <w:color w:val="auto"/>
              </w:rPr>
            </w:pPr>
            <w:r>
              <w:rPr>
                <w:rFonts w:ascii="Arial" w:cs="Arial" w:eastAsia="Arial" w:hAnsi="Arial"/>
                <w:sz w:val="13"/>
                <w:szCs w:val="13"/>
                <w:color w:val="auto"/>
              </w:rPr>
              <w:t>1,143</w:t>
            </w:r>
          </w:p>
        </w:tc>
        <w:tc>
          <w:tcPr>
            <w:tcW w:w="120" w:type="dxa"/>
            <w:vAlign w:val="bottom"/>
          </w:tcPr>
          <w:p>
            <w:pPr>
              <w:spacing w:after="0"/>
              <w:rPr>
                <w:sz w:val="18"/>
                <w:szCs w:val="18"/>
                <w:color w:val="auto"/>
              </w:rPr>
            </w:pPr>
          </w:p>
        </w:tc>
        <w:tc>
          <w:tcPr>
            <w:tcW w:w="1200" w:type="dxa"/>
            <w:vAlign w:val="bottom"/>
          </w:tcPr>
          <w:p>
            <w:pPr>
              <w:jc w:val="right"/>
              <w:ind w:right="1035"/>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5"/>
              <w:spacing w:after="0"/>
              <w:rPr>
                <w:sz w:val="20"/>
                <w:szCs w:val="20"/>
                <w:color w:val="auto"/>
              </w:rPr>
            </w:pPr>
            <w:r>
              <w:rPr>
                <w:rFonts w:ascii="Arial" w:cs="Arial" w:eastAsia="Arial" w:hAnsi="Arial"/>
                <w:sz w:val="13"/>
                <w:szCs w:val="13"/>
                <w:color w:val="auto"/>
              </w:rPr>
              <w:t>1,114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55"/>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340" w:type="dxa"/>
            <w:vAlign w:val="bottom"/>
          </w:tcPr>
          <w:p>
            <w:pPr>
              <w:ind w:left="1100"/>
              <w:spacing w:after="0"/>
              <w:rPr>
                <w:sz w:val="20"/>
                <w:szCs w:val="20"/>
                <w:color w:val="auto"/>
              </w:rPr>
            </w:pPr>
            <w:r>
              <w:rPr>
                <w:rFonts w:ascii="Arial" w:cs="Arial" w:eastAsia="Arial" w:hAnsi="Arial"/>
                <w:sz w:val="13"/>
                <w:szCs w:val="13"/>
                <w:color w:val="auto"/>
              </w:rPr>
              <w:t>—</w:t>
            </w:r>
          </w:p>
        </w:tc>
      </w:tr>
      <w:tr>
        <w:trPr>
          <w:trHeight w:val="223"/>
        </w:trPr>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 equity funds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208"/>
        </w:trPr>
        <w:tc>
          <w:tcPr>
            <w:tcW w:w="4260" w:type="dxa"/>
            <w:vAlign w:val="bottom"/>
          </w:tcPr>
          <w:p>
            <w:pPr>
              <w:ind w:left="140"/>
              <w:spacing w:after="0"/>
              <w:rPr>
                <w:sz w:val="20"/>
                <w:szCs w:val="20"/>
                <w:color w:val="auto"/>
              </w:rPr>
            </w:pPr>
            <w:r>
              <w:rPr>
                <w:rFonts w:ascii="Arial" w:cs="Arial" w:eastAsia="Arial" w:hAnsi="Arial"/>
                <w:sz w:val="13"/>
                <w:szCs w:val="13"/>
                <w:color w:val="auto"/>
              </w:rPr>
              <w:t>Fixed income funds</w:t>
            </w:r>
          </w:p>
        </w:tc>
        <w:tc>
          <w:tcPr>
            <w:tcW w:w="280" w:type="dxa"/>
            <w:vAlign w:val="bottom"/>
          </w:tcPr>
          <w:p>
            <w:pPr>
              <w:spacing w:after="0"/>
              <w:rPr>
                <w:sz w:val="18"/>
                <w:szCs w:val="18"/>
                <w:color w:val="auto"/>
              </w:rPr>
            </w:pPr>
          </w:p>
        </w:tc>
        <w:tc>
          <w:tcPr>
            <w:tcW w:w="1440" w:type="dxa"/>
            <w:vAlign w:val="bottom"/>
          </w:tcPr>
          <w:p>
            <w:pPr>
              <w:jc w:val="right"/>
              <w:ind w:right="55"/>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jc w:val="right"/>
              <w:ind w:right="55"/>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Arial" w:cs="Arial" w:eastAsia="Arial" w:hAnsi="Arial"/>
                <w:sz w:val="13"/>
                <w:szCs w:val="13"/>
                <w:color w:val="auto"/>
              </w:rPr>
              <w:t>—</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swap contract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1,959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190"/>
        </w:trPr>
        <w:tc>
          <w:tcPr>
            <w:tcW w:w="4260" w:type="dxa"/>
            <w:vAlign w:val="bottom"/>
          </w:tcPr>
          <w:p>
            <w:pPr>
              <w:ind w:left="140"/>
              <w:spacing w:after="0"/>
              <w:rPr>
                <w:sz w:val="20"/>
                <w:szCs w:val="20"/>
                <w:color w:val="auto"/>
              </w:rPr>
            </w:pPr>
            <w:r>
              <w:rPr>
                <w:rFonts w:ascii="Arial" w:cs="Arial" w:eastAsia="Arial" w:hAnsi="Arial"/>
                <w:sz w:val="13"/>
                <w:szCs w:val="13"/>
                <w:color w:val="auto"/>
              </w:rPr>
              <w:t>Total assets at fair value</w:t>
            </w: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3,464</w:t>
            </w:r>
          </w:p>
        </w:tc>
        <w:tc>
          <w:tcPr>
            <w:tcW w:w="1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35"/>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2,098</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3"/>
                <w:szCs w:val="13"/>
                <w:color w:val="auto"/>
              </w:rPr>
              <w:t>—</w:t>
            </w:r>
          </w:p>
        </w:tc>
      </w:tr>
      <w:tr>
        <w:trPr>
          <w:trHeight w:val="20"/>
        </w:trPr>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methods and assumptions were used to estimate the fair value of each class of financial instrument: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that fund deferred compensation</w:t>
      </w:r>
    </w:p>
    <w:p>
      <w:pPr>
        <w:spacing w:after="0" w:line="168"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 xml:space="preserve">Our assets that fund deferred compensation are marketable equity securities measured at fair value using quoted market prices and primarily consist of equity-based mutual funds. These securities are classified as Level 1 as they are traded in an active market for which closing stock prices are readily available. These securities fund the Executive Share Option Plan and the Executive Deferred Compensation Plan. Refer to Note 10, </w:t>
      </w:r>
      <w:r>
        <w:rPr>
          <w:rFonts w:ascii="Arial" w:cs="Arial" w:eastAsia="Arial" w:hAnsi="Arial"/>
          <w:sz w:val="13"/>
          <w:szCs w:val="13"/>
          <w:i w:val="1"/>
          <w:iCs w:val="1"/>
          <w:color w:val="auto"/>
        </w:rPr>
        <w:t>Employee and Retiree Benefits</w:t>
      </w:r>
      <w:r>
        <w:rPr>
          <w:rFonts w:ascii="Arial" w:cs="Arial" w:eastAsia="Arial" w:hAnsi="Arial"/>
          <w:sz w:val="13"/>
          <w:szCs w:val="13"/>
          <w:color w:val="auto"/>
        </w:rPr>
        <w: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460"/>
          </w:cols>
          <w:pgMar w:left="220" w:top="141" w:right="21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520"/>
        <w:spacing w:after="0" w:line="251" w:lineRule="auto"/>
        <w:rPr>
          <w:sz w:val="20"/>
          <w:szCs w:val="20"/>
          <w:color w:val="auto"/>
        </w:rPr>
      </w:pPr>
      <w:r>
        <w:rPr>
          <w:rFonts w:ascii="Arial" w:cs="Arial" w:eastAsia="Arial" w:hAnsi="Arial"/>
          <w:sz w:val="13"/>
          <w:szCs w:val="13"/>
          <w:color w:val="auto"/>
        </w:rPr>
        <w:t>The proportion of the assets that will fund options which expire within a year are included in Prepaid expenses and other assets on the Consolidated Balance Sheets. The remaining assets are classified as non-current and are included in Other assets.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Swap Contract</w:t>
      </w:r>
    </w:p>
    <w:p>
      <w:pPr>
        <w:spacing w:after="0" w:line="168" w:lineRule="exact"/>
        <w:rPr>
          <w:sz w:val="20"/>
          <w:szCs w:val="20"/>
          <w:color w:val="auto"/>
        </w:rPr>
      </w:pPr>
    </w:p>
    <w:p>
      <w:pPr>
        <w:ind w:right="160"/>
        <w:spacing w:after="0" w:line="246" w:lineRule="auto"/>
        <w:rPr>
          <w:sz w:val="20"/>
          <w:szCs w:val="20"/>
          <w:color w:val="auto"/>
        </w:rPr>
      </w:pPr>
      <w:r>
        <w:rPr>
          <w:rFonts w:ascii="Arial" w:cs="Arial" w:eastAsia="Arial" w:hAnsi="Arial"/>
          <w:sz w:val="13"/>
          <w:szCs w:val="13"/>
          <w:color w:val="auto"/>
        </w:rPr>
        <w:t>On January 23, 2017, we entered into an interest swap contract, which effectively fixed our interest rate on our $300.0 million loan agreement ("Term Loan") for a notional amount that reduces each December during the swap contract. As of August 31, 2019, we had $120.0 million of our Term Loan fixed at an interest rate of 5.32%. As of August 25, 2018, we had $170.0 million of our Term Loan fixed at an interest rate of 5.32%. The swap contract expires on December 8, 2020.</w:t>
      </w:r>
    </w:p>
    <w:p>
      <w:pPr>
        <w:spacing w:after="0" w:line="144"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The fair value of the interest rate swap is classified as Level 2 as it is determined based on observable market data. The asset is included in Other assets on the Consolidated Balance Sheets. The change in value is recorded to Accumulated other comprehensive income (loss) on the Consolidated Balance Sheets since the interest rate swap has been designated for hedge accounting.</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that are measured at Fair Value on a Nonrecurring Basis</w:t>
      </w:r>
    </w:p>
    <w:p>
      <w:pPr>
        <w:spacing w:after="0" w:line="168"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Our non-financial assets, which includes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occurs, the asset is required to be recorded at the estimated fair value. No impairments were recorded for non-financial assets in Fiscal 2019, 2018, and 2017.</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68"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 xml:space="preserve">Our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3"/>
          <w:szCs w:val="13"/>
          <w:i w:val="1"/>
          <w:iCs w:val="1"/>
          <w:color w:val="auto"/>
        </w:rPr>
        <w:t>Long-Term Debt</w:t>
      </w:r>
      <w:r>
        <w:rPr>
          <w:rFonts w:ascii="Arial" w:cs="Arial" w:eastAsia="Arial" w:hAnsi="Arial"/>
          <w:sz w:val="13"/>
          <w:szCs w:val="13"/>
          <w:color w:val="auto"/>
        </w:rPr>
        <w:t>, for information about the fair value of our long-term debt.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20"/>
                <w:szCs w:val="20"/>
                <w:color w:val="auto"/>
              </w:rPr>
            </w:pPr>
            <w:r>
              <w:rPr>
                <w:rFonts w:ascii="Arial" w:cs="Arial" w:eastAsia="Arial" w:hAnsi="Arial"/>
                <w:sz w:val="13"/>
                <w:szCs w:val="13"/>
                <w:b w:val="1"/>
                <w:bCs w:val="1"/>
                <w:color w:val="auto"/>
              </w:rPr>
              <w:t>Note 5: Inventories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7920" w:type="dxa"/>
            <w:vAlign w:val="bottom"/>
          </w:tcPr>
          <w:p>
            <w:pPr>
              <w:spacing w:after="0"/>
              <w:rPr>
                <w:sz w:val="20"/>
                <w:szCs w:val="20"/>
                <w:color w:val="auto"/>
              </w:rPr>
            </w:pPr>
            <w:r>
              <w:rPr>
                <w:rFonts w:ascii="Arial" w:cs="Arial" w:eastAsia="Arial" w:hAnsi="Arial"/>
                <w:sz w:val="13"/>
                <w:szCs w:val="13"/>
                <w:color w:val="auto"/>
              </w:rPr>
              <w:t>Inventories consist of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2019</w:t>
            </w:r>
          </w:p>
        </w:tc>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25, 2018</w:t>
            </w:r>
          </w:p>
        </w:tc>
        <w:tc>
          <w:tcPr>
            <w:tcW w:w="0" w:type="dxa"/>
            <w:vAlign w:val="bottom"/>
          </w:tcPr>
          <w:p>
            <w:pPr>
              <w:spacing w:after="0"/>
              <w:rPr>
                <w:sz w:val="1"/>
                <w:szCs w:val="1"/>
                <w:color w:val="auto"/>
              </w:rPr>
            </w:pPr>
          </w:p>
        </w:tc>
      </w:tr>
      <w:tr>
        <w:trPr>
          <w:trHeight w:val="20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53,417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26,513</w:t>
            </w:r>
          </w:p>
        </w:tc>
        <w:tc>
          <w:tcPr>
            <w:tcW w:w="0" w:type="dxa"/>
            <w:vAlign w:val="bottom"/>
          </w:tcPr>
          <w:p>
            <w:pPr>
              <w:spacing w:after="0"/>
              <w:rPr>
                <w:sz w:val="1"/>
                <w:szCs w:val="1"/>
                <w:color w:val="auto"/>
              </w:rPr>
            </w:pPr>
          </w:p>
        </w:tc>
      </w:tr>
      <w:tr>
        <w:trPr>
          <w:trHeight w:val="208"/>
        </w:trPr>
        <w:tc>
          <w:tcPr>
            <w:tcW w:w="7920" w:type="dxa"/>
            <w:vAlign w:val="bottom"/>
          </w:tcPr>
          <w:p>
            <w:pPr>
              <w:ind w:left="20"/>
              <w:spacing w:after="0"/>
              <w:rPr>
                <w:sz w:val="20"/>
                <w:szCs w:val="20"/>
                <w:color w:val="auto"/>
              </w:rPr>
            </w:pPr>
            <w:r>
              <w:rPr>
                <w:rFonts w:ascii="Arial" w:cs="Arial" w:eastAsia="Arial" w:hAnsi="Arial"/>
                <w:sz w:val="13"/>
                <w:szCs w:val="13"/>
                <w:color w:val="auto"/>
              </w:rPr>
              <w:t>Work-in-process ("WIP")</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82,926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68,339</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105,804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139,039</w:t>
            </w:r>
          </w:p>
        </w:tc>
        <w:tc>
          <w:tcPr>
            <w:tcW w:w="0" w:type="dxa"/>
            <w:vAlign w:val="bottom"/>
          </w:tcPr>
          <w:p>
            <w:pPr>
              <w:spacing w:after="0"/>
              <w:rPr>
                <w:sz w:val="1"/>
                <w:szCs w:val="1"/>
                <w:color w:val="auto"/>
              </w:rPr>
            </w:pPr>
          </w:p>
        </w:tc>
      </w:tr>
      <w:tr>
        <w:trPr>
          <w:trHeight w:val="196"/>
        </w:trPr>
        <w:tc>
          <w:tcPr>
            <w:tcW w:w="7920" w:type="dxa"/>
            <w:vAlign w:val="bottom"/>
          </w:tcPr>
          <w:p>
            <w:pPr>
              <w:ind w:left="14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7"/>
                <w:szCs w:val="17"/>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242,147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233,891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LIFO reserve</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41,021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38,763</w:t>
            </w:r>
          </w:p>
        </w:tc>
        <w:tc>
          <w:tcPr>
            <w:tcW w:w="0" w:type="dxa"/>
            <w:vAlign w:val="bottom"/>
          </w:tcPr>
          <w:p>
            <w:pPr>
              <w:spacing w:after="0"/>
              <w:rPr>
                <w:sz w:val="1"/>
                <w:szCs w:val="1"/>
                <w:color w:val="auto"/>
              </w:rPr>
            </w:pPr>
          </w:p>
        </w:tc>
      </w:tr>
      <w:tr>
        <w:trPr>
          <w:trHeight w:val="188"/>
        </w:trPr>
        <w:tc>
          <w:tcPr>
            <w:tcW w:w="792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201,126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195,128</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Inventory valuation methods consist of the following:</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2019</w:t>
            </w:r>
          </w:p>
        </w:tc>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25, 2018</w:t>
            </w:r>
          </w:p>
        </w:tc>
        <w:tc>
          <w:tcPr>
            <w:tcW w:w="0" w:type="dxa"/>
            <w:vAlign w:val="bottom"/>
          </w:tcPr>
          <w:p>
            <w:pPr>
              <w:spacing w:after="0"/>
              <w:rPr>
                <w:sz w:val="1"/>
                <w:szCs w:val="1"/>
                <w:color w:val="auto"/>
              </w:rPr>
            </w:pPr>
          </w:p>
        </w:tc>
      </w:tr>
      <w:tr>
        <w:trPr>
          <w:trHeight w:val="20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LIFO basis</w:t>
            </w: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184,007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176,215</w:t>
            </w:r>
          </w:p>
        </w:tc>
        <w:tc>
          <w:tcPr>
            <w:tcW w:w="0" w:type="dxa"/>
            <w:vAlign w:val="bottom"/>
          </w:tcPr>
          <w:p>
            <w:pPr>
              <w:spacing w:after="0"/>
              <w:rPr>
                <w:sz w:val="1"/>
                <w:szCs w:val="1"/>
                <w:color w:val="auto"/>
              </w:rPr>
            </w:pPr>
          </w:p>
        </w:tc>
      </w:tr>
      <w:tr>
        <w:trPr>
          <w:trHeight w:val="20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FIFO basis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58,140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57,676</w:t>
            </w: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242,147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233,891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The above value of inventories, before reduction for the LIFO reserve, approximates replacement cost at the respective 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460"/>
          </w:cols>
          <w:pgMar w:left="220" w:top="141"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2"/>
        </w:trPr>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Note 6: Property, Plant, and Equipment</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2"/>
        </w:trPr>
        <w:tc>
          <w:tcPr>
            <w:tcW w:w="7920" w:type="dxa"/>
            <w:vAlign w:val="bottom"/>
            <w:gridSpan w:val="2"/>
          </w:tcPr>
          <w:p>
            <w:pPr>
              <w:spacing w:after="0"/>
              <w:rPr>
                <w:sz w:val="20"/>
                <w:szCs w:val="20"/>
                <w:color w:val="auto"/>
              </w:rPr>
            </w:pPr>
            <w:r>
              <w:rPr>
                <w:rFonts w:ascii="Arial" w:cs="Arial" w:eastAsia="Arial" w:hAnsi="Arial"/>
                <w:sz w:val="13"/>
                <w:szCs w:val="13"/>
                <w:color w:val="auto"/>
              </w:rPr>
              <w:t>Property, plant, and equipment is stated at cost, net of accumulated depreciation and consists of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0"/>
        </w:trPr>
        <w:tc>
          <w:tcPr>
            <w:tcW w:w="79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2019</w:t>
            </w:r>
          </w:p>
        </w:tc>
        <w:tc>
          <w:tcPr>
            <w:tcW w:w="220" w:type="dxa"/>
            <w:vAlign w:val="bottom"/>
          </w:tcPr>
          <w:p>
            <w:pPr>
              <w:spacing w:after="0"/>
              <w:rPr>
                <w:sz w:val="24"/>
                <w:szCs w:val="24"/>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25, 2018</w:t>
            </w:r>
          </w:p>
        </w:tc>
      </w:tr>
      <w:tr>
        <w:trPr>
          <w:trHeight w:val="203"/>
        </w:trPr>
        <w:tc>
          <w:tcPr>
            <w:tcW w:w="7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6,799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6,747</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Buildings and building improvements</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119,638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94,622</w:t>
            </w:r>
          </w:p>
        </w:tc>
      </w:tr>
      <w:tr>
        <w:trPr>
          <w:trHeight w:val="223"/>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Machinery and equipment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107,701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105,663</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3"/>
                <w:szCs w:val="13"/>
                <w:color w:val="auto"/>
              </w:rPr>
              <w:t>Software</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29,169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23,388</w:t>
            </w:r>
          </w:p>
        </w:tc>
      </w:tr>
      <w:tr>
        <w:trPr>
          <w:trHeight w:val="216"/>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Transportation</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3,865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8,837</w:t>
            </w:r>
          </w:p>
        </w:tc>
      </w:tr>
      <w:tr>
        <w:trPr>
          <w:trHeight w:val="196"/>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Property, plant, and equipment, gross</w:t>
            </w:r>
          </w:p>
        </w:tc>
        <w:tc>
          <w:tcPr>
            <w:tcW w:w="240" w:type="dxa"/>
            <w:vAlign w:val="bottom"/>
          </w:tcPr>
          <w:p>
            <w:pPr>
              <w:spacing w:after="0"/>
              <w:rPr>
                <w:sz w:val="17"/>
                <w:szCs w:val="17"/>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267,172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239,257</w:t>
            </w:r>
          </w:p>
        </w:tc>
      </w:tr>
      <w:tr>
        <w:trPr>
          <w:trHeight w:val="216"/>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139,600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138,064</w:t>
            </w:r>
          </w:p>
        </w:tc>
      </w:tr>
      <w:tr>
        <w:trPr>
          <w:trHeight w:val="190"/>
        </w:trPr>
        <w:tc>
          <w:tcPr>
            <w:tcW w:w="7920" w:type="dxa"/>
            <w:vAlign w:val="bottom"/>
            <w:gridSpan w:val="2"/>
          </w:tcPr>
          <w:p>
            <w:pPr>
              <w:ind w:left="140"/>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127,572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101,193</w:t>
            </w:r>
          </w:p>
        </w:tc>
      </w:tr>
      <w:tr>
        <w:trPr>
          <w:trHeight w:val="20"/>
        </w:trPr>
        <w:tc>
          <w:tcPr>
            <w:tcW w:w="10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For Fiscal 2019, 2018, and 2017, depreciation charged to operations was $13.7 million, $9.8 million, and $7.3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Goodwill and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changes in carrying amount of goodwill by segment were as follows in Fiscal 2019, 2018, and 2017, noting we have no accumulated impairment losses: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Towable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Corporate / All Other</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55"/>
              <w:spacing w:after="0"/>
              <w:rPr>
                <w:sz w:val="20"/>
                <w:szCs w:val="20"/>
                <w:color w:val="auto"/>
              </w:rPr>
            </w:pPr>
            <w:r>
              <w:rPr>
                <w:rFonts w:ascii="Arial" w:cs="Arial" w:eastAsia="Arial" w:hAnsi="Arial"/>
                <w:sz w:val="13"/>
                <w:szCs w:val="13"/>
                <w:b w:val="1"/>
                <w:bCs w:val="1"/>
                <w:color w:val="auto"/>
              </w:rPr>
              <w:t>Total</w:t>
            </w: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August 27, 2016</w:t>
            </w: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95"/>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1,228</w:t>
            </w:r>
          </w:p>
        </w:tc>
      </w:tr>
      <w:tr>
        <w:trPr>
          <w:trHeight w:val="216"/>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Acquisition of Grand Design</w:t>
            </w:r>
            <w:r>
              <w:rPr>
                <w:rFonts w:ascii="Arial" w:cs="Arial" w:eastAsia="Arial" w:hAnsi="Arial"/>
                <w:sz w:val="17"/>
                <w:szCs w:val="17"/>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241,500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241,500</w:t>
            </w:r>
          </w:p>
        </w:tc>
      </w:tr>
      <w:tr>
        <w:trPr>
          <w:trHeight w:val="196"/>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August 26, 2017</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242,728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242,728</w:t>
            </w:r>
          </w:p>
        </w:tc>
      </w:tr>
      <w:tr>
        <w:trPr>
          <w:trHeight w:val="216"/>
        </w:trPr>
        <w:tc>
          <w:tcPr>
            <w:tcW w:w="5400" w:type="dxa"/>
            <w:vAlign w:val="bottom"/>
          </w:tcPr>
          <w:p>
            <w:pPr>
              <w:ind w:left="140"/>
              <w:spacing w:after="0"/>
              <w:rPr>
                <w:sz w:val="20"/>
                <w:szCs w:val="20"/>
                <w:color w:val="auto"/>
              </w:rPr>
            </w:pPr>
            <w:r>
              <w:rPr>
                <w:rFonts w:ascii="Arial" w:cs="Arial" w:eastAsia="Arial" w:hAnsi="Arial"/>
                <w:sz w:val="13"/>
                <w:szCs w:val="13"/>
                <w:color w:val="auto"/>
              </w:rPr>
              <w:t>Grand Design purchase price adjustment</w:t>
            </w:r>
            <w:r>
              <w:rPr>
                <w:rFonts w:ascii="Arial" w:cs="Arial" w:eastAsia="Arial" w:hAnsi="Arial"/>
                <w:sz w:val="17"/>
                <w:szCs w:val="17"/>
                <w:color w:val="auto"/>
                <w:vertAlign w:val="superscript"/>
              </w:rPr>
              <w:t>(1)</w:t>
            </w:r>
          </w:p>
        </w:tc>
        <w:tc>
          <w:tcPr>
            <w:tcW w:w="40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Arial" w:cs="Arial" w:eastAsia="Arial" w:hAnsi="Arial"/>
                <w:sz w:val="13"/>
                <w:szCs w:val="13"/>
                <w:color w:val="auto"/>
              </w:rPr>
              <w:t>1,956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1,956</w:t>
            </w: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of Chris-Craft</w:t>
            </w:r>
            <w:r>
              <w:rPr>
                <w:rFonts w:ascii="Arial" w:cs="Arial" w:eastAsia="Arial" w:hAnsi="Arial"/>
                <w:sz w:val="17"/>
                <w:szCs w:val="17"/>
                <w:color w:val="auto"/>
                <w:vertAlign w:val="superscript"/>
              </w:rPr>
              <w:t>(1)</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29,686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29,686</w:t>
            </w:r>
          </w:p>
        </w:tc>
      </w:tr>
      <w:tr>
        <w:trPr>
          <w:trHeight w:val="188"/>
        </w:trPr>
        <w:tc>
          <w:tcPr>
            <w:tcW w:w="5400" w:type="dxa"/>
            <w:vAlign w:val="bottom"/>
          </w:tcPr>
          <w:p>
            <w:pPr>
              <w:ind w:left="20"/>
              <w:spacing w:after="0"/>
              <w:rPr>
                <w:sz w:val="20"/>
                <w:szCs w:val="20"/>
                <w:color w:val="auto"/>
              </w:rPr>
            </w:pPr>
            <w:r>
              <w:rPr>
                <w:rFonts w:ascii="Arial" w:cs="Arial" w:eastAsia="Arial" w:hAnsi="Arial"/>
                <w:sz w:val="13"/>
                <w:szCs w:val="13"/>
                <w:color w:val="auto"/>
              </w:rPr>
              <w:t>Balances at August 25, 2018</w:t>
            </w:r>
          </w:p>
        </w:tc>
        <w:tc>
          <w:tcPr>
            <w:tcW w:w="4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244,684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29,686</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274,370</w:t>
            </w:r>
          </w:p>
        </w:tc>
      </w:tr>
      <w:tr>
        <w:trPr>
          <w:trHeight w:val="223"/>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Chris-Craft purchase price adjustment</w:t>
            </w:r>
            <w:r>
              <w:rPr>
                <w:rFonts w:ascii="Arial" w:cs="Arial" w:eastAsia="Arial" w:hAnsi="Arial"/>
                <w:sz w:val="17"/>
                <w:szCs w:val="17"/>
                <w:color w:val="auto"/>
                <w:vertAlign w:val="superscript"/>
              </w:rPr>
              <w:t>(1)</w:t>
            </w: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561</w:t>
            </w:r>
          </w:p>
        </w:tc>
      </w:tr>
      <w:tr>
        <w:trPr>
          <w:trHeight w:val="182"/>
        </w:trPr>
        <w:tc>
          <w:tcPr>
            <w:tcW w:w="5400" w:type="dxa"/>
            <w:vAlign w:val="bottom"/>
          </w:tcPr>
          <w:p>
            <w:pPr>
              <w:ind w:left="20"/>
              <w:spacing w:after="0"/>
              <w:rPr>
                <w:sz w:val="20"/>
                <w:szCs w:val="20"/>
                <w:color w:val="auto"/>
              </w:rPr>
            </w:pPr>
            <w:r>
              <w:rPr>
                <w:rFonts w:ascii="Arial" w:cs="Arial" w:eastAsia="Arial" w:hAnsi="Arial"/>
                <w:sz w:val="13"/>
                <w:szCs w:val="13"/>
                <w:color w:val="auto"/>
              </w:rPr>
              <w:t>Balances at August 31, 2019</w:t>
            </w:r>
          </w:p>
        </w:tc>
        <w:tc>
          <w:tcPr>
            <w:tcW w:w="4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244,684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7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30,247</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274,931</w:t>
            </w: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260" w:hanging="254"/>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 xml:space="preserve">Refer to Note 2, </w:t>
      </w:r>
      <w:r>
        <w:rPr>
          <w:rFonts w:ascii="Arial" w:cs="Arial" w:eastAsia="Arial" w:hAnsi="Arial"/>
          <w:sz w:val="11"/>
          <w:szCs w:val="11"/>
          <w:i w:val="1"/>
          <w:iCs w:val="1"/>
          <w:color w:val="auto"/>
        </w:rPr>
        <w:t>Business Combinations</w:t>
      </w:r>
      <w:r>
        <w:rPr>
          <w:rFonts w:ascii="Arial" w:cs="Arial" w:eastAsia="Arial" w:hAnsi="Arial"/>
          <w:sz w:val="11"/>
          <w:szCs w:val="11"/>
          <w:color w:val="auto"/>
        </w:rPr>
        <w:t>, for additional information on the acquisitions of Grand Design and Chris-Craft.</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net of accumulated amortization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6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August 31, 2019</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August 25, 2018</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57"/>
        </w:trPr>
        <w:tc>
          <w:tcPr>
            <w:tcW w:w="264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1"/>
        </w:trPr>
        <w:tc>
          <w:tcPr>
            <w:tcW w:w="264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Average Life-</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295"/>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Average Life-</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Accumulated</w:t>
            </w:r>
          </w:p>
        </w:tc>
      </w:tr>
      <w:tr>
        <w:trPr>
          <w:trHeight w:val="179"/>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b w:val="1"/>
                <w:bCs w:val="1"/>
                <w:color w:val="auto"/>
              </w:rPr>
              <w:t>Cost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Cost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Amortization</w:t>
            </w: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names</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Indefinite</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177,250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Indefinite</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177,250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2640" w:type="dxa"/>
            <w:vAlign w:val="bottom"/>
          </w:tcPr>
          <w:p>
            <w:pPr>
              <w:ind w:left="20"/>
              <w:spacing w:after="0"/>
              <w:rPr>
                <w:sz w:val="20"/>
                <w:szCs w:val="20"/>
                <w:color w:val="auto"/>
              </w:rPr>
            </w:pPr>
            <w:r>
              <w:rPr>
                <w:rFonts w:ascii="Arial" w:cs="Arial" w:eastAsia="Arial" w:hAnsi="Arial"/>
                <w:sz w:val="13"/>
                <w:szCs w:val="13"/>
                <w:color w:val="auto"/>
              </w:rPr>
              <w:t>Dealer networks</w:t>
            </w:r>
          </w:p>
        </w:tc>
        <w:tc>
          <w:tcPr>
            <w:tcW w:w="1160" w:type="dxa"/>
            <w:vAlign w:val="bottom"/>
          </w:tcPr>
          <w:p>
            <w:pPr>
              <w:jc w:val="center"/>
              <w:spacing w:after="0"/>
              <w:rPr>
                <w:sz w:val="20"/>
                <w:szCs w:val="20"/>
                <w:color w:val="auto"/>
              </w:rPr>
            </w:pPr>
            <w:r>
              <w:rPr>
                <w:rFonts w:ascii="Arial" w:cs="Arial" w:eastAsia="Arial" w:hAnsi="Arial"/>
                <w:sz w:val="13"/>
                <w:szCs w:val="13"/>
                <w:color w:val="auto"/>
                <w:w w:val="94"/>
              </w:rPr>
              <w:t>12.2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95,581</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20,329</w:t>
            </w:r>
          </w:p>
        </w:tc>
        <w:tc>
          <w:tcPr>
            <w:tcW w:w="1260" w:type="dxa"/>
            <w:vAlign w:val="bottom"/>
            <w:gridSpan w:val="2"/>
          </w:tcPr>
          <w:p>
            <w:pPr>
              <w:jc w:val="center"/>
              <w:ind w:left="55"/>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3"/>
                <w:szCs w:val="13"/>
                <w:color w:val="auto"/>
              </w:rPr>
              <w:t>95,581</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12,328</w:t>
            </w: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Backlog</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19,527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19,527</w:t>
            </w:r>
          </w:p>
        </w:tc>
        <w:tc>
          <w:tcPr>
            <w:tcW w:w="1260" w:type="dxa"/>
            <w:vAlign w:val="bottom"/>
            <w:gridSpan w:val="2"/>
            <w:shd w:val="clear" w:color="auto" w:fill="CCEEFF"/>
          </w:tcPr>
          <w:p>
            <w:pPr>
              <w:jc w:val="center"/>
              <w:ind w:left="55"/>
              <w:spacing w:after="0"/>
              <w:rPr>
                <w:sz w:val="20"/>
                <w:szCs w:val="20"/>
                <w:color w:val="auto"/>
              </w:rPr>
            </w:pPr>
            <w:r>
              <w:rPr>
                <w:rFonts w:ascii="Arial" w:cs="Arial" w:eastAsia="Arial" w:hAnsi="Arial"/>
                <w:sz w:val="13"/>
                <w:szCs w:val="13"/>
                <w:color w:val="auto"/>
                <w:w w:val="99"/>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19,527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19,135</w:t>
            </w:r>
          </w:p>
        </w:tc>
      </w:tr>
      <w:tr>
        <w:trPr>
          <w:trHeight w:val="208"/>
        </w:trPr>
        <w:tc>
          <w:tcPr>
            <w:tcW w:w="2640" w:type="dxa"/>
            <w:vAlign w:val="bottom"/>
          </w:tcPr>
          <w:p>
            <w:pPr>
              <w:ind w:left="20"/>
              <w:spacing w:after="0"/>
              <w:rPr>
                <w:sz w:val="20"/>
                <w:szCs w:val="20"/>
                <w:color w:val="auto"/>
              </w:rPr>
            </w:pPr>
            <w:r>
              <w:rPr>
                <w:rFonts w:ascii="Arial" w:cs="Arial" w:eastAsia="Arial" w:hAnsi="Arial"/>
                <w:sz w:val="13"/>
                <w:szCs w:val="13"/>
                <w:color w:val="auto"/>
              </w:rPr>
              <w:t>Non-compete agreements</w:t>
            </w:r>
          </w:p>
        </w:tc>
        <w:tc>
          <w:tcPr>
            <w:tcW w:w="116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5,347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3,077</w:t>
            </w:r>
          </w:p>
        </w:tc>
        <w:tc>
          <w:tcPr>
            <w:tcW w:w="1260" w:type="dxa"/>
            <w:vAlign w:val="bottom"/>
            <w:gridSpan w:val="2"/>
          </w:tcPr>
          <w:p>
            <w:pPr>
              <w:jc w:val="center"/>
              <w:ind w:left="55"/>
              <w:spacing w:after="0"/>
              <w:rPr>
                <w:sz w:val="20"/>
                <w:szCs w:val="20"/>
                <w:color w:val="auto"/>
              </w:rPr>
            </w:pPr>
            <w:r>
              <w:rPr>
                <w:rFonts w:ascii="Arial" w:cs="Arial" w:eastAsia="Arial" w:hAnsi="Arial"/>
                <w:sz w:val="13"/>
                <w:szCs w:val="13"/>
                <w:color w:val="auto"/>
                <w:w w:val="99"/>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3"/>
                <w:szCs w:val="13"/>
                <w:color w:val="auto"/>
              </w:rPr>
              <w:t>5,347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2,084</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interest-favorable</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690</w:t>
            </w:r>
          </w:p>
        </w:tc>
        <w:tc>
          <w:tcPr>
            <w:tcW w:w="1260" w:type="dxa"/>
            <w:vAlign w:val="bottom"/>
            <w:gridSpan w:val="2"/>
            <w:shd w:val="clear" w:color="auto" w:fill="CCEEFF"/>
          </w:tcPr>
          <w:p>
            <w:pPr>
              <w:jc w:val="center"/>
              <w:ind w:left="55"/>
              <w:spacing w:after="0"/>
              <w:rPr>
                <w:sz w:val="20"/>
                <w:szCs w:val="20"/>
                <w:color w:val="auto"/>
              </w:rPr>
            </w:pPr>
            <w:r>
              <w:rPr>
                <w:rFonts w:ascii="Arial" w:cs="Arial" w:eastAsia="Arial" w:hAnsi="Arial"/>
                <w:sz w:val="13"/>
                <w:szCs w:val="13"/>
                <w:color w:val="auto"/>
                <w:w w:val="99"/>
              </w:rPr>
              <w:t>8.1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441</w:t>
            </w:r>
          </w:p>
        </w:tc>
      </w:tr>
      <w:tr>
        <w:trPr>
          <w:trHeight w:val="196"/>
        </w:trPr>
        <w:tc>
          <w:tcPr>
            <w:tcW w:w="2640" w:type="dxa"/>
            <w:vAlign w:val="bottom"/>
          </w:tcPr>
          <w:p>
            <w:pPr>
              <w:ind w:left="140"/>
              <w:spacing w:after="0"/>
              <w:rPr>
                <w:sz w:val="20"/>
                <w:szCs w:val="20"/>
                <w:color w:val="auto"/>
              </w:rPr>
            </w:pPr>
            <w:r>
              <w:rPr>
                <w:rFonts w:ascii="Arial" w:cs="Arial" w:eastAsia="Arial" w:hAnsi="Arial"/>
                <w:sz w:val="13"/>
                <w:szCs w:val="13"/>
                <w:color w:val="auto"/>
              </w:rPr>
              <w:t>Other intangible assets, gross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299,705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43,623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35"/>
              <w:spacing w:after="0"/>
              <w:rPr>
                <w:sz w:val="20"/>
                <w:szCs w:val="20"/>
                <w:color w:val="auto"/>
              </w:rPr>
            </w:pPr>
            <w:r>
              <w:rPr>
                <w:rFonts w:ascii="Arial" w:cs="Arial" w:eastAsia="Arial" w:hAnsi="Arial"/>
                <w:sz w:val="13"/>
                <w:szCs w:val="13"/>
                <w:color w:val="auto"/>
              </w:rPr>
              <w:t>299,705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33,988</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amortization</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43,623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33,988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0"/>
        </w:trPr>
        <w:tc>
          <w:tcPr>
            <w:tcW w:w="2640" w:type="dxa"/>
            <w:vAlign w:val="bottom"/>
          </w:tcPr>
          <w:p>
            <w:pPr>
              <w:ind w:left="140"/>
              <w:spacing w:after="0"/>
              <w:rPr>
                <w:sz w:val="20"/>
                <w:szCs w:val="20"/>
                <w:color w:val="auto"/>
              </w:rPr>
            </w:pPr>
            <w:r>
              <w:rPr>
                <w:rFonts w:ascii="Arial" w:cs="Arial" w:eastAsia="Arial" w:hAnsi="Arial"/>
                <w:sz w:val="13"/>
                <w:szCs w:val="13"/>
                <w:color w:val="auto"/>
              </w:rPr>
              <w:t>Other intangible assets, net</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256,082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265,717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amortization period for intangible assets as of August 31, 2019 was approximately ten years.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460"/>
          </w:cols>
          <w:pgMar w:left="220" w:top="119"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8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63"/>
        </w:trPr>
        <w:tc>
          <w:tcPr>
            <w:tcW w:w="9620" w:type="dxa"/>
            <w:vAlign w:val="bottom"/>
            <w:gridSpan w:val="2"/>
          </w:tcPr>
          <w:p>
            <w:pPr>
              <w:spacing w:after="0"/>
              <w:rPr>
                <w:sz w:val="20"/>
                <w:szCs w:val="20"/>
                <w:color w:val="auto"/>
              </w:rPr>
            </w:pPr>
            <w:r>
              <w:rPr>
                <w:rFonts w:ascii="Arial" w:cs="Arial" w:eastAsia="Arial" w:hAnsi="Arial"/>
                <w:sz w:val="13"/>
                <w:szCs w:val="13"/>
                <w:color w:val="auto"/>
              </w:rPr>
              <w:t>Remaining estimated aggregate annual amortization expense by fiscal year is as follows: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9"/>
        </w:trPr>
        <w:tc>
          <w:tcPr>
            <w:tcW w:w="9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Amount</w:t>
            </w:r>
          </w:p>
        </w:tc>
      </w:tr>
      <w:tr>
        <w:trPr>
          <w:trHeight w:val="193"/>
        </w:trPr>
        <w:tc>
          <w:tcPr>
            <w:tcW w:w="9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2020</w:t>
            </w: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9,032</w:t>
            </w:r>
          </w:p>
        </w:tc>
      </w:tr>
      <w:tr>
        <w:trPr>
          <w:trHeight w:val="186"/>
        </w:trPr>
        <w:tc>
          <w:tcPr>
            <w:tcW w:w="9620" w:type="dxa"/>
            <w:vAlign w:val="bottom"/>
            <w:gridSpan w:val="2"/>
          </w:tcPr>
          <w:p>
            <w:pPr>
              <w:ind w:left="20"/>
              <w:spacing w:after="0"/>
              <w:rPr>
                <w:sz w:val="20"/>
                <w:szCs w:val="20"/>
                <w:color w:val="auto"/>
              </w:rPr>
            </w:pPr>
            <w:r>
              <w:rPr>
                <w:rFonts w:ascii="Arial" w:cs="Arial" w:eastAsia="Arial" w:hAnsi="Arial"/>
                <w:sz w:val="13"/>
                <w:szCs w:val="13"/>
                <w:color w:val="auto"/>
              </w:rPr>
              <w:t>Fiscal 2021</w:t>
            </w:r>
          </w:p>
        </w:tc>
        <w:tc>
          <w:tcPr>
            <w:tcW w:w="400" w:type="dxa"/>
            <w:vAlign w:val="bottom"/>
          </w:tcPr>
          <w:p>
            <w:pPr>
              <w:spacing w:after="0"/>
              <w:rPr>
                <w:sz w:val="16"/>
                <w:szCs w:val="16"/>
                <w:color w:val="auto"/>
              </w:rPr>
            </w:pPr>
          </w:p>
        </w:tc>
        <w:tc>
          <w:tcPr>
            <w:tcW w:w="1440" w:type="dxa"/>
            <w:vAlign w:val="bottom"/>
          </w:tcPr>
          <w:p>
            <w:pPr>
              <w:jc w:val="right"/>
              <w:ind w:right="35"/>
              <w:spacing w:after="0"/>
              <w:rPr>
                <w:sz w:val="20"/>
                <w:szCs w:val="20"/>
                <w:color w:val="auto"/>
              </w:rPr>
            </w:pPr>
            <w:r>
              <w:rPr>
                <w:rFonts w:ascii="Arial" w:cs="Arial" w:eastAsia="Arial" w:hAnsi="Arial"/>
                <w:sz w:val="13"/>
                <w:szCs w:val="13"/>
                <w:color w:val="auto"/>
              </w:rPr>
              <w:t>9,032</w:t>
            </w:r>
          </w:p>
        </w:tc>
      </w:tr>
      <w:tr>
        <w:trPr>
          <w:trHeight w:val="202"/>
        </w:trPr>
        <w:tc>
          <w:tcPr>
            <w:tcW w:w="9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2022</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8,390</w:t>
            </w:r>
          </w:p>
        </w:tc>
      </w:tr>
      <w:tr>
        <w:trPr>
          <w:trHeight w:val="186"/>
        </w:trPr>
        <w:tc>
          <w:tcPr>
            <w:tcW w:w="9620" w:type="dxa"/>
            <w:vAlign w:val="bottom"/>
            <w:gridSpan w:val="2"/>
          </w:tcPr>
          <w:p>
            <w:pPr>
              <w:ind w:left="20"/>
              <w:spacing w:after="0"/>
              <w:rPr>
                <w:sz w:val="20"/>
                <w:szCs w:val="20"/>
                <w:color w:val="auto"/>
              </w:rPr>
            </w:pPr>
            <w:r>
              <w:rPr>
                <w:rFonts w:ascii="Arial" w:cs="Arial" w:eastAsia="Arial" w:hAnsi="Arial"/>
                <w:sz w:val="13"/>
                <w:szCs w:val="13"/>
                <w:color w:val="auto"/>
              </w:rPr>
              <w:t>Fiscal 2023</w:t>
            </w:r>
          </w:p>
        </w:tc>
        <w:tc>
          <w:tcPr>
            <w:tcW w:w="400" w:type="dxa"/>
            <w:vAlign w:val="bottom"/>
          </w:tcPr>
          <w:p>
            <w:pPr>
              <w:spacing w:after="0"/>
              <w:rPr>
                <w:sz w:val="16"/>
                <w:szCs w:val="16"/>
                <w:color w:val="auto"/>
              </w:rPr>
            </w:pPr>
          </w:p>
        </w:tc>
        <w:tc>
          <w:tcPr>
            <w:tcW w:w="1440" w:type="dxa"/>
            <w:vAlign w:val="bottom"/>
          </w:tcPr>
          <w:p>
            <w:pPr>
              <w:jc w:val="right"/>
              <w:ind w:right="35"/>
              <w:spacing w:after="0"/>
              <w:rPr>
                <w:sz w:val="20"/>
                <w:szCs w:val="20"/>
                <w:color w:val="auto"/>
              </w:rPr>
            </w:pPr>
            <w:r>
              <w:rPr>
                <w:rFonts w:ascii="Arial" w:cs="Arial" w:eastAsia="Arial" w:hAnsi="Arial"/>
                <w:sz w:val="13"/>
                <w:szCs w:val="13"/>
                <w:color w:val="auto"/>
              </w:rPr>
              <w:t>8,197</w:t>
            </w:r>
          </w:p>
        </w:tc>
      </w:tr>
      <w:tr>
        <w:trPr>
          <w:trHeight w:val="202"/>
        </w:trPr>
        <w:tc>
          <w:tcPr>
            <w:tcW w:w="9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2024</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8,095</w:t>
            </w:r>
          </w:p>
        </w:tc>
      </w:tr>
      <w:tr>
        <w:trPr>
          <w:trHeight w:val="186"/>
        </w:trPr>
        <w:tc>
          <w:tcPr>
            <w:tcW w:w="9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36,086</w:t>
            </w:r>
          </w:p>
        </w:tc>
      </w:tr>
      <w:tr>
        <w:trPr>
          <w:trHeight w:val="190"/>
        </w:trPr>
        <w:tc>
          <w:tcPr>
            <w:tcW w:w="9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Total amortization expense remaining</w:t>
            </w: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78,832</w:t>
            </w:r>
          </w:p>
        </w:tc>
      </w:tr>
      <w:tr>
        <w:trPr>
          <w:trHeight w:val="20"/>
        </w:trPr>
        <w:tc>
          <w:tcPr>
            <w:tcW w:w="10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Product Warranties</w:t>
      </w:r>
    </w:p>
    <w:p>
      <w:pPr>
        <w:spacing w:after="0" w:line="168" w:lineRule="exact"/>
        <w:rPr>
          <w:sz w:val="20"/>
          <w:szCs w:val="20"/>
          <w:color w:val="auto"/>
        </w:rPr>
      </w:pPr>
    </w:p>
    <w:p>
      <w:pPr>
        <w:jc w:val="both"/>
        <w:ind w:right="40"/>
        <w:spacing w:after="0" w:line="246" w:lineRule="auto"/>
        <w:rPr>
          <w:sz w:val="20"/>
          <w:szCs w:val="20"/>
          <w:color w:val="auto"/>
        </w:rPr>
      </w:pPr>
      <w:r>
        <w:rPr>
          <w:rFonts w:ascii="Arial" w:cs="Arial" w:eastAsia="Arial" w:hAnsi="Arial"/>
          <w:sz w:val="13"/>
          <w:szCs w:val="13"/>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44" w:lineRule="exact"/>
        <w:rPr>
          <w:sz w:val="20"/>
          <w:szCs w:val="20"/>
          <w:color w:val="auto"/>
        </w:rPr>
      </w:pPr>
    </w:p>
    <w:p>
      <w:pPr>
        <w:ind w:right="400"/>
        <w:spacing w:after="0" w:line="246"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80" w:type="dxa"/>
            <w:vAlign w:val="bottom"/>
          </w:tcPr>
          <w:p>
            <w:pPr>
              <w:spacing w:after="0"/>
              <w:rPr>
                <w:sz w:val="20"/>
                <w:szCs w:val="20"/>
                <w:color w:val="auto"/>
              </w:rPr>
            </w:pPr>
            <w:r>
              <w:rPr>
                <w:rFonts w:ascii="Arial" w:cs="Arial" w:eastAsia="Arial" w:hAnsi="Arial"/>
                <w:sz w:val="13"/>
                <w:szCs w:val="13"/>
                <w:color w:val="auto"/>
              </w:rPr>
              <w:t>Changes in our product warranty liability are as follows:</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2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2017</w:t>
            </w: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42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40,498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30,805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12,412</w:t>
            </w:r>
          </w:p>
        </w:tc>
      </w:tr>
      <w:tr>
        <w:trPr>
          <w:trHeight w:val="216"/>
        </w:trPr>
        <w:tc>
          <w:tcPr>
            <w:tcW w:w="6080" w:type="dxa"/>
            <w:vAlign w:val="bottom"/>
          </w:tcPr>
          <w:p>
            <w:pPr>
              <w:ind w:left="140"/>
              <w:spacing w:after="0"/>
              <w:rPr>
                <w:sz w:val="20"/>
                <w:szCs w:val="20"/>
                <w:color w:val="auto"/>
              </w:rPr>
            </w:pPr>
            <w:r>
              <w:rPr>
                <w:rFonts w:ascii="Arial" w:cs="Arial" w:eastAsia="Arial" w:hAnsi="Arial"/>
                <w:sz w:val="13"/>
                <w:szCs w:val="13"/>
                <w:color w:val="auto"/>
              </w:rPr>
              <w:t>Business acquisitions</w:t>
            </w:r>
            <w:r>
              <w:rPr>
                <w:rFonts w:ascii="Arial" w:cs="Arial" w:eastAsia="Arial" w:hAnsi="Arial"/>
                <w:sz w:val="17"/>
                <w:szCs w:val="17"/>
                <w:color w:val="auto"/>
                <w:vertAlign w:val="superscript"/>
              </w:rPr>
              <w:t>(1)</w:t>
            </w:r>
          </w:p>
        </w:tc>
        <w:tc>
          <w:tcPr>
            <w:tcW w:w="4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12,904</w:t>
            </w:r>
          </w:p>
        </w:tc>
      </w:tr>
      <w:tr>
        <w:trPr>
          <w:trHeight w:val="216"/>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45,902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42,377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31,631</w:t>
            </w:r>
          </w:p>
        </w:tc>
      </w:tr>
      <w:tr>
        <w:trPr>
          <w:trHeight w:val="208"/>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Claims paid</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(41,964)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(33,295)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(26,142)</w:t>
            </w:r>
          </w:p>
        </w:tc>
      </w:tr>
      <w:tr>
        <w:trPr>
          <w:trHeight w:val="19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44,436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40,498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30,805</w:t>
            </w: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260" w:hanging="254"/>
        <w:spacing w:after="0"/>
        <w:tabs>
          <w:tab w:leader="none" w:pos="2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 xml:space="preserve">Refer to Note 2, </w:t>
      </w:r>
      <w:r>
        <w:rPr>
          <w:rFonts w:ascii="Arial" w:cs="Arial" w:eastAsia="Arial" w:hAnsi="Arial"/>
          <w:sz w:val="11"/>
          <w:szCs w:val="11"/>
          <w:i w:val="1"/>
          <w:iCs w:val="1"/>
          <w:color w:val="auto"/>
        </w:rPr>
        <w:t>Business Combinations</w:t>
      </w:r>
      <w:r>
        <w:rPr>
          <w:rFonts w:ascii="Arial" w:cs="Arial" w:eastAsia="Arial" w:hAnsi="Arial"/>
          <w:sz w:val="11"/>
          <w:szCs w:val="11"/>
          <w:color w:val="auto"/>
        </w:rPr>
        <w:t>, for additional information on the acquisitions of Grand Design and Chris-Craft.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Long-Term Debt</w:t>
      </w:r>
    </w:p>
    <w:p>
      <w:pPr>
        <w:spacing w:after="0" w:line="168" w:lineRule="exact"/>
        <w:rPr>
          <w:sz w:val="20"/>
          <w:szCs w:val="20"/>
          <w:color w:val="auto"/>
        </w:rPr>
      </w:pPr>
    </w:p>
    <w:p>
      <w:pPr>
        <w:ind w:right="100"/>
        <w:spacing w:after="0" w:line="246" w:lineRule="auto"/>
        <w:rPr>
          <w:sz w:val="20"/>
          <w:szCs w:val="20"/>
          <w:color w:val="auto"/>
        </w:rPr>
      </w:pPr>
      <w:r>
        <w:rPr>
          <w:rFonts w:ascii="Arial" w:cs="Arial" w:eastAsia="Arial" w:hAnsi="Arial"/>
          <w:sz w:val="13"/>
          <w:szCs w:val="13"/>
          <w:color w:val="auto"/>
        </w:rPr>
        <w:t>On November 8, 2016, we entered into a $125.0 million credit agreement ("ABL") and a $300.0 million loan agreement ("Term Loan") with JPMorgan Chase Bank, N.A. ("JPMorgan Chase"), as administrative agent ("Credit Agreement") and certain lenders from time to time party thereto. The loan parties under the ABL and Term Loan are Winnebago Industries, Inc. and all material direct and indirect domestic subsidiaries, and the obligations under the Credit Agreement are secured by a security interest in substantially all of our assets and those of our subsidiaries.</w:t>
      </w:r>
    </w:p>
    <w:p>
      <w:pPr>
        <w:spacing w:after="0" w:line="144" w:lineRule="exact"/>
        <w:rPr>
          <w:sz w:val="20"/>
          <w:szCs w:val="20"/>
          <w:color w:val="auto"/>
        </w:rPr>
      </w:pPr>
    </w:p>
    <w:p>
      <w:pPr>
        <w:ind w:right="140"/>
        <w:spacing w:after="0" w:line="243" w:lineRule="auto"/>
        <w:rPr>
          <w:sz w:val="20"/>
          <w:szCs w:val="20"/>
          <w:color w:val="auto"/>
        </w:rPr>
      </w:pPr>
      <w:r>
        <w:rPr>
          <w:rFonts w:ascii="Arial" w:cs="Arial" w:eastAsia="Arial" w:hAnsi="Arial"/>
          <w:sz w:val="13"/>
          <w:szCs w:val="13"/>
          <w:color w:val="auto"/>
        </w:rPr>
        <w:t>Under the ABL, we have a five-year credit facility on a revolving basis, subject to availability under a borrowing base consisting of eligible accounts receivable and eligible inventory. The ABL is available for issuance of letters of credit to a specified limit of $10.0 million. We pay a commitment fee of 0.25% on the average daily amount of the facility available, but unused. We can elect to base the interest rate on various rates plus specific spreads depending on the amount of borrowings outstanding. We currently pay interest on ABL borrowings at a floating rate based upon LIBOR plus 1.25%. The amount that may be borrowed under the ABL was increased to $165.0 million as of September 21, 2018. On October 22, 2019, our ABL credit facility was amended and restated to increase the commitments thereunder to $192.5 million, which includes a $19.25 million letter of credit facility, and to extend the maturity to October 22, 2024 (subject to certain factors which may accelerate the maturity date). In addition to JPMorgan Chase, BMO Harris Bank N.A. and Goldman Sachs Bank USA are also committing lenders under the ABL credit facility.</w:t>
      </w:r>
    </w:p>
    <w:p>
      <w:pPr>
        <w:spacing w:after="0" w:line="148"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Under the Term Loan, we can elect to base the interest rate on various rates plus specific spreads. The interest rate as of August 31, 2019 was based on LIBOR plus 2.32%. The Term Loan agreement currently requires quarterly payments in the amount of $2.8 million until December 31, 2019 at which time the quarterly payments change to $3.8 million, with all amounts then outstanding due on November 8, 2023. We have made voluntary prepayments that have extended the opportunity to defer quarterly payments, at our option, until December 31, 2019. There are mandatory prepayments for proceeds of new debt other than debt permitted under the Term Loan, sale of significant assets or subsidiaries, and excess cash flow as such terms are defined in the Term Loan. Incremental term loans of up to $125.0 million are available if certain financial ratios and other conditions are met.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460"/>
          </w:cols>
          <w:pgMar w:left="220" w:top="119" w:right="21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We amortize debt issuance costs on a straight-line basis over the term of the associated debt agreement. If early principal payments are made on the Term Loan, a proportional amount of the unamortized issuance costs is expensed. During Fiscal 2018 as part of our amended Credit Agreement, we incurred $1.1 million of costs related to our ABL that are being amortized over the five-year term of the agreement and $10.5 million of costs related to our Term Loan that are being amortized over the seven-year term of the agreement. Unamortized debt issuance costs of $0.6 million related to the voluntary prepayment on the Term Loan were expensed in Fiscal 2018.</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Credit Agreement contains certain financial covenants. As of August 31, 2019, we were in compliance with all financial covenants of the Credit Agreement.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20" w:type="dxa"/>
            <w:vAlign w:val="bottom"/>
          </w:tcPr>
          <w:p>
            <w:pPr>
              <w:spacing w:after="0"/>
              <w:rPr>
                <w:sz w:val="20"/>
                <w:szCs w:val="20"/>
                <w:color w:val="auto"/>
              </w:rPr>
            </w:pPr>
            <w:r>
              <w:rPr>
                <w:rFonts w:ascii="Arial" w:cs="Arial" w:eastAsia="Arial" w:hAnsi="Arial"/>
                <w:sz w:val="13"/>
                <w:szCs w:val="13"/>
                <w:color w:val="auto"/>
              </w:rPr>
              <w:t>The components of long-term debt are as follows: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August 31, 2019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August 25, 2018</w:t>
            </w:r>
          </w:p>
        </w:tc>
      </w:tr>
      <w:tr>
        <w:trPr>
          <w:trHeight w:val="20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ABL</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38,532</w:t>
            </w:r>
          </w:p>
        </w:tc>
      </w:tr>
      <w:tr>
        <w:trPr>
          <w:trHeight w:val="20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Term Loan</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260,000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260,000</w:t>
            </w:r>
          </w:p>
        </w:tc>
      </w:tr>
      <w:tr>
        <w:trPr>
          <w:trHeight w:val="203"/>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excluding debt issuance costs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260,000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298,532</w:t>
            </w:r>
          </w:p>
        </w:tc>
      </w:tr>
      <w:tr>
        <w:trPr>
          <w:trHeight w:val="20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Debt issuance cost, net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(5,706)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(7,091)</w:t>
            </w:r>
          </w:p>
        </w:tc>
      </w:tr>
      <w:tr>
        <w:trPr>
          <w:trHeight w:val="203"/>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254,294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291,441</w:t>
            </w:r>
          </w:p>
        </w:tc>
      </w:tr>
      <w:tr>
        <w:trPr>
          <w:trHeight w:val="20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current maturities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8,892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190"/>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Long-term debt, less current maturities</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245,402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291,441</w:t>
            </w: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440"/>
        <w:spacing w:after="0" w:line="251" w:lineRule="auto"/>
        <w:rPr>
          <w:sz w:val="20"/>
          <w:szCs w:val="20"/>
          <w:color w:val="auto"/>
        </w:rPr>
      </w:pPr>
      <w:r>
        <w:rPr>
          <w:rFonts w:ascii="Arial" w:cs="Arial" w:eastAsia="Arial" w:hAnsi="Arial"/>
          <w:sz w:val="13"/>
          <w:szCs w:val="13"/>
          <w:color w:val="auto"/>
        </w:rPr>
        <w:t>As of August 31, 2019, the fair value of long-term debt, excluding debt issuance costs, was $255.8 million. As of August 25, 2018, the fair value of long-term debt, excluding debt issuance costs, approximated the carrying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20" w:type="dxa"/>
            <w:vAlign w:val="bottom"/>
          </w:tcPr>
          <w:p>
            <w:pPr>
              <w:spacing w:after="0"/>
              <w:rPr>
                <w:sz w:val="20"/>
                <w:szCs w:val="20"/>
                <w:color w:val="auto"/>
              </w:rPr>
            </w:pPr>
            <w:r>
              <w:rPr>
                <w:rFonts w:ascii="Arial" w:cs="Arial" w:eastAsia="Arial" w:hAnsi="Arial"/>
                <w:sz w:val="13"/>
                <w:szCs w:val="13"/>
                <w:color w:val="auto"/>
              </w:rPr>
              <w:t>Aggregate contractual maturities of debt in future fiscal years, are as follows: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2020</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10,250</w:t>
            </w:r>
          </w:p>
        </w:tc>
        <w:tc>
          <w:tcPr>
            <w:tcW w:w="0" w:type="dxa"/>
            <w:vAlign w:val="bottom"/>
          </w:tcPr>
          <w:p>
            <w:pPr>
              <w:spacing w:after="0"/>
              <w:rPr>
                <w:sz w:val="1"/>
                <w:szCs w:val="1"/>
                <w:color w:val="auto"/>
              </w:rPr>
            </w:pPr>
          </w:p>
        </w:tc>
      </w:tr>
      <w:tr>
        <w:trPr>
          <w:trHeight w:val="186"/>
        </w:trPr>
        <w:tc>
          <w:tcPr>
            <w:tcW w:w="7920" w:type="dxa"/>
            <w:vAlign w:val="bottom"/>
          </w:tcPr>
          <w:p>
            <w:pPr>
              <w:ind w:left="20"/>
              <w:spacing w:after="0"/>
              <w:rPr>
                <w:sz w:val="20"/>
                <w:szCs w:val="20"/>
                <w:color w:val="auto"/>
              </w:rPr>
            </w:pPr>
            <w:r>
              <w:rPr>
                <w:rFonts w:ascii="Arial" w:cs="Arial" w:eastAsia="Arial" w:hAnsi="Arial"/>
                <w:sz w:val="13"/>
                <w:szCs w:val="13"/>
                <w:color w:val="auto"/>
              </w:rPr>
              <w:t>Fiscal 2021</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2022</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86"/>
        </w:trPr>
        <w:tc>
          <w:tcPr>
            <w:tcW w:w="7920" w:type="dxa"/>
            <w:vAlign w:val="bottom"/>
          </w:tcPr>
          <w:p>
            <w:pPr>
              <w:ind w:left="20"/>
              <w:spacing w:after="0"/>
              <w:rPr>
                <w:sz w:val="20"/>
                <w:szCs w:val="20"/>
                <w:color w:val="auto"/>
              </w:rPr>
            </w:pPr>
            <w:r>
              <w:rPr>
                <w:rFonts w:ascii="Arial" w:cs="Arial" w:eastAsia="Arial" w:hAnsi="Arial"/>
                <w:sz w:val="13"/>
                <w:szCs w:val="13"/>
                <w:color w:val="auto"/>
              </w:rPr>
              <w:t>Fiscal 2023</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2024</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204,750</w:t>
            </w:r>
          </w:p>
        </w:tc>
        <w:tc>
          <w:tcPr>
            <w:tcW w:w="0" w:type="dxa"/>
            <w:vAlign w:val="bottom"/>
          </w:tcPr>
          <w:p>
            <w:pPr>
              <w:spacing w:after="0"/>
              <w:rPr>
                <w:sz w:val="1"/>
                <w:szCs w:val="1"/>
                <w:color w:val="auto"/>
              </w:rPr>
            </w:pPr>
          </w:p>
        </w:tc>
      </w:tr>
      <w:tr>
        <w:trPr>
          <w:trHeight w:val="188"/>
        </w:trPr>
        <w:tc>
          <w:tcPr>
            <w:tcW w:w="7920" w:type="dxa"/>
            <w:vAlign w:val="bottom"/>
          </w:tcPr>
          <w:p>
            <w:pPr>
              <w:ind w:left="140"/>
              <w:spacing w:after="0"/>
              <w:rPr>
                <w:sz w:val="20"/>
                <w:szCs w:val="20"/>
                <w:color w:val="auto"/>
              </w:rPr>
            </w:pPr>
            <w:r>
              <w:rPr>
                <w:rFonts w:ascii="Arial" w:cs="Arial" w:eastAsia="Arial" w:hAnsi="Arial"/>
                <w:sz w:val="13"/>
                <w:szCs w:val="13"/>
                <w:color w:val="auto"/>
              </w:rPr>
              <w:t>Total Term Loan</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260,000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b w:val="1"/>
                <w:bCs w:val="1"/>
                <w:color w:val="auto"/>
              </w:rPr>
              <w:t>Note 10: Employee and Retiree Benefits</w:t>
            </w: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920" w:type="dxa"/>
            <w:vAlign w:val="bottom"/>
          </w:tcPr>
          <w:p>
            <w:pPr>
              <w:spacing w:after="0"/>
              <w:rPr>
                <w:sz w:val="20"/>
                <w:szCs w:val="20"/>
                <w:color w:val="auto"/>
              </w:rPr>
            </w:pPr>
            <w:r>
              <w:rPr>
                <w:rFonts w:ascii="Arial" w:cs="Arial" w:eastAsia="Arial" w:hAnsi="Arial"/>
                <w:sz w:val="13"/>
                <w:szCs w:val="13"/>
                <w:color w:val="auto"/>
              </w:rPr>
              <w:t>Deferred compensation benefits are as follows: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August 31, 2019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August 25, 2018</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Non-qualified deferred compensation</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13,093</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14,831</w:t>
            </w:r>
          </w:p>
        </w:tc>
        <w:tc>
          <w:tcPr>
            <w:tcW w:w="0" w:type="dxa"/>
            <w:vAlign w:val="bottom"/>
          </w:tcPr>
          <w:p>
            <w:pPr>
              <w:spacing w:after="0"/>
              <w:rPr>
                <w:sz w:val="1"/>
                <w:szCs w:val="1"/>
                <w:color w:val="auto"/>
              </w:rPr>
            </w:pPr>
          </w:p>
        </w:tc>
      </w:tr>
      <w:tr>
        <w:trPr>
          <w:trHeight w:val="208"/>
        </w:trPr>
        <w:tc>
          <w:tcPr>
            <w:tcW w:w="7920" w:type="dxa"/>
            <w:vAlign w:val="bottom"/>
          </w:tcPr>
          <w:p>
            <w:pPr>
              <w:ind w:left="20"/>
              <w:spacing w:after="0"/>
              <w:rPr>
                <w:sz w:val="20"/>
                <w:szCs w:val="20"/>
                <w:color w:val="auto"/>
              </w:rPr>
            </w:pPr>
            <w:r>
              <w:rPr>
                <w:rFonts w:ascii="Arial" w:cs="Arial" w:eastAsia="Arial" w:hAnsi="Arial"/>
                <w:sz w:val="13"/>
                <w:szCs w:val="13"/>
                <w:color w:val="auto"/>
              </w:rPr>
              <w:t>Supplemental executive retirement plan</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2,072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2,309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Executive share option plan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208"/>
        </w:trPr>
        <w:tc>
          <w:tcPr>
            <w:tcW w:w="7920" w:type="dxa"/>
            <w:vAlign w:val="bottom"/>
          </w:tcPr>
          <w:p>
            <w:pPr>
              <w:ind w:left="20"/>
              <w:spacing w:after="0"/>
              <w:rPr>
                <w:sz w:val="20"/>
                <w:szCs w:val="20"/>
                <w:color w:val="auto"/>
              </w:rPr>
            </w:pPr>
            <w:r>
              <w:rPr>
                <w:rFonts w:ascii="Arial" w:cs="Arial" w:eastAsia="Arial" w:hAnsi="Arial"/>
                <w:sz w:val="13"/>
                <w:szCs w:val="13"/>
                <w:color w:val="auto"/>
              </w:rPr>
              <w:t>Executive deferred compensation plan</w:t>
            </w:r>
          </w:p>
        </w:tc>
        <w:tc>
          <w:tcPr>
            <w:tcW w:w="24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621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Officer stock-based compensation</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1,528</w:t>
            </w:r>
          </w:p>
        </w:tc>
        <w:tc>
          <w:tcPr>
            <w:tcW w:w="0" w:type="dxa"/>
            <w:vAlign w:val="bottom"/>
          </w:tcPr>
          <w:p>
            <w:pPr>
              <w:spacing w:after="0"/>
              <w:rPr>
                <w:sz w:val="1"/>
                <w:szCs w:val="1"/>
                <w:color w:val="auto"/>
              </w:rPr>
            </w:pPr>
          </w:p>
        </w:tc>
      </w:tr>
      <w:tr>
        <w:trPr>
          <w:trHeight w:val="196"/>
        </w:trPr>
        <w:tc>
          <w:tcPr>
            <w:tcW w:w="7920" w:type="dxa"/>
            <w:vAlign w:val="bottom"/>
          </w:tcPr>
          <w:p>
            <w:pPr>
              <w:ind w:left="140"/>
              <w:spacing w:after="0"/>
              <w:rPr>
                <w:sz w:val="20"/>
                <w:szCs w:val="20"/>
                <w:color w:val="auto"/>
              </w:rPr>
            </w:pPr>
            <w:r>
              <w:rPr>
                <w:rFonts w:ascii="Arial" w:cs="Arial" w:eastAsia="Arial" w:hAnsi="Arial"/>
                <w:sz w:val="13"/>
                <w:szCs w:val="13"/>
                <w:color w:val="auto"/>
              </w:rPr>
              <w:t>Total deferred compensation benefits</w:t>
            </w:r>
          </w:p>
        </w:tc>
        <w:tc>
          <w:tcPr>
            <w:tcW w:w="240" w:type="dxa"/>
            <w:vAlign w:val="bottom"/>
          </w:tcPr>
          <w:p>
            <w:pPr>
              <w:spacing w:after="0"/>
              <w:rPr>
                <w:sz w:val="17"/>
                <w:szCs w:val="17"/>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15,798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20,024</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current portion</w:t>
            </w:r>
            <w:r>
              <w:rPr>
                <w:rFonts w:ascii="Arial" w:cs="Arial" w:eastAsia="Arial" w:hAnsi="Arial"/>
                <w:sz w:val="17"/>
                <w:szCs w:val="17"/>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2,920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4,742</w:t>
            </w:r>
          </w:p>
        </w:tc>
        <w:tc>
          <w:tcPr>
            <w:tcW w:w="0" w:type="dxa"/>
            <w:vAlign w:val="bottom"/>
          </w:tcPr>
          <w:p>
            <w:pPr>
              <w:spacing w:after="0"/>
              <w:rPr>
                <w:sz w:val="1"/>
                <w:szCs w:val="1"/>
                <w:color w:val="auto"/>
              </w:rPr>
            </w:pPr>
          </w:p>
        </w:tc>
      </w:tr>
      <w:tr>
        <w:trPr>
          <w:trHeight w:val="182"/>
        </w:trPr>
        <w:tc>
          <w:tcPr>
            <w:tcW w:w="7920" w:type="dxa"/>
            <w:vAlign w:val="bottom"/>
          </w:tcPr>
          <w:p>
            <w:pPr>
              <w:ind w:left="140"/>
              <w:spacing w:after="0"/>
              <w:rPr>
                <w:sz w:val="20"/>
                <w:szCs w:val="20"/>
                <w:color w:val="auto"/>
              </w:rPr>
            </w:pPr>
            <w:r>
              <w:rPr>
                <w:rFonts w:ascii="Arial" w:cs="Arial" w:eastAsia="Arial" w:hAnsi="Arial"/>
                <w:sz w:val="13"/>
                <w:szCs w:val="13"/>
                <w:color w:val="auto"/>
              </w:rPr>
              <w:t>Deferred compensation benefits, net of current portion</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12,878</w:t>
            </w:r>
          </w:p>
        </w:tc>
        <w:tc>
          <w:tcPr>
            <w:tcW w:w="8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15,282</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(1) Included in accrued compensation in the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Postretirement Health Care Benefits</w:t>
      </w:r>
    </w:p>
    <w:p>
      <w:pPr>
        <w:spacing w:after="0" w:line="168" w:lineRule="exact"/>
        <w:rPr>
          <w:sz w:val="20"/>
          <w:szCs w:val="20"/>
          <w:color w:val="auto"/>
        </w:rPr>
      </w:pPr>
    </w:p>
    <w:p>
      <w:pPr>
        <w:jc w:val="both"/>
        <w:ind w:right="140"/>
        <w:spacing w:after="0" w:line="246" w:lineRule="auto"/>
        <w:rPr>
          <w:sz w:val="20"/>
          <w:szCs w:val="20"/>
          <w:color w:val="auto"/>
        </w:rPr>
      </w:pPr>
      <w:r>
        <w:rPr>
          <w:rFonts w:ascii="Arial" w:cs="Arial" w:eastAsia="Arial" w:hAnsi="Arial"/>
          <w:sz w:val="13"/>
          <w:szCs w:val="13"/>
          <w:color w:val="auto"/>
        </w:rPr>
        <w:t>Historically, we provided certain health care and other benefits for retired employees hired before April 1, 2001, who had fulfilled eligibility requirements at age 55 with 15 years of continuous service. During the first quarter of Fiscal 2017, we announced the termination of the remaining postretirement health care benefits to all participants. As of January 1, 2017, postretirement health care benefits were discontinued.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460"/>
          </w:cols>
          <w:pgMar w:left="220" w:top="141"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8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52"/>
        </w:trPr>
        <w:tc>
          <w:tcPr>
            <w:tcW w:w="9740" w:type="dxa"/>
            <w:vAlign w:val="bottom"/>
            <w:gridSpan w:val="2"/>
          </w:tcPr>
          <w:p>
            <w:pPr>
              <w:spacing w:after="0"/>
              <w:rPr>
                <w:sz w:val="20"/>
                <w:szCs w:val="20"/>
                <w:color w:val="auto"/>
              </w:rPr>
            </w:pPr>
            <w:r>
              <w:rPr>
                <w:rFonts w:ascii="Arial" w:cs="Arial" w:eastAsia="Arial" w:hAnsi="Arial"/>
                <w:sz w:val="13"/>
                <w:szCs w:val="13"/>
                <w:color w:val="auto"/>
              </w:rPr>
              <w:t>Net periodic postretirement benefit income consisted of the following components: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8"/>
        </w:trPr>
        <w:tc>
          <w:tcPr>
            <w:tcW w:w="9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2017</w:t>
            </w:r>
          </w:p>
        </w:tc>
      </w:tr>
      <w:tr>
        <w:trPr>
          <w:trHeight w:val="193"/>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cost</w:t>
            </w:r>
          </w:p>
        </w:tc>
        <w:tc>
          <w:tcPr>
            <w:tcW w:w="42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w:t>
            </w:r>
          </w:p>
        </w:tc>
      </w:tr>
      <w:tr>
        <w:trPr>
          <w:trHeight w:val="186"/>
        </w:trPr>
        <w:tc>
          <w:tcPr>
            <w:tcW w:w="9740" w:type="dxa"/>
            <w:vAlign w:val="bottom"/>
            <w:gridSpan w:val="2"/>
          </w:tcPr>
          <w:p>
            <w:pPr>
              <w:ind w:left="20"/>
              <w:spacing w:after="0"/>
              <w:rPr>
                <w:sz w:val="20"/>
                <w:szCs w:val="20"/>
                <w:color w:val="auto"/>
              </w:rPr>
            </w:pPr>
            <w:r>
              <w:rPr>
                <w:rFonts w:ascii="Arial" w:cs="Arial" w:eastAsia="Arial" w:hAnsi="Arial"/>
                <w:sz w:val="13"/>
                <w:szCs w:val="13"/>
                <w:color w:val="auto"/>
              </w:rPr>
              <w:t>Service cost</w:t>
            </w:r>
          </w:p>
        </w:tc>
        <w:tc>
          <w:tcPr>
            <w:tcW w:w="4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16</w:t>
            </w:r>
          </w:p>
        </w:tc>
      </w:tr>
      <w:tr>
        <w:trPr>
          <w:trHeight w:val="202"/>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 of prior service benefit</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(40,444)</w:t>
            </w:r>
          </w:p>
        </w:tc>
      </w:tr>
      <w:tr>
        <w:trPr>
          <w:trHeight w:val="186"/>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Amortization of net actuarial loss</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15,648</w:t>
            </w:r>
          </w:p>
        </w:tc>
      </w:tr>
      <w:tr>
        <w:trPr>
          <w:trHeight w:val="190"/>
        </w:trPr>
        <w:tc>
          <w:tcPr>
            <w:tcW w:w="9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Net periodic postretirement benefit income</w:t>
            </w: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(24,751)</w:t>
            </w:r>
          </w:p>
        </w:tc>
      </w:tr>
      <w:tr>
        <w:trPr>
          <w:trHeight w:val="20"/>
        </w:trPr>
        <w:tc>
          <w:tcPr>
            <w:tcW w:w="10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For accounting purposes, we recognized net periodic postretirement income as presented in the previous table, due to the amortization of prior service benefit associated with the establishment of caps on the employer portion of benefits in Fiscal 2005 and the plan amendments.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Deferred Compensation Benefits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Non-Qualified Deferred Compensation</w:t>
      </w:r>
    </w:p>
    <w:p>
      <w:pPr>
        <w:spacing w:after="0" w:line="166"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$0.9 million, $1.1 million, and $1.2 million in Fiscal 2019, 2018, and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Supplemental Executive Retirement Plan ("SERP")</w:t>
      </w:r>
    </w:p>
    <w:p>
      <w:pPr>
        <w:spacing w:after="0" w:line="166"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us as a prerequisite to participate in the SERP and transition from the Split Dollar Program. This program remains closed to new employee participation.</w:t>
      </w:r>
    </w:p>
    <w:p>
      <w:pPr>
        <w:spacing w:after="0" w:line="148"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To assist in funding the deferred compensation and SERP liabilities, we have invested in COLI policies. The cash surrender value of these policies is presented in investment in life insurance in the accompanying balance sheets and consists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2019</w:t>
            </w:r>
          </w:p>
        </w:tc>
        <w:tc>
          <w:tcPr>
            <w:tcW w:w="220" w:type="dxa"/>
            <w:vAlign w:val="bottom"/>
          </w:tcPr>
          <w:p>
            <w:pPr>
              <w:spacing w:after="0"/>
              <w:rPr>
                <w:sz w:val="15"/>
                <w:szCs w:val="15"/>
                <w:color w:val="auto"/>
              </w:rPr>
            </w:pPr>
          </w:p>
        </w:tc>
        <w:tc>
          <w:tcPr>
            <w:tcW w:w="1480" w:type="dxa"/>
            <w:vAlign w:val="bottom"/>
          </w:tcPr>
          <w:p>
            <w:pPr>
              <w:jc w:val="right"/>
              <w:ind w:right="295"/>
              <w:spacing w:after="0"/>
              <w:rPr>
                <w:sz w:val="20"/>
                <w:szCs w:val="20"/>
                <w:color w:val="auto"/>
              </w:rPr>
            </w:pPr>
            <w:r>
              <w:rPr>
                <w:rFonts w:ascii="Arial" w:cs="Arial" w:eastAsia="Arial" w:hAnsi="Arial"/>
                <w:sz w:val="13"/>
                <w:szCs w:val="13"/>
                <w:b w:val="1"/>
                <w:bCs w:val="1"/>
                <w:color w:val="auto"/>
              </w:rPr>
              <w:t>August 25, 2018</w:t>
            </w:r>
          </w:p>
        </w:tc>
      </w:tr>
      <w:tr>
        <w:trPr>
          <w:trHeight w:val="20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value</w:t>
            </w: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61,836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63,574</w:t>
            </w:r>
          </w:p>
        </w:tc>
      </w:tr>
      <w:tr>
        <w:trPr>
          <w:trHeight w:val="20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Borrowings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(34,990)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(35,277)</w:t>
            </w:r>
          </w:p>
        </w:tc>
      </w:tr>
      <w:tr>
        <w:trPr>
          <w:trHeight w:val="190"/>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Investment in life insurance</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26,846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28,297</w:t>
            </w: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Deferred Compensation Plan</w:t>
      </w:r>
    </w:p>
    <w:p>
      <w:pPr>
        <w:spacing w:after="0" w:line="166"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in the accompanying balance sheets. Such assets on August 31, 2019 and August 25, 2018 were $0.6 million and $0.4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Profit Sharing Plan</w:t>
      </w:r>
    </w:p>
    <w:p>
      <w:pPr>
        <w:spacing w:after="0" w:line="168"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We have a qualified profit sharing and contributory 401(k) plan for eligible employees. The plan provides matching contributions made by us and discretionary contributions as approved by our Board of Directors. Matching contributions to the plan for Fiscal 2019, 2018, and 2017 were $2.9 million, $2.3 million, and $1.6 million, respectively. No discretionary contributions were approved for the years presented.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460"/>
          </w:cols>
          <w:pgMar w:left="220" w:top="119" w:right="21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Contingent Liabilities and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 Commitments</w:t>
      </w:r>
    </w:p>
    <w:p>
      <w:pPr>
        <w:spacing w:after="0" w:line="168" w:lineRule="exact"/>
        <w:rPr>
          <w:sz w:val="20"/>
          <w:szCs w:val="20"/>
          <w:color w:val="auto"/>
        </w:rPr>
      </w:pPr>
    </w:p>
    <w:p>
      <w:pPr>
        <w:ind w:right="360"/>
        <w:spacing w:after="0" w:line="251" w:lineRule="auto"/>
        <w:rPr>
          <w:sz w:val="20"/>
          <w:szCs w:val="20"/>
          <w:color w:val="auto"/>
        </w:rPr>
      </w:pPr>
      <w:r>
        <w:rPr>
          <w:rFonts w:ascii="Arial" w:cs="Arial" w:eastAsia="Arial" w:hAnsi="Arial"/>
          <w:sz w:val="13"/>
          <w:szCs w:val="13"/>
          <w:color w:val="auto"/>
        </w:rPr>
        <w:t>Generally, manufacturers in our industries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40"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RVs or boats to repurchase current inventory if a dealership exits the business. Our total contingent liability on all repurchase agreements was approximately $874.9 million and $879.0 million at August 31, 2019 and August 25, 2018, respectively.</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these repurchase agreements and our historical loss experience, we establish an associated loss reserve which is included in accrued expenses-other on the consolidated balance sheets. Our accrued losses on repurchases were $0.9 million and $0.9 million as of August 31, 2019 and August 25, 2018, respectively.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20" w:type="dxa"/>
            <w:vAlign w:val="bottom"/>
          </w:tcPr>
          <w:p>
            <w:pPr>
              <w:spacing w:after="0"/>
              <w:rPr>
                <w:sz w:val="20"/>
                <w:szCs w:val="20"/>
                <w:color w:val="auto"/>
              </w:rPr>
            </w:pPr>
            <w:r>
              <w:rPr>
                <w:rFonts w:ascii="Arial" w:cs="Arial" w:eastAsia="Arial" w:hAnsi="Arial"/>
                <w:sz w:val="13"/>
                <w:szCs w:val="13"/>
                <w:color w:val="auto"/>
              </w:rPr>
              <w:t>A summary of the activity for the fiscal years stated for repurchased units is as follows:</w:t>
            </w: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1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in thousands)</w:t>
            </w: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2017</w:t>
            </w:r>
          </w:p>
        </w:tc>
      </w:tr>
      <w:tr>
        <w:trPr>
          <w:trHeight w:val="21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Inventory repurchased:</w:t>
            </w:r>
          </w:p>
        </w:tc>
        <w:tc>
          <w:tcPr>
            <w:tcW w:w="9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5520" w:type="dxa"/>
            <w:vAlign w:val="bottom"/>
          </w:tcPr>
          <w:p>
            <w:pPr>
              <w:ind w:left="220"/>
              <w:spacing w:after="0"/>
              <w:rPr>
                <w:sz w:val="20"/>
                <w:szCs w:val="20"/>
                <w:color w:val="auto"/>
              </w:rPr>
            </w:pPr>
            <w:r>
              <w:rPr>
                <w:rFonts w:ascii="Arial" w:cs="Arial" w:eastAsia="Arial" w:hAnsi="Arial"/>
                <w:sz w:val="13"/>
                <w:szCs w:val="13"/>
                <w:color w:val="auto"/>
              </w:rPr>
              <w:t>Units</w:t>
            </w:r>
          </w:p>
        </w:tc>
        <w:tc>
          <w:tcPr>
            <w:tcW w:w="98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14</w:t>
            </w: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Dollars</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5,535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1,716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408</w:t>
            </w:r>
          </w:p>
        </w:tc>
      </w:tr>
      <w:tr>
        <w:trPr>
          <w:trHeight w:val="208"/>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Inventory resold:</w:t>
            </w: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Units</w:t>
            </w:r>
          </w:p>
        </w:tc>
        <w:tc>
          <w:tcPr>
            <w:tcW w:w="9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w:t>
            </w:r>
          </w:p>
        </w:tc>
      </w:tr>
      <w:tr>
        <w:trPr>
          <w:trHeight w:val="208"/>
        </w:trPr>
        <w:tc>
          <w:tcPr>
            <w:tcW w:w="5520" w:type="dxa"/>
            <w:vAlign w:val="bottom"/>
          </w:tcPr>
          <w:p>
            <w:pPr>
              <w:ind w:left="220"/>
              <w:spacing w:after="0"/>
              <w:rPr>
                <w:sz w:val="20"/>
                <w:szCs w:val="20"/>
                <w:color w:val="auto"/>
              </w:rPr>
            </w:pPr>
            <w:r>
              <w:rPr>
                <w:rFonts w:ascii="Arial" w:cs="Arial" w:eastAsia="Arial" w:hAnsi="Arial"/>
                <w:sz w:val="13"/>
                <w:szCs w:val="13"/>
                <w:color w:val="auto"/>
              </w:rPr>
              <w:t>Cash collected</w:t>
            </w:r>
          </w:p>
        </w:tc>
        <w:tc>
          <w:tcPr>
            <w:tcW w:w="98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4,634</w:t>
            </w:r>
          </w:p>
        </w:tc>
        <w:tc>
          <w:tcPr>
            <w:tcW w:w="12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1,585</w:t>
            </w:r>
          </w:p>
        </w:tc>
        <w:tc>
          <w:tcPr>
            <w:tcW w:w="10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393</w:t>
            </w: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recognized</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w:t>
            </w:r>
          </w:p>
        </w:tc>
      </w:tr>
      <w:tr>
        <w:trPr>
          <w:trHeight w:val="200"/>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Units in ending inventory</w:t>
            </w:r>
          </w:p>
        </w:tc>
        <w:tc>
          <w:tcPr>
            <w:tcW w:w="98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168"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We are involved in various legal proceedings which are ordinary and routine litigation incidental to our business, some of which are covered in whole or in part by insurance. While we believe the ultimate disposition of litigation will not have a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 Commitments</w:t>
      </w:r>
    </w:p>
    <w:p>
      <w:pPr>
        <w:spacing w:after="0" w:line="168" w:lineRule="exact"/>
        <w:rPr>
          <w:sz w:val="20"/>
          <w:szCs w:val="20"/>
          <w:color w:val="auto"/>
        </w:rPr>
      </w:pPr>
    </w:p>
    <w:p>
      <w:pPr>
        <w:ind w:right="200"/>
        <w:spacing w:after="0" w:line="246" w:lineRule="auto"/>
        <w:rPr>
          <w:sz w:val="20"/>
          <w:szCs w:val="20"/>
          <w:color w:val="auto"/>
        </w:rPr>
      </w:pPr>
      <w:r>
        <w:rPr>
          <w:rFonts w:ascii="Arial" w:cs="Arial" w:eastAsia="Arial" w:hAnsi="Arial"/>
          <w:sz w:val="13"/>
          <w:szCs w:val="13"/>
          <w:color w:val="auto"/>
        </w:rPr>
        <w:t>Donald Clark, one of our executive officers, has a 20% ownership interest in Three Oaks, LLC, an entity which owns the land and buildings that Grand Design leases in order to operate its business. Upon joining our company, Mr. Clark agreed that as long as he is an employee of Grand Design, he has relinquished his voting rights in Three Oaks, LLC while retaining all other economic rights in Three Oaks, LLC.</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We have operating leases for certain land, buildings, and equipment. Lease expense was $6.2 million, $4.4 million, and $2.9 million for Fiscal 2019, 2018, and 2017,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460"/>
          </w:cols>
          <w:pgMar w:left="220" w:top="141"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7820" w:type="dxa"/>
            <w:vAlign w:val="bottom"/>
            <w:gridSpan w:val="4"/>
          </w:tcPr>
          <w:p>
            <w:pPr>
              <w:spacing w:after="0"/>
              <w:rPr>
                <w:sz w:val="20"/>
                <w:szCs w:val="20"/>
                <w:color w:val="auto"/>
              </w:rPr>
            </w:pPr>
            <w:r>
              <w:rPr>
                <w:rFonts w:ascii="Arial" w:cs="Arial" w:eastAsia="Arial" w:hAnsi="Arial"/>
                <w:sz w:val="13"/>
                <w:szCs w:val="13"/>
                <w:color w:val="auto"/>
              </w:rPr>
              <w:t>Our future lease commitments for future fiscal years included the following related party and non-related party leases: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Operating Leases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Related Party Amount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Non-Related Party Amount</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2,864</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4,100</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Fiscal 2021</w:t>
            </w:r>
          </w:p>
        </w:tc>
        <w:tc>
          <w:tcPr>
            <w:tcW w:w="140" w:type="dxa"/>
            <w:vAlign w:val="bottom"/>
          </w:tcPr>
          <w:p>
            <w:pPr>
              <w:spacing w:after="0"/>
              <w:rPr>
                <w:sz w:val="18"/>
                <w:szCs w:val="18"/>
                <w:color w:val="auto"/>
              </w:rPr>
            </w:pPr>
          </w:p>
        </w:tc>
        <w:tc>
          <w:tcPr>
            <w:tcW w:w="1600" w:type="dxa"/>
            <w:vAlign w:val="bottom"/>
          </w:tcPr>
          <w:p>
            <w:pPr>
              <w:jc w:val="right"/>
              <w:ind w:right="55"/>
              <w:spacing w:after="0"/>
              <w:rPr>
                <w:sz w:val="20"/>
                <w:szCs w:val="20"/>
                <w:color w:val="auto"/>
              </w:rPr>
            </w:pPr>
            <w:r>
              <w:rPr>
                <w:rFonts w:ascii="Arial" w:cs="Arial" w:eastAsia="Arial" w:hAnsi="Arial"/>
                <w:sz w:val="13"/>
                <w:szCs w:val="13"/>
                <w:color w:val="auto"/>
              </w:rPr>
              <w:t>2,863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1,068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3,931</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2022</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2,863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3,622</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Fiscal 2023</w:t>
            </w:r>
          </w:p>
        </w:tc>
        <w:tc>
          <w:tcPr>
            <w:tcW w:w="140" w:type="dxa"/>
            <w:vAlign w:val="bottom"/>
          </w:tcPr>
          <w:p>
            <w:pPr>
              <w:spacing w:after="0"/>
              <w:rPr>
                <w:sz w:val="18"/>
                <w:szCs w:val="18"/>
                <w:color w:val="auto"/>
              </w:rPr>
            </w:pPr>
          </w:p>
        </w:tc>
        <w:tc>
          <w:tcPr>
            <w:tcW w:w="1600" w:type="dxa"/>
            <w:vAlign w:val="bottom"/>
          </w:tcPr>
          <w:p>
            <w:pPr>
              <w:jc w:val="right"/>
              <w:ind w:right="55"/>
              <w:spacing w:after="0"/>
              <w:rPr>
                <w:sz w:val="20"/>
                <w:szCs w:val="20"/>
                <w:color w:val="auto"/>
              </w:rPr>
            </w:pPr>
            <w:r>
              <w:rPr>
                <w:rFonts w:ascii="Arial" w:cs="Arial" w:eastAsia="Arial" w:hAnsi="Arial"/>
                <w:sz w:val="13"/>
                <w:szCs w:val="13"/>
                <w:color w:val="auto"/>
              </w:rPr>
              <w:t>3,597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4,127</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2024</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3,963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4,324</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Thereafter</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25,064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26,423</w:t>
            </w:r>
          </w:p>
        </w:tc>
        <w:tc>
          <w:tcPr>
            <w:tcW w:w="0" w:type="dxa"/>
            <w:vAlign w:val="bottom"/>
          </w:tcPr>
          <w:p>
            <w:pPr>
              <w:spacing w:after="0"/>
              <w:rPr>
                <w:sz w:val="1"/>
                <w:szCs w:val="1"/>
                <w:color w:val="auto"/>
              </w:rPr>
            </w:pPr>
          </w:p>
        </w:tc>
      </w:tr>
      <w:tr>
        <w:trPr>
          <w:trHeight w:val="19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future lease commitments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41,214</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5,313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46,527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Note 12: Revenue Recognition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080" w:type="dxa"/>
            <w:vAlign w:val="bottom"/>
            <w:gridSpan w:val="2"/>
          </w:tcPr>
          <w:p>
            <w:pPr>
              <w:spacing w:after="0"/>
              <w:rPr>
                <w:sz w:val="20"/>
                <w:szCs w:val="20"/>
                <w:color w:val="auto"/>
              </w:rPr>
            </w:pPr>
            <w:r>
              <w:rPr>
                <w:rFonts w:ascii="Arial" w:cs="Arial" w:eastAsia="Arial" w:hAnsi="Arial"/>
                <w:sz w:val="13"/>
                <w:szCs w:val="13"/>
                <w:color w:val="auto"/>
              </w:rPr>
              <w:t>The following table disaggregates revenue by reportable segment and product category:</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Towable: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Fifth Wheel</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688,932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629,906</w:t>
            </w:r>
          </w:p>
        </w:tc>
        <w:tc>
          <w:tcPr>
            <w:tcW w:w="0" w:type="dxa"/>
            <w:vAlign w:val="bottom"/>
          </w:tcPr>
          <w:p>
            <w:pPr>
              <w:spacing w:after="0"/>
              <w:rPr>
                <w:sz w:val="1"/>
                <w:szCs w:val="1"/>
                <w:color w:val="auto"/>
              </w:rPr>
            </w:pP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Travel Trailer</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489,956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484,416</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18,439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13,401</w:t>
            </w:r>
          </w:p>
        </w:tc>
        <w:tc>
          <w:tcPr>
            <w:tcW w:w="0" w:type="dxa"/>
            <w:vAlign w:val="bottom"/>
          </w:tcPr>
          <w:p>
            <w:pPr>
              <w:spacing w:after="0"/>
              <w:rPr>
                <w:sz w:val="1"/>
                <w:szCs w:val="1"/>
                <w:color w:val="auto"/>
              </w:rPr>
            </w:pPr>
          </w:p>
        </w:tc>
      </w:tr>
      <w:tr>
        <w:trPr>
          <w:trHeight w:val="18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Total Towable</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1,197,327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1,127,723</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Motorhome: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Class A</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178,750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318,197</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B</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255,000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168,495</w:t>
            </w:r>
          </w:p>
        </w:tc>
        <w:tc>
          <w:tcPr>
            <w:tcW w:w="0" w:type="dxa"/>
            <w:vAlign w:val="bottom"/>
          </w:tcPr>
          <w:p>
            <w:pPr>
              <w:spacing w:after="0"/>
              <w:rPr>
                <w:sz w:val="1"/>
                <w:szCs w:val="1"/>
                <w:color w:val="auto"/>
              </w:rPr>
            </w:pPr>
          </w:p>
        </w:tc>
      </w:tr>
      <w:tr>
        <w:trPr>
          <w:trHeight w:val="208"/>
        </w:trPr>
        <w:tc>
          <w:tcPr>
            <w:tcW w:w="6080" w:type="dxa"/>
            <w:vAlign w:val="bottom"/>
            <w:gridSpan w:val="2"/>
          </w:tcPr>
          <w:p>
            <w:pPr>
              <w:ind w:left="140"/>
              <w:spacing w:after="0"/>
              <w:rPr>
                <w:sz w:val="20"/>
                <w:szCs w:val="20"/>
                <w:color w:val="auto"/>
              </w:rPr>
            </w:pPr>
            <w:r>
              <w:rPr>
                <w:rFonts w:ascii="Arial" w:cs="Arial" w:eastAsia="Arial" w:hAnsi="Arial"/>
                <w:sz w:val="13"/>
                <w:szCs w:val="13"/>
                <w:color w:val="auto"/>
              </w:rPr>
              <w:t>Class C</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246,417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346,876</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26,760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27,107</w:t>
            </w:r>
          </w:p>
        </w:tc>
        <w:tc>
          <w:tcPr>
            <w:tcW w:w="0" w:type="dxa"/>
            <w:vAlign w:val="bottom"/>
          </w:tcPr>
          <w:p>
            <w:pPr>
              <w:spacing w:after="0"/>
              <w:rPr>
                <w:sz w:val="1"/>
                <w:szCs w:val="1"/>
                <w:color w:val="auto"/>
              </w:rPr>
            </w:pPr>
          </w:p>
        </w:tc>
      </w:tr>
      <w:tr>
        <w:trPr>
          <w:trHeight w:val="18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Total Motorhome</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706,927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860,675</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(2)</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81,420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28,431</w:t>
            </w:r>
          </w:p>
        </w:tc>
        <w:tc>
          <w:tcPr>
            <w:tcW w:w="0" w:type="dxa"/>
            <w:vAlign w:val="bottom"/>
          </w:tcPr>
          <w:p>
            <w:pPr>
              <w:spacing w:after="0"/>
              <w:rPr>
                <w:sz w:val="1"/>
                <w:szCs w:val="1"/>
                <w:color w:val="auto"/>
              </w:rPr>
            </w:pPr>
          </w:p>
        </w:tc>
      </w:tr>
      <w:tr>
        <w:trPr>
          <w:trHeight w:val="188"/>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Corporate / All Other</w:t>
            </w: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81,420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28,431</w:t>
            </w:r>
          </w:p>
        </w:tc>
        <w:tc>
          <w:tcPr>
            <w:tcW w:w="0" w:type="dxa"/>
            <w:vAlign w:val="bottom"/>
          </w:tcPr>
          <w:p>
            <w:pPr>
              <w:spacing w:after="0"/>
              <w:rPr>
                <w:sz w:val="1"/>
                <w:szCs w:val="1"/>
                <w:color w:val="auto"/>
              </w:rPr>
            </w:pPr>
          </w:p>
        </w:tc>
      </w:tr>
      <w:tr>
        <w:trPr>
          <w:trHeight w:val="190"/>
        </w:trPr>
        <w:tc>
          <w:tcPr>
            <w:tcW w:w="6080" w:type="dxa"/>
            <w:vAlign w:val="bottom"/>
            <w:gridSpan w:val="2"/>
          </w:tcPr>
          <w:p>
            <w:pPr>
              <w:ind w:left="300"/>
              <w:spacing w:after="0"/>
              <w:rPr>
                <w:sz w:val="20"/>
                <w:szCs w:val="20"/>
                <w:color w:val="auto"/>
              </w:rPr>
            </w:pPr>
            <w:r>
              <w:rPr>
                <w:rFonts w:ascii="Arial" w:cs="Arial" w:eastAsia="Arial" w:hAnsi="Arial"/>
                <w:sz w:val="13"/>
                <w:szCs w:val="13"/>
                <w:color w:val="auto"/>
              </w:rPr>
              <w:t>Consolidated</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gridSpan w:val="3"/>
          </w:tcPr>
          <w:p>
            <w:pPr>
              <w:jc w:val="right"/>
              <w:ind w:right="75"/>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55"/>
              <w:spacing w:after="0"/>
              <w:rPr>
                <w:sz w:val="20"/>
                <w:szCs w:val="20"/>
                <w:color w:val="auto"/>
              </w:rPr>
            </w:pPr>
            <w:r>
              <w:rPr>
                <w:rFonts w:ascii="Arial" w:cs="Arial" w:eastAsia="Arial" w:hAnsi="Arial"/>
                <w:sz w:val="13"/>
                <w:szCs w:val="13"/>
                <w:color w:val="auto"/>
              </w:rPr>
              <w:t>1,985,674</w:t>
            </w:r>
          </w:p>
        </w:tc>
        <w:tc>
          <w:tcPr>
            <w:tcW w:w="100" w:type="dxa"/>
            <w:vAlign w:val="bottom"/>
          </w:tcPr>
          <w:p>
            <w:pPr>
              <w:spacing w:after="0"/>
              <w:rPr>
                <w:sz w:val="16"/>
                <w:szCs w:val="16"/>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2,016,829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200" w:hanging="194"/>
        <w:spacing w:after="0"/>
        <w:tabs>
          <w:tab w:leader="none" w:pos="2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Relates to parts, accessories, and services.</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Relates to marine and specialty vehicle units, parts, accessories, and services.</w:t>
      </w:r>
    </w:p>
    <w:p>
      <w:pPr>
        <w:spacing w:after="0" w:line="151"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We generate all of our operating revenue from contracts with customers. Our primary source of revenue is generated through the sale of manufactured motorized units, non-motorized towable units, and marine units to our independent dealer network (our customers). We also generate income through the sale of certain parts and services, acting as the principal in these arrangements. We apply the new revenue standard requirements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 Revenue is recognized when control of the promised goods or services is transferred to our customers, in an amount that reflects the transaction price consideration that we expect to receive in exchange for those goods or services. Control refers to the ability of the customer to direct the use of, and obtain substantially all of, the remaining benefits from the goods or services. Our transaction price consideration is fixed, unless otherwise disclosed below as variable consideration. We made an accounting policy election so that our revenue excludes sales and usage-based taxes collected.</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Unit revenue</w:t>
      </w:r>
    </w:p>
    <w:p>
      <w:pPr>
        <w:spacing w:after="0" w:line="166"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Unit revenue is recognized at a point-in-time when control passes, which generally occurs when the unit is shipped to or picked-up from our manufacturing facilities by the customer, which is consistent with our past practice. Our payment terms are typically before or on delivery, and do not include a significant financing component. The amount of consideration received and recorded to revenue varies with changes in marketing incentives and offers to our customers. These marketing incentives and offers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460"/>
          </w:cols>
          <w:pgMar w:left="220" w:top="119" w:right="21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ind w:right="460"/>
        <w:spacing w:after="0" w:line="251" w:lineRule="auto"/>
        <w:rPr>
          <w:sz w:val="20"/>
          <w:szCs w:val="20"/>
          <w:color w:val="auto"/>
        </w:rPr>
      </w:pPr>
      <w:r>
        <w:rPr>
          <w:rFonts w:ascii="Arial" w:cs="Arial" w:eastAsia="Arial" w:hAnsi="Arial"/>
          <w:sz w:val="13"/>
          <w:szCs w:val="13"/>
          <w:color w:val="auto"/>
        </w:rPr>
        <w:t>our customers are considered variable consideration. We adjust the estimate of revenue at the earlier of when the most likely amount of consideration we expect to receive changes or when the consideration becomes fixed.</w:t>
      </w:r>
    </w:p>
    <w:p>
      <w:pPr>
        <w:spacing w:after="0" w:line="140"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We have made an accounting policy to account for any shipping and handling costs that occur after the transfer of control as a fulfillment cost that is accrued when control is transferred.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material contract assets or liabilities. We establish allowances for uncollectible receivables based on historical collection trends and write-off history.</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Risk</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None of our dealer organizations accounted for more than 10% of our Net revenues for Fiscal 2019, 2018, and 2017.</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Stock-Based Compensation Plans</w:t>
      </w:r>
    </w:p>
    <w:p>
      <w:pPr>
        <w:spacing w:after="0" w:line="168"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share awards, and other equity compensation to key employees and to non-employee directors. The 2019 Plan replaces our 2014 Omnibus Equity, Performance Award, and Incentive Compensation Plan (as amended, the "2014 Plan"). The number of shares of our Common Stock that may be the subject of awards and issued under the 2019 Plan is 4.1 million, plus the shares subject to any awards outstanding under the 2014 Plan and our predecessor plan, the 2004 Incentive Compensation Plan (the “2004 Plan”), on December 11, 2018 that subsequently expire, are forfeited or canceled, or are settled for cash. Until such time, however,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147"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Our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over a three-year period in equal annual installments on the annual anniversary dates following the grant date. Time-based share awards to directors vest one year from the grant date.</w:t>
      </w:r>
    </w:p>
    <w:p>
      <w:pPr>
        <w:spacing w:after="0" w:line="144" w:lineRule="exact"/>
        <w:rPr>
          <w:sz w:val="20"/>
          <w:szCs w:val="20"/>
          <w:color w:val="auto"/>
        </w:rPr>
      </w:pPr>
    </w:p>
    <w:p>
      <w:pPr>
        <w:jc w:val="both"/>
        <w:ind w:right="180"/>
        <w:spacing w:after="0" w:line="246" w:lineRule="auto"/>
        <w:rPr>
          <w:sz w:val="20"/>
          <w:szCs w:val="20"/>
          <w:color w:val="auto"/>
        </w:rPr>
      </w:pPr>
      <w:r>
        <w:rPr>
          <w:rFonts w:ascii="Arial" w:cs="Arial" w:eastAsia="Arial" w:hAnsi="Arial"/>
          <w:sz w:val="13"/>
          <w:szCs w:val="13"/>
          <w:color w:val="auto"/>
        </w:rPr>
        <w:t>Beginning with our annual grant of restricted stock units in October 2018, we attach dividend equivalents to our restricted stock units equal to dividends payable on the same number of shares of our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144" w:lineRule="exact"/>
        <w:rPr>
          <w:sz w:val="20"/>
          <w:szCs w:val="20"/>
          <w:color w:val="auto"/>
        </w:rPr>
      </w:pPr>
    </w:p>
    <w:p>
      <w:pPr>
        <w:ind w:right="160"/>
        <w:spacing w:after="0" w:line="246" w:lineRule="auto"/>
        <w:rPr>
          <w:sz w:val="20"/>
          <w:szCs w:val="20"/>
          <w:color w:val="auto"/>
        </w:rPr>
      </w:pPr>
      <w:r>
        <w:rPr>
          <w:rFonts w:ascii="Arial" w:cs="Arial" w:eastAsia="Arial" w:hAnsi="Arial"/>
          <w:sz w:val="13"/>
          <w:szCs w:val="13"/>
          <w:color w:val="auto"/>
        </w:rPr>
        <w:t>Our Employee Stock Purchase Plan ("ESPP") permits employees to purchase our common stock at a 15% discount from the market price at the end of semi-annual purchase periods and is compensatory. Employees are required to hold the common stock purchased for one-year. In Fiscal 2019 and 2018, 30,956 shares and 2,760 shares, respectively were purchased through the ESPP. Plan participants had accumulated $0.2 million and $0.1 million as of August 31, 2019 and August 25, 2018, respectively, to purchase our common stock pursuant to this plan.</w:t>
      </w:r>
    </w:p>
    <w:p>
      <w:pPr>
        <w:spacing w:after="0" w:line="155" w:lineRule="exact"/>
        <w:rPr>
          <w:sz w:val="20"/>
          <w:szCs w:val="20"/>
          <w:color w:val="auto"/>
        </w:rPr>
      </w:pPr>
    </w:p>
    <w:p>
      <w:pPr>
        <w:ind w:right="420"/>
        <w:spacing w:after="0" w:line="285" w:lineRule="auto"/>
        <w:rPr>
          <w:sz w:val="20"/>
          <w:szCs w:val="20"/>
          <w:color w:val="auto"/>
        </w:rPr>
      </w:pPr>
      <w:r>
        <w:rPr>
          <w:rFonts w:ascii="Arial" w:cs="Arial" w:eastAsia="Arial" w:hAnsi="Arial"/>
          <w:sz w:val="13"/>
          <w:szCs w:val="13"/>
          <w:color w:val="auto"/>
        </w:rPr>
        <w:t>Compensation expense associated with share-based awards is recognized on a straight-line basis over the required service period and forfeitures are recorded when it occurs. Total stock-based compensation expense for the past three fiscal years consisted of the following components: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2017</w:t>
            </w:r>
          </w:p>
        </w:tc>
      </w:tr>
      <w:tr>
        <w:trPr>
          <w:trHeight w:val="214"/>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awards: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6080" w:type="dxa"/>
            <w:vAlign w:val="bottom"/>
          </w:tcPr>
          <w:p>
            <w:pPr>
              <w:ind w:left="140"/>
              <w:spacing w:after="0"/>
              <w:rPr>
                <w:sz w:val="20"/>
                <w:szCs w:val="20"/>
                <w:color w:val="auto"/>
              </w:rPr>
            </w:pPr>
            <w:r>
              <w:rPr>
                <w:rFonts w:ascii="Arial" w:cs="Arial" w:eastAsia="Arial" w:hAnsi="Arial"/>
                <w:sz w:val="13"/>
                <w:szCs w:val="13"/>
                <w:color w:val="auto"/>
              </w:rPr>
              <w:t>Time-based</w:t>
            </w:r>
          </w:p>
        </w:tc>
        <w:tc>
          <w:tcPr>
            <w:tcW w:w="42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4,986</w:t>
            </w:r>
          </w:p>
        </w:tc>
        <w:tc>
          <w:tcPr>
            <w:tcW w:w="12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4,152</w:t>
            </w:r>
          </w:p>
        </w:tc>
        <w:tc>
          <w:tcPr>
            <w:tcW w:w="10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2,606</w:t>
            </w:r>
          </w:p>
        </w:tc>
      </w:tr>
      <w:tr>
        <w:trPr>
          <w:trHeight w:val="223"/>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Performance-based</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69</w:t>
            </w:r>
          </w:p>
        </w:tc>
      </w:tr>
      <w:tr>
        <w:trPr>
          <w:trHeight w:val="208"/>
        </w:trPr>
        <w:tc>
          <w:tcPr>
            <w:tcW w:w="608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42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925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502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164</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138</w:t>
            </w:r>
          </w:p>
        </w:tc>
      </w:tr>
      <w:tr>
        <w:trPr>
          <w:trHeight w:val="182"/>
        </w:trPr>
        <w:tc>
          <w:tcPr>
            <w:tcW w:w="6080" w:type="dxa"/>
            <w:vAlign w:val="bottom"/>
          </w:tcPr>
          <w:p>
            <w:pPr>
              <w:ind w:left="140"/>
              <w:spacing w:after="0"/>
              <w:rPr>
                <w:sz w:val="20"/>
                <w:szCs w:val="20"/>
                <w:color w:val="auto"/>
              </w:rPr>
            </w:pPr>
            <w:r>
              <w:rPr>
                <w:rFonts w:ascii="Arial" w:cs="Arial" w:eastAsia="Arial" w:hAnsi="Arial"/>
                <w:sz w:val="13"/>
                <w:szCs w:val="13"/>
                <w:color w:val="auto"/>
              </w:rPr>
              <w:t>Total stock-based compensation expense</w:t>
            </w:r>
          </w:p>
        </w:tc>
        <w:tc>
          <w:tcPr>
            <w:tcW w:w="4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7,058</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7,434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2,977</w:t>
            </w: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200" w:right="180" w:hanging="194"/>
        <w:spacing w:after="0" w:line="267" w:lineRule="auto"/>
        <w:tabs>
          <w:tab w:leader="none" w:pos="20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 and is more fully described in the Proxy Statement.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460"/>
          </w:cols>
          <w:pgMar w:left="220" w:top="141" w:right="21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Awards - Time-Based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time-based share awards is determined based on the closing market price of our stock on the date of grant. A summary of the status of our nonvested time-based share awards at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August 31, 2019, and changes during Fiscal 2019,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right"/>
              <w:ind w:right="135"/>
              <w:spacing w:after="0"/>
              <w:rPr>
                <w:sz w:val="20"/>
                <w:szCs w:val="20"/>
                <w:color w:val="auto"/>
              </w:rPr>
            </w:pPr>
            <w:r>
              <w:rPr>
                <w:rFonts w:ascii="Arial" w:cs="Arial" w:eastAsia="Arial" w:hAnsi="Arial"/>
                <w:sz w:val="13"/>
                <w:szCs w:val="13"/>
                <w:b w:val="1"/>
                <w:bCs w:val="1"/>
                <w:color w:val="auto"/>
              </w:rPr>
              <w:t>Weighted Average Fair</w:t>
            </w:r>
          </w:p>
        </w:tc>
      </w:tr>
      <w:tr>
        <w:trPr>
          <w:trHeight w:val="179"/>
        </w:trPr>
        <w:tc>
          <w:tcPr>
            <w:tcW w:w="7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Value</w:t>
            </w:r>
          </w:p>
        </w:tc>
      </w:tr>
      <w:tr>
        <w:trPr>
          <w:trHeight w:val="203"/>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25, 2018</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285,191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34.08</w:t>
            </w:r>
          </w:p>
        </w:tc>
      </w:tr>
      <w:tr>
        <w:trPr>
          <w:trHeight w:val="208"/>
        </w:trPr>
        <w:tc>
          <w:tcPr>
            <w:tcW w:w="8860" w:type="dxa"/>
            <w:vAlign w:val="bottom"/>
            <w:gridSpan w:val="2"/>
          </w:tcPr>
          <w:p>
            <w:pPr>
              <w:ind w:left="140"/>
              <w:spacing w:after="0"/>
              <w:rPr>
                <w:sz w:val="20"/>
                <w:szCs w:val="20"/>
                <w:color w:val="auto"/>
              </w:rPr>
            </w:pPr>
            <w:r>
              <w:rPr>
                <w:rFonts w:ascii="Arial" w:cs="Arial" w:eastAsia="Arial" w:hAnsi="Arial"/>
                <w:sz w:val="13"/>
                <w:szCs w:val="13"/>
                <w:color w:val="auto"/>
              </w:rPr>
              <w:t>Granted</w:t>
            </w:r>
          </w:p>
        </w:tc>
        <w:tc>
          <w:tcPr>
            <w:tcW w:w="680" w:type="dxa"/>
            <w:vAlign w:val="bottom"/>
          </w:tcPr>
          <w:p>
            <w:pPr>
              <w:jc w:val="right"/>
              <w:ind w:right="55"/>
              <w:spacing w:after="0"/>
              <w:rPr>
                <w:sz w:val="20"/>
                <w:szCs w:val="20"/>
                <w:color w:val="auto"/>
              </w:rPr>
            </w:pPr>
            <w:r>
              <w:rPr>
                <w:rFonts w:ascii="Arial" w:cs="Arial" w:eastAsia="Arial" w:hAnsi="Arial"/>
                <w:sz w:val="13"/>
                <w:szCs w:val="13"/>
                <w:color w:val="auto"/>
              </w:rPr>
              <w:t>152,152</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35"/>
              <w:spacing w:after="0"/>
              <w:rPr>
                <w:sz w:val="20"/>
                <w:szCs w:val="20"/>
                <w:color w:val="auto"/>
              </w:rPr>
            </w:pPr>
            <w:r>
              <w:rPr>
                <w:rFonts w:ascii="Arial" w:cs="Arial" w:eastAsia="Arial" w:hAnsi="Arial"/>
                <w:sz w:val="13"/>
                <w:szCs w:val="13"/>
                <w:color w:val="auto"/>
              </w:rPr>
              <w:t>31.70</w:t>
            </w:r>
          </w:p>
        </w:tc>
      </w:tr>
      <w:tr>
        <w:trPr>
          <w:trHeight w:val="223"/>
        </w:trPr>
        <w:tc>
          <w:tcPr>
            <w:tcW w:w="88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(213,379)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32.88</w:t>
            </w:r>
          </w:p>
        </w:tc>
      </w:tr>
      <w:tr>
        <w:trPr>
          <w:trHeight w:val="208"/>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Forfeited/canceled</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(8,458)</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tcPr>
          <w:p>
            <w:pPr>
              <w:jc w:val="right"/>
              <w:ind w:right="35"/>
              <w:spacing w:after="0"/>
              <w:rPr>
                <w:sz w:val="20"/>
                <w:szCs w:val="20"/>
                <w:color w:val="auto"/>
              </w:rPr>
            </w:pPr>
            <w:r>
              <w:rPr>
                <w:rFonts w:ascii="Arial" w:cs="Arial" w:eastAsia="Arial" w:hAnsi="Arial"/>
                <w:sz w:val="13"/>
                <w:szCs w:val="13"/>
                <w:color w:val="auto"/>
              </w:rPr>
              <w:t>38.58</w:t>
            </w:r>
          </w:p>
        </w:tc>
      </w:tr>
      <w:tr>
        <w:trPr>
          <w:trHeight w:val="190"/>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31, 2019</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215,506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33.40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ind w:right="140"/>
        <w:spacing w:after="0" w:line="251" w:lineRule="auto"/>
        <w:rPr>
          <w:sz w:val="20"/>
          <w:szCs w:val="20"/>
          <w:color w:val="auto"/>
        </w:rPr>
      </w:pPr>
      <w:r>
        <w:rPr>
          <w:rFonts w:ascii="Arial" w:cs="Arial" w:eastAsia="Arial" w:hAnsi="Arial"/>
          <w:sz w:val="13"/>
          <w:szCs w:val="13"/>
          <w:color w:val="auto"/>
        </w:rPr>
        <w:t>As of August 31, 2019, there was $3.3 million of unrecognized compensation expense related to nonvested time-based share awards that we expect to be recognized over a weighted average period of 0.8 years. The total fair value of awards vested during Fiscal 2019, 2018, and 2017 was $6.6 million, $7.1 million, and $4.9 million, respectively.</w:t>
      </w:r>
    </w:p>
    <w:p>
      <w:pPr>
        <w:spacing w:after="0" w:line="140" w:lineRule="exact"/>
        <w:rPr>
          <w:sz w:val="20"/>
          <w:szCs w:val="20"/>
          <w:color w:val="auto"/>
        </w:rPr>
      </w:pPr>
    </w:p>
    <w:p>
      <w:pPr>
        <w:jc w:val="both"/>
        <w:ind w:right="40"/>
        <w:spacing w:after="0" w:line="246" w:lineRule="auto"/>
        <w:rPr>
          <w:sz w:val="20"/>
          <w:szCs w:val="20"/>
          <w:color w:val="auto"/>
        </w:rPr>
      </w:pPr>
      <w:r>
        <w:rPr>
          <w:rFonts w:ascii="Arial" w:cs="Arial" w:eastAsia="Arial" w:hAnsi="Arial"/>
          <w:sz w:val="13"/>
          <w:szCs w:val="13"/>
          <w:color w:val="auto"/>
        </w:rPr>
        <w:t>On October 9, 2019, the Board of Directors granted 81,872 restricted stock units under the 2019 Plan valued at $3.1 million to our key management group. The value of the restricted stock units, which is based on the closing price of our common stock on the date of grant, was $37.33. Estimated non-cash stock compensation expense based on this grant is expected to be approximately $1.5 million for Fiscal 2020.</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Awards - Performance-Based</w:t>
      </w:r>
    </w:p>
    <w:p>
      <w:pPr>
        <w:spacing w:after="0" w:line="168" w:lineRule="exact"/>
        <w:rPr>
          <w:sz w:val="20"/>
          <w:szCs w:val="20"/>
          <w:color w:val="auto"/>
        </w:rPr>
      </w:pPr>
    </w:p>
    <w:p>
      <w:pPr>
        <w:ind w:right="300"/>
        <w:spacing w:after="0" w:line="251" w:lineRule="auto"/>
        <w:rPr>
          <w:sz w:val="20"/>
          <w:szCs w:val="20"/>
          <w:color w:val="auto"/>
        </w:rPr>
      </w:pPr>
      <w:r>
        <w:rPr>
          <w:rFonts w:ascii="Arial" w:cs="Arial" w:eastAsia="Arial" w:hAnsi="Arial"/>
          <w:sz w:val="13"/>
          <w:szCs w:val="13"/>
          <w:color w:val="auto"/>
        </w:rPr>
        <w:t>The fair value of performance-based share awards is determined based on the closing market price of our stock on the date of grant. A summary of the status of our nonvested performance-based share awards at August 31, 2019, and changes during Fiscal 2019,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right"/>
              <w:ind w:right="135"/>
              <w:spacing w:after="0"/>
              <w:rPr>
                <w:sz w:val="20"/>
                <w:szCs w:val="20"/>
                <w:color w:val="auto"/>
              </w:rPr>
            </w:pPr>
            <w:r>
              <w:rPr>
                <w:rFonts w:ascii="Arial" w:cs="Arial" w:eastAsia="Arial" w:hAnsi="Arial"/>
                <w:sz w:val="13"/>
                <w:szCs w:val="13"/>
                <w:b w:val="1"/>
                <w:bCs w:val="1"/>
                <w:color w:val="auto"/>
              </w:rPr>
              <w:t>Weighted Average Fair</w:t>
            </w:r>
          </w:p>
        </w:tc>
      </w:tr>
      <w:tr>
        <w:trPr>
          <w:trHeight w:val="179"/>
        </w:trPr>
        <w:tc>
          <w:tcPr>
            <w:tcW w:w="7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Value</w:t>
            </w:r>
          </w:p>
        </w:tc>
      </w:tr>
      <w:tr>
        <w:trPr>
          <w:trHeight w:val="20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25, 2018</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127,226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35.08</w:t>
            </w:r>
          </w:p>
        </w:tc>
      </w:tr>
      <w:tr>
        <w:trPr>
          <w:trHeight w:val="208"/>
        </w:trPr>
        <w:tc>
          <w:tcPr>
            <w:tcW w:w="8880" w:type="dxa"/>
            <w:vAlign w:val="bottom"/>
            <w:gridSpan w:val="2"/>
          </w:tcPr>
          <w:p>
            <w:pPr>
              <w:ind w:left="140"/>
              <w:spacing w:after="0"/>
              <w:rPr>
                <w:sz w:val="20"/>
                <w:szCs w:val="20"/>
                <w:color w:val="auto"/>
              </w:rPr>
            </w:pPr>
            <w:r>
              <w:rPr>
                <w:rFonts w:ascii="Arial" w:cs="Arial" w:eastAsia="Arial" w:hAnsi="Arial"/>
                <w:sz w:val="13"/>
                <w:szCs w:val="13"/>
                <w:color w:val="auto"/>
              </w:rPr>
              <w:t>Granted</w:t>
            </w:r>
          </w:p>
        </w:tc>
        <w:tc>
          <w:tcPr>
            <w:tcW w:w="660" w:type="dxa"/>
            <w:vAlign w:val="bottom"/>
          </w:tcPr>
          <w:p>
            <w:pPr>
              <w:jc w:val="right"/>
              <w:ind w:right="55"/>
              <w:spacing w:after="0"/>
              <w:rPr>
                <w:sz w:val="20"/>
                <w:szCs w:val="20"/>
                <w:color w:val="auto"/>
              </w:rPr>
            </w:pPr>
            <w:r>
              <w:rPr>
                <w:rFonts w:ascii="Arial" w:cs="Arial" w:eastAsia="Arial" w:hAnsi="Arial"/>
                <w:sz w:val="13"/>
                <w:szCs w:val="13"/>
                <w:color w:val="auto"/>
              </w:rPr>
              <w:t>80,207</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35"/>
              <w:spacing w:after="0"/>
              <w:rPr>
                <w:sz w:val="20"/>
                <w:szCs w:val="20"/>
                <w:color w:val="auto"/>
              </w:rPr>
            </w:pPr>
            <w:r>
              <w:rPr>
                <w:rFonts w:ascii="Arial" w:cs="Arial" w:eastAsia="Arial" w:hAnsi="Arial"/>
                <w:sz w:val="13"/>
                <w:szCs w:val="13"/>
                <w:color w:val="auto"/>
              </w:rPr>
              <w:t>31.70</w:t>
            </w:r>
          </w:p>
        </w:tc>
      </w:tr>
      <w:tr>
        <w:trPr>
          <w:trHeight w:val="223"/>
        </w:trPr>
        <w:tc>
          <w:tcPr>
            <w:tcW w:w="88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08"/>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Forfeited/canceled</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tcPr>
          <w:p>
            <w:pPr>
              <w:jc w:val="right"/>
              <w:ind w:right="35"/>
              <w:spacing w:after="0"/>
              <w:rPr>
                <w:sz w:val="20"/>
                <w:szCs w:val="20"/>
                <w:color w:val="auto"/>
              </w:rPr>
            </w:pPr>
            <w:r>
              <w:rPr>
                <w:rFonts w:ascii="Arial" w:cs="Arial" w:eastAsia="Arial" w:hAnsi="Arial"/>
                <w:sz w:val="13"/>
                <w:szCs w:val="13"/>
                <w:color w:val="auto"/>
              </w:rPr>
              <w:t>—</w:t>
            </w:r>
          </w:p>
        </w:tc>
      </w:tr>
      <w:tr>
        <w:trPr>
          <w:trHeight w:val="190"/>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31, 2019</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207,433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33.77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As of August 31, 2019, there was $2.5 million of unrecognized compensation expense related to nonvested performance-based share awards that we expect to be recognized over a weighted average period of 1.1 years. No performance-based share awards vested during Fiscal 2019, 2018, or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Arial" w:cs="Arial" w:eastAsia="Arial" w:hAnsi="Arial"/>
                <w:sz w:val="13"/>
                <w:szCs w:val="13"/>
                <w:b w:val="1"/>
                <w:bCs w:val="1"/>
                <w:color w:val="auto"/>
              </w:rPr>
              <w:t>Stock Options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02"/>
        </w:trPr>
        <w:tc>
          <w:tcPr>
            <w:tcW w:w="4480" w:type="dxa"/>
            <w:vAlign w:val="bottom"/>
          </w:tcPr>
          <w:p>
            <w:pPr>
              <w:spacing w:after="0"/>
              <w:rPr>
                <w:sz w:val="20"/>
                <w:szCs w:val="20"/>
                <w:color w:val="auto"/>
              </w:rPr>
            </w:pPr>
            <w:r>
              <w:rPr>
                <w:rFonts w:ascii="Arial" w:cs="Arial" w:eastAsia="Arial" w:hAnsi="Arial"/>
                <w:sz w:val="13"/>
                <w:szCs w:val="13"/>
                <w:color w:val="auto"/>
              </w:rPr>
              <w:t>A summary of stock option activity for Fiscal 2019 is as follows: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0"/>
        </w:trPr>
        <w:tc>
          <w:tcPr>
            <w:tcW w:w="4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Weighted Average</w:t>
            </w: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51"/>
        </w:trPr>
        <w:tc>
          <w:tcPr>
            <w:tcW w:w="4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3"/>
          </w:tcPr>
          <w:p>
            <w:pPr>
              <w:ind w:left="20"/>
              <w:spacing w:after="0"/>
              <w:rPr>
                <w:sz w:val="20"/>
                <w:szCs w:val="20"/>
                <w:color w:val="auto"/>
              </w:rPr>
            </w:pPr>
            <w:r>
              <w:rPr>
                <w:rFonts w:ascii="Arial" w:cs="Arial" w:eastAsia="Arial" w:hAnsi="Arial"/>
                <w:sz w:val="13"/>
                <w:szCs w:val="13"/>
                <w:b w:val="1"/>
                <w:bCs w:val="1"/>
                <w:color w:val="auto"/>
              </w:rPr>
              <w:t>Weighted Average Exercise</w:t>
            </w:r>
          </w:p>
        </w:tc>
        <w:tc>
          <w:tcPr>
            <w:tcW w:w="1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Remaining Contractual</w:t>
            </w:r>
          </w:p>
        </w:tc>
        <w:tc>
          <w:tcPr>
            <w:tcW w:w="170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Aggregate Intrinsic Value</w:t>
            </w:r>
          </w:p>
        </w:tc>
      </w:tr>
      <w:tr>
        <w:trPr>
          <w:trHeight w:val="179"/>
        </w:trPr>
        <w:tc>
          <w:tcPr>
            <w:tcW w:w="4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Stock Options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b w:val="1"/>
                <w:bCs w:val="1"/>
                <w:color w:val="auto"/>
              </w:rPr>
              <w:t>Price Per Share</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Term (in years)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b w:val="1"/>
                <w:bCs w:val="1"/>
                <w:color w:val="auto"/>
              </w:rPr>
              <w:t>(in thousands)</w:t>
            </w:r>
          </w:p>
        </w:tc>
      </w:tr>
      <w:tr>
        <w:trPr>
          <w:trHeight w:val="214"/>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August 25, 2018</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138,510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36.68</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8"/>
        </w:trPr>
        <w:tc>
          <w:tcPr>
            <w:tcW w:w="4480" w:type="dxa"/>
            <w:vAlign w:val="bottom"/>
          </w:tcPr>
          <w:p>
            <w:pPr>
              <w:ind w:left="14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114,635</w:t>
            </w:r>
          </w:p>
        </w:tc>
        <w:tc>
          <w:tcPr>
            <w:tcW w:w="3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31.70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3"/>
        </w:trPr>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08"/>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Forfeited/canceled</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r>
      <w:tr>
        <w:trPr>
          <w:trHeight w:val="19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at August 31, 2019</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253,145</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34.43</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350.4</w:t>
            </w:r>
          </w:p>
        </w:tc>
      </w:tr>
      <w:tr>
        <w:trPr>
          <w:trHeight w:val="20"/>
        </w:trPr>
        <w:tc>
          <w:tcPr>
            <w:tcW w:w="4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1"/>
        </w:trPr>
        <w:tc>
          <w:tcPr>
            <w:tcW w:w="4480" w:type="dxa"/>
            <w:vAlign w:val="bottom"/>
          </w:tcPr>
          <w:p>
            <w:pPr>
              <w:ind w:left="20"/>
              <w:spacing w:after="0"/>
              <w:rPr>
                <w:sz w:val="20"/>
                <w:szCs w:val="20"/>
                <w:color w:val="auto"/>
              </w:rPr>
            </w:pPr>
            <w:r>
              <w:rPr>
                <w:rFonts w:ascii="Arial" w:cs="Arial" w:eastAsia="Arial" w:hAnsi="Arial"/>
                <w:sz w:val="13"/>
                <w:szCs w:val="13"/>
                <w:color w:val="auto"/>
              </w:rPr>
              <w:t>Vested and expected to vest at August 31, 2019</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253,145</w:t>
            </w:r>
          </w:p>
        </w:tc>
        <w:tc>
          <w:tcPr>
            <w:tcW w:w="3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34.43</w:t>
            </w:r>
          </w:p>
        </w:tc>
        <w:tc>
          <w:tcPr>
            <w:tcW w:w="1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350.4</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Exercisable at August 31, 2019</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71,426</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33.13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260.3</w:t>
            </w:r>
          </w:p>
        </w:tc>
      </w:tr>
      <w:tr>
        <w:trPr>
          <w:trHeight w:val="501"/>
        </w:trPr>
        <w:tc>
          <w:tcPr>
            <w:tcW w:w="4480" w:type="dxa"/>
            <w:vAlign w:val="bottom"/>
          </w:tcPr>
          <w:p>
            <w:pPr>
              <w:spacing w:after="0"/>
              <w:rPr>
                <w:sz w:val="24"/>
                <w:szCs w:val="24"/>
                <w:color w:val="auto"/>
              </w:rPr>
            </w:pPr>
          </w:p>
        </w:tc>
        <w:tc>
          <w:tcPr>
            <w:tcW w:w="1500" w:type="dxa"/>
            <w:vAlign w:val="bottom"/>
          </w:tcPr>
          <w:p>
            <w:pPr>
              <w:jc w:val="right"/>
              <w:ind w:right="115"/>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60"/>
          </w:cols>
          <w:pgMar w:left="220" w:top="141" w:right="21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As of August 31, 2019, there was $1.3 million of unrecognized compensation expense related to option awards that is expected to be recognized over a weighted average period of 0.9 years.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each stock option is estimated on the date of grant using the Black-Scholes option-pricing model with the following assumptions: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Valuation Assumptions</w:t>
            </w:r>
            <w:r>
              <w:rPr>
                <w:rFonts w:ascii="Arial" w:cs="Arial" w:eastAsia="Arial" w:hAnsi="Arial"/>
                <w:sz w:val="17"/>
                <w:szCs w:val="17"/>
                <w:color w:val="auto"/>
                <w:vertAlign w:val="superscript"/>
              </w:rPr>
              <w:t>(1)</w:t>
            </w:r>
          </w:p>
        </w:tc>
        <w:tc>
          <w:tcPr>
            <w:tcW w:w="1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2017</w:t>
            </w:r>
          </w:p>
        </w:tc>
      </w:tr>
      <w:tr>
        <w:trPr>
          <w:trHeight w:val="196"/>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19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216"/>
        </w:trPr>
        <w:tc>
          <w:tcPr>
            <w:tcW w:w="4220" w:type="dxa"/>
            <w:vAlign w:val="bottom"/>
          </w:tcPr>
          <w:p>
            <w:pPr>
              <w:ind w:left="20"/>
              <w:spacing w:after="0"/>
              <w:rPr>
                <w:sz w:val="20"/>
                <w:szCs w:val="20"/>
                <w:color w:val="auto"/>
              </w:rPr>
            </w:pPr>
            <w:r>
              <w:rPr>
                <w:rFonts w:ascii="Arial" w:cs="Arial" w:eastAsia="Arial" w:hAnsi="Arial"/>
                <w:sz w:val="13"/>
                <w:szCs w:val="13"/>
                <w:color w:val="auto"/>
              </w:rPr>
              <w:t>Risk-free interest rate</w:t>
            </w:r>
            <w:r>
              <w:rPr>
                <w:rFonts w:ascii="Arial" w:cs="Arial" w:eastAsia="Arial" w:hAnsi="Arial"/>
                <w:sz w:val="17"/>
                <w:szCs w:val="17"/>
                <w:color w:val="auto"/>
                <w:vertAlign w:val="superscript"/>
              </w:rPr>
              <w:t>(2)</w:t>
            </w:r>
          </w:p>
        </w:tc>
        <w:tc>
          <w:tcPr>
            <w:tcW w:w="19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life of stock options (in years)</w:t>
            </w:r>
            <w:r>
              <w:rPr>
                <w:rFonts w:ascii="Arial" w:cs="Arial" w:eastAsia="Arial" w:hAnsi="Arial"/>
                <w:sz w:val="17"/>
                <w:szCs w:val="17"/>
                <w:color w:val="auto"/>
                <w:vertAlign w:val="superscript"/>
              </w:rPr>
              <w:t>(3)</w:t>
            </w:r>
          </w:p>
        </w:tc>
        <w:tc>
          <w:tcPr>
            <w:tcW w:w="19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w:t>
            </w:r>
          </w:p>
        </w:tc>
      </w:tr>
      <w:tr>
        <w:trPr>
          <w:trHeight w:val="216"/>
        </w:trPr>
        <w:tc>
          <w:tcPr>
            <w:tcW w:w="4220" w:type="dxa"/>
            <w:vAlign w:val="bottom"/>
          </w:tcPr>
          <w:p>
            <w:pPr>
              <w:ind w:left="20"/>
              <w:spacing w:after="0"/>
              <w:rPr>
                <w:sz w:val="20"/>
                <w:szCs w:val="20"/>
                <w:color w:val="auto"/>
              </w:rPr>
            </w:pPr>
            <w:r>
              <w:rPr>
                <w:rFonts w:ascii="Arial" w:cs="Arial" w:eastAsia="Arial" w:hAnsi="Arial"/>
                <w:sz w:val="13"/>
                <w:szCs w:val="13"/>
                <w:color w:val="auto"/>
              </w:rPr>
              <w:t>Expected stock price volatility</w:t>
            </w:r>
            <w:r>
              <w:rPr>
                <w:rFonts w:ascii="Arial" w:cs="Arial" w:eastAsia="Arial" w:hAnsi="Arial"/>
                <w:sz w:val="17"/>
                <w:szCs w:val="17"/>
                <w:color w:val="auto"/>
                <w:vertAlign w:val="superscript"/>
              </w:rPr>
              <w:t>(4)</w:t>
            </w:r>
          </w:p>
        </w:tc>
        <w:tc>
          <w:tcPr>
            <w:tcW w:w="19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39.3%</w:t>
            </w: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fair value of options granted</w:t>
            </w:r>
          </w:p>
        </w:tc>
        <w:tc>
          <w:tcPr>
            <w:tcW w:w="19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11.09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9.58</w:t>
            </w:r>
          </w:p>
        </w:tc>
      </w:tr>
    </w:tbl>
    <w:p>
      <w:pPr>
        <w:spacing w:after="0" w:line="47" w:lineRule="exact"/>
        <w:rPr>
          <w:sz w:val="20"/>
          <w:szCs w:val="20"/>
          <w:color w:val="auto"/>
        </w:rPr>
      </w:pPr>
    </w:p>
    <w:p>
      <w:pPr>
        <w:ind w:left="200" w:hanging="194"/>
        <w:spacing w:after="0"/>
        <w:tabs>
          <w:tab w:leader="none" w:pos="2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Forfeitures are recorded when they occur.</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Based on U.S. Treasury constant maturity interest rate whose term is consistent with the expected life of our stock options.</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Estimated based on historical experience.</w:t>
      </w:r>
    </w:p>
    <w:p>
      <w:pPr>
        <w:spacing w:after="0" w:line="2" w:lineRule="exact"/>
        <w:rPr>
          <w:rFonts w:ascii="Arial" w:cs="Arial" w:eastAsia="Arial" w:hAnsi="Arial"/>
          <w:sz w:val="11"/>
          <w:szCs w:val="11"/>
          <w:color w:val="auto"/>
        </w:rPr>
      </w:pPr>
    </w:p>
    <w:p>
      <w:pPr>
        <w:ind w:left="200" w:hanging="194"/>
        <w:spacing w:after="0"/>
        <w:tabs>
          <w:tab w:leader="none" w:pos="2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Based on historical experience over a term consistent with the expected life of the stock options.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Restructuring</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On February 4, 2019, we announced our intent to move our diesel production from Junction City, OR to Forest City, IA to enable more effective product development and improve our cost structure.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details the restructuring charges incurred: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Motorhome</w:t>
            </w:r>
          </w:p>
        </w:tc>
      </w:tr>
      <w:tr>
        <w:trPr>
          <w:trHeight w:val="185"/>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r>
      <w:tr>
        <w:trPr>
          <w:trHeight w:val="193"/>
        </w:trPr>
        <w:tc>
          <w:tcPr>
            <w:tcW w:w="9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goods sold</w:t>
            </w: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1,724</w:t>
            </w:r>
          </w:p>
        </w:tc>
      </w:tr>
      <w:tr>
        <w:trPr>
          <w:trHeight w:val="186"/>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219</w:t>
            </w:r>
          </w:p>
        </w:tc>
      </w:tr>
      <w:tr>
        <w:trPr>
          <w:trHeight w:val="190"/>
        </w:trPr>
        <w:tc>
          <w:tcPr>
            <w:tcW w:w="9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Restructuring expense</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1,943</w:t>
            </w:r>
          </w:p>
        </w:tc>
      </w:tr>
      <w:tr>
        <w:trPr>
          <w:trHeight w:val="20"/>
        </w:trPr>
        <w:tc>
          <w:tcPr>
            <w:tcW w:w="9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200"/>
        <w:spacing w:after="0" w:line="292" w:lineRule="auto"/>
        <w:rPr>
          <w:sz w:val="20"/>
          <w:szCs w:val="20"/>
          <w:color w:val="auto"/>
        </w:rPr>
      </w:pPr>
      <w:r>
        <w:rPr>
          <w:rFonts w:ascii="Arial" w:cs="Arial" w:eastAsia="Arial" w:hAnsi="Arial"/>
          <w:sz w:val="12"/>
          <w:szCs w:val="12"/>
          <w:color w:val="auto"/>
        </w:rPr>
        <w:t>These expenses include employee-related costs and accelerated depreciation for assets that will no longer be used. Employee-related costs were primarily paid in Fiscal 2019. We expect additional expenses of up to $1.0 million in Fiscal 2020, primarily related to facility closure costs. We expect these expenses to be fully offset by the corresponding savings generated by the project.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20"/>
                <w:szCs w:val="20"/>
                <w:color w:val="auto"/>
              </w:rPr>
            </w:pPr>
            <w:r>
              <w:rPr>
                <w:rFonts w:ascii="Arial" w:cs="Arial" w:eastAsia="Arial" w:hAnsi="Arial"/>
                <w:sz w:val="13"/>
                <w:szCs w:val="13"/>
                <w:b w:val="1"/>
                <w:bCs w:val="1"/>
                <w:color w:val="auto"/>
              </w:rPr>
              <w:t>Note 15: Income Taxes</w:t>
            </w: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02"/>
        </w:trPr>
        <w:tc>
          <w:tcPr>
            <w:tcW w:w="4180" w:type="dxa"/>
            <w:vAlign w:val="bottom"/>
          </w:tcPr>
          <w:p>
            <w:pPr>
              <w:spacing w:after="0"/>
              <w:rPr>
                <w:sz w:val="20"/>
                <w:szCs w:val="20"/>
                <w:color w:val="auto"/>
              </w:rPr>
            </w:pPr>
            <w:r>
              <w:rPr>
                <w:rFonts w:ascii="Arial" w:cs="Arial" w:eastAsia="Arial" w:hAnsi="Arial"/>
                <w:sz w:val="13"/>
                <w:szCs w:val="13"/>
                <w:color w:val="auto"/>
              </w:rPr>
              <w:t>Income tax expense consisted of the following:</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3"/>
                <w:szCs w:val="13"/>
                <w:b w:val="1"/>
                <w:bCs w:val="1"/>
                <w:color w:val="auto"/>
              </w:rPr>
              <w:t>2017</w:t>
            </w:r>
          </w:p>
        </w:tc>
      </w:tr>
      <w:tr>
        <w:trPr>
          <w:trHeight w:val="214"/>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8"/>
        </w:trPr>
        <w:tc>
          <w:tcPr>
            <w:tcW w:w="4180" w:type="dxa"/>
            <w:vAlign w:val="bottom"/>
          </w:tcPr>
          <w:p>
            <w:pPr>
              <w:ind w:left="140"/>
              <w:spacing w:after="0"/>
              <w:rPr>
                <w:sz w:val="20"/>
                <w:szCs w:val="20"/>
                <w:color w:val="auto"/>
              </w:rPr>
            </w:pPr>
            <w:r>
              <w:rPr>
                <w:rFonts w:ascii="Arial" w:cs="Arial" w:eastAsia="Arial" w:hAnsi="Arial"/>
                <w:sz w:val="13"/>
                <w:szCs w:val="13"/>
                <w:color w:val="auto"/>
              </w:rPr>
              <w:t>Federal</w:t>
            </w:r>
          </w:p>
        </w:tc>
        <w:tc>
          <w:tcPr>
            <w:tcW w:w="2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16,433</w:t>
            </w:r>
          </w:p>
        </w:tc>
        <w:tc>
          <w:tcPr>
            <w:tcW w:w="12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28,874</w:t>
            </w:r>
          </w:p>
        </w:tc>
        <w:tc>
          <w:tcPr>
            <w:tcW w:w="120" w:type="dxa"/>
            <w:vAlign w:val="bottom"/>
          </w:tcPr>
          <w:p>
            <w:pPr>
              <w:spacing w:after="0"/>
              <w:rPr>
                <w:sz w:val="18"/>
                <w:szCs w:val="18"/>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33,125</w:t>
            </w:r>
          </w:p>
        </w:tc>
      </w:tr>
      <w:tr>
        <w:trPr>
          <w:trHeight w:val="21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3,138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5,215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2,937</w:t>
            </w:r>
          </w:p>
        </w:tc>
      </w:tr>
      <w:tr>
        <w:trPr>
          <w:trHeight w:val="196"/>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Total</w:t>
            </w:r>
          </w:p>
        </w:tc>
        <w:tc>
          <w:tcPr>
            <w:tcW w:w="1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19,571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34,089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36,062</w:t>
            </w:r>
          </w:p>
        </w:tc>
      </w:tr>
      <w:tr>
        <w:trPr>
          <w:trHeight w:val="214"/>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8"/>
        </w:trPr>
        <w:tc>
          <w:tcPr>
            <w:tcW w:w="4180" w:type="dxa"/>
            <w:vAlign w:val="bottom"/>
          </w:tcPr>
          <w:p>
            <w:pPr>
              <w:ind w:left="140"/>
              <w:spacing w:after="0"/>
              <w:rPr>
                <w:sz w:val="20"/>
                <w:szCs w:val="20"/>
                <w:color w:val="auto"/>
              </w:rPr>
            </w:pPr>
            <w:r>
              <w:rPr>
                <w:rFonts w:ascii="Arial" w:cs="Arial" w:eastAsia="Arial" w:hAnsi="Arial"/>
                <w:sz w:val="13"/>
                <w:szCs w:val="13"/>
                <w:color w:val="auto"/>
              </w:rPr>
              <w:t>Federal</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6,395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5,123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926</w:t>
            </w:r>
          </w:p>
        </w:tc>
      </w:tr>
      <w:tr>
        <w:trPr>
          <w:trHeight w:val="21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1,145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1,071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281</w:t>
            </w:r>
          </w:p>
        </w:tc>
      </w:tr>
      <w:tr>
        <w:trPr>
          <w:trHeight w:val="196"/>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Total</w:t>
            </w:r>
          </w:p>
        </w:tc>
        <w:tc>
          <w:tcPr>
            <w:tcW w:w="1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7,540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6,194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1,207</w:t>
            </w:r>
          </w:p>
        </w:tc>
      </w:tr>
      <w:tr>
        <w:trPr>
          <w:trHeight w:val="190"/>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27,111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40,283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37,269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76"/>
        </w:trPr>
        <w:tc>
          <w:tcPr>
            <w:tcW w:w="4180" w:type="dxa"/>
            <w:vAlign w:val="bottom"/>
          </w:tcPr>
          <w:p>
            <w:pPr>
              <w:spacing w:after="0"/>
              <w:rPr>
                <w:sz w:val="24"/>
                <w:szCs w:val="24"/>
                <w:color w:val="auto"/>
              </w:rPr>
            </w:pPr>
          </w:p>
        </w:tc>
        <w:tc>
          <w:tcPr>
            <w:tcW w:w="2000" w:type="dxa"/>
            <w:vAlign w:val="bottom"/>
            <w:gridSpan w:val="2"/>
          </w:tcPr>
          <w:p>
            <w:pPr>
              <w:jc w:val="right"/>
              <w:ind w:right="380"/>
              <w:spacing w:after="0"/>
              <w:rPr>
                <w:sz w:val="20"/>
                <w:szCs w:val="20"/>
                <w:color w:val="auto"/>
              </w:rPr>
            </w:pPr>
            <w:r>
              <w:rPr>
                <w:rFonts w:ascii="Arial" w:cs="Arial" w:eastAsia="Arial" w:hAnsi="Arial"/>
                <w:sz w:val="13"/>
                <w:szCs w:val="13"/>
                <w:color w:val="auto"/>
              </w:rPr>
              <w:t>62</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60"/>
          </w:cols>
          <w:pgMar w:left="220" w:top="141" w:right="21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586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352"/>
        </w:trPr>
        <w:tc>
          <w:tcPr>
            <w:tcW w:w="6880" w:type="dxa"/>
            <w:vAlign w:val="bottom"/>
            <w:gridSpan w:val="3"/>
          </w:tcPr>
          <w:p>
            <w:pPr>
              <w:spacing w:after="0"/>
              <w:rPr>
                <w:sz w:val="20"/>
                <w:szCs w:val="20"/>
                <w:color w:val="auto"/>
              </w:rPr>
            </w:pPr>
            <w:r>
              <w:rPr>
                <w:rFonts w:ascii="Arial" w:cs="Arial" w:eastAsia="Arial" w:hAnsi="Arial"/>
                <w:sz w:val="13"/>
                <w:szCs w:val="13"/>
                <w:color w:val="auto"/>
              </w:rPr>
              <w:t>The following table provides a reconciliation of the U.S. statutory income tax rate to our effective income tax rate: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10"/>
        </w:trPr>
        <w:tc>
          <w:tcPr>
            <w:tcW w:w="6880" w:type="dxa"/>
            <w:vAlign w:val="bottom"/>
            <w:tcBorders>
              <w:bottom w:val="single" w:sz="8" w:color="auto"/>
            </w:tcBorders>
            <w:gridSpan w:val="3"/>
          </w:tcPr>
          <w:p>
            <w:pPr>
              <w:ind w:left="6420"/>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right"/>
              <w:ind w:right="73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right"/>
              <w:ind w:right="735"/>
              <w:spacing w:after="0"/>
              <w:rPr>
                <w:sz w:val="20"/>
                <w:szCs w:val="20"/>
                <w:color w:val="auto"/>
              </w:rPr>
            </w:pPr>
            <w:r>
              <w:rPr>
                <w:rFonts w:ascii="Arial" w:cs="Arial" w:eastAsia="Arial" w:hAnsi="Arial"/>
                <w:sz w:val="13"/>
                <w:szCs w:val="13"/>
                <w:b w:val="1"/>
                <w:bCs w:val="1"/>
                <w:color w:val="auto"/>
              </w:rPr>
              <w:t>2017</w:t>
            </w:r>
          </w:p>
        </w:tc>
      </w:tr>
      <w:tr>
        <w:trPr>
          <w:trHeight w:val="203"/>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r>
              <w:rPr>
                <w:rFonts w:ascii="Arial" w:cs="Arial" w:eastAsia="Arial" w:hAnsi="Arial"/>
                <w:sz w:val="17"/>
                <w:szCs w:val="17"/>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25.9 %</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35.0 %</w:t>
            </w:r>
          </w:p>
        </w:tc>
      </w:tr>
      <w:tr>
        <w:trPr>
          <w:trHeight w:val="208"/>
        </w:trPr>
        <w:tc>
          <w:tcPr>
            <w:tcW w:w="6880" w:type="dxa"/>
            <w:vAlign w:val="bottom"/>
            <w:gridSpan w:val="3"/>
          </w:tcPr>
          <w:p>
            <w:pPr>
              <w:ind w:left="20"/>
              <w:spacing w:after="0"/>
              <w:rPr>
                <w:sz w:val="20"/>
                <w:szCs w:val="20"/>
                <w:color w:val="auto"/>
              </w:rPr>
            </w:pPr>
            <w:r>
              <w:rPr>
                <w:rFonts w:ascii="Arial" w:cs="Arial" w:eastAsia="Arial" w:hAnsi="Arial"/>
                <w:sz w:val="13"/>
                <w:szCs w:val="13"/>
                <w:color w:val="auto"/>
              </w:rPr>
              <w:t>State taxes, net of federal benefit</w:t>
            </w:r>
          </w:p>
        </w:tc>
        <w:tc>
          <w:tcPr>
            <w:tcW w:w="62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2.8 %</w:t>
            </w:r>
          </w:p>
        </w:tc>
      </w:tr>
      <w:tr>
        <w:trPr>
          <w:trHeight w:val="223"/>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Impact from Tax Act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 %</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208"/>
        </w:trPr>
        <w:tc>
          <w:tcPr>
            <w:tcW w:w="6880" w:type="dxa"/>
            <w:vAlign w:val="bottom"/>
            <w:gridSpan w:val="3"/>
          </w:tcPr>
          <w:p>
            <w:pPr>
              <w:ind w:left="20"/>
              <w:spacing w:after="0"/>
              <w:rPr>
                <w:sz w:val="20"/>
                <w:szCs w:val="20"/>
                <w:color w:val="auto"/>
              </w:rPr>
            </w:pPr>
            <w:r>
              <w:rPr>
                <w:rFonts w:ascii="Arial" w:cs="Arial" w:eastAsia="Arial" w:hAnsi="Arial"/>
                <w:sz w:val="13"/>
                <w:szCs w:val="13"/>
                <w:color w:val="auto"/>
              </w:rPr>
              <w:t>Domestic production activities deduction</w:t>
            </w: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18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23"/>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Income tax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208"/>
        </w:trPr>
        <w:tc>
          <w:tcPr>
            <w:tcW w:w="6880" w:type="dxa"/>
            <w:vAlign w:val="bottom"/>
            <w:gridSpan w:val="3"/>
          </w:tcPr>
          <w:p>
            <w:pPr>
              <w:ind w:left="20"/>
              <w:spacing w:after="0"/>
              <w:rPr>
                <w:sz w:val="20"/>
                <w:szCs w:val="20"/>
                <w:color w:val="auto"/>
              </w:rPr>
            </w:pPr>
            <w:r>
              <w:rPr>
                <w:rFonts w:ascii="Arial" w:cs="Arial" w:eastAsia="Arial" w:hAnsi="Arial"/>
                <w:sz w:val="13"/>
                <w:szCs w:val="13"/>
                <w:color w:val="auto"/>
              </w:rPr>
              <w:t>Tax-free and dividend income</w:t>
            </w:r>
          </w:p>
        </w:tc>
        <w:tc>
          <w:tcPr>
            <w:tcW w:w="62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223"/>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Uncertain tax position settlements and adjustments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208"/>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items</w:t>
            </w:r>
          </w:p>
        </w:tc>
        <w:tc>
          <w:tcPr>
            <w:tcW w:w="1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0.8 %</w:t>
            </w:r>
          </w:p>
        </w:tc>
      </w:tr>
      <w:tr>
        <w:trPr>
          <w:trHeight w:val="190"/>
        </w:trPr>
        <w:tc>
          <w:tcPr>
            <w:tcW w:w="68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Effective tax provision rate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19.5 %</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28.2 %</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34.3 %</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(1) The U.S. federal statutory rate for Fiscal 2018 is a blended rate, which includes the impact of the Tax Act enactment.</w:t>
      </w:r>
    </w:p>
    <w:p>
      <w:pPr>
        <w:spacing w:after="0" w:line="151" w:lineRule="exact"/>
        <w:rPr>
          <w:sz w:val="20"/>
          <w:szCs w:val="20"/>
          <w:color w:val="auto"/>
        </w:rPr>
      </w:pPr>
    </w:p>
    <w:p>
      <w:pPr>
        <w:ind w:right="320"/>
        <w:spacing w:after="0" w:line="251" w:lineRule="auto"/>
        <w:rPr>
          <w:sz w:val="20"/>
          <w:szCs w:val="20"/>
          <w:color w:val="auto"/>
        </w:rPr>
      </w:pPr>
      <w:r>
        <w:rPr>
          <w:rFonts w:ascii="Arial" w:cs="Arial" w:eastAsia="Arial" w:hAnsi="Arial"/>
          <w:sz w:val="13"/>
          <w:szCs w:val="13"/>
          <w:color w:val="auto"/>
        </w:rPr>
        <w:t>Our effective tax rate decreased to 19.5% for Fiscal 2019 from 28.2% for Fiscal 2018 due to the enactment of the 2017 Tax Cuts and Jobs Act ("Tax Act") on December 22, 2017 and net favorable discrete items, primarily attributable to R&amp;D-related tax credits, which totaled $3.6 million or 2.6%.</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 xml:space="preserve">ASU 2018-05, </w:t>
      </w:r>
      <w:r>
        <w:rPr>
          <w:rFonts w:ascii="Arial" w:cs="Arial" w:eastAsia="Arial" w:hAnsi="Arial"/>
          <w:sz w:val="13"/>
          <w:szCs w:val="13"/>
          <w:i w:val="1"/>
          <w:iCs w:val="1"/>
          <w:color w:val="auto"/>
        </w:rPr>
        <w:t>Income Taxes (Topic 740): Amendments to SEC Paragraphs Pursuant to SEC Staff Accounting Bulletin No. 118</w:t>
      </w:r>
      <w:r>
        <w:rPr>
          <w:rFonts w:ascii="Arial" w:cs="Arial" w:eastAsia="Arial" w:hAnsi="Arial"/>
          <w:sz w:val="13"/>
          <w:szCs w:val="13"/>
          <w:color w:val="auto"/>
        </w:rPr>
        <w:t xml:space="preserve">, provided guidance for companies that allows for a measurement period of up to one year after the enactment date of the Tax Act to finalize the recording of the related tax impacts under ASC 740, </w:t>
      </w:r>
      <w:r>
        <w:rPr>
          <w:rFonts w:ascii="Arial" w:cs="Arial" w:eastAsia="Arial" w:hAnsi="Arial"/>
          <w:sz w:val="13"/>
          <w:szCs w:val="13"/>
          <w:i w:val="1"/>
          <w:iCs w:val="1"/>
          <w:color w:val="auto"/>
        </w:rPr>
        <w:t>Income Taxes</w:t>
      </w:r>
      <w:r>
        <w:rPr>
          <w:rFonts w:ascii="Arial" w:cs="Arial" w:eastAsia="Arial" w:hAnsi="Arial"/>
          <w:sz w:val="13"/>
          <w:szCs w:val="13"/>
          <w:color w:val="auto"/>
        </w:rPr>
        <w:t>. In accordance with this guidance, a company must reflect the income tax effect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in the financial statements.</w:t>
      </w:r>
    </w:p>
    <w:p>
      <w:pPr>
        <w:spacing w:after="0" w:line="140" w:lineRule="exact"/>
        <w:rPr>
          <w:sz w:val="20"/>
          <w:szCs w:val="20"/>
          <w:color w:val="auto"/>
        </w:rPr>
      </w:pPr>
    </w:p>
    <w:p>
      <w:pPr>
        <w:ind w:right="80"/>
        <w:spacing w:after="0" w:line="246" w:lineRule="auto"/>
        <w:rPr>
          <w:sz w:val="20"/>
          <w:szCs w:val="20"/>
          <w:color w:val="auto"/>
        </w:rPr>
      </w:pPr>
      <w:r>
        <w:rPr>
          <w:rFonts w:ascii="Arial" w:cs="Arial" w:eastAsia="Arial" w:hAnsi="Arial"/>
          <w:sz w:val="13"/>
          <w:szCs w:val="13"/>
          <w:color w:val="auto"/>
        </w:rPr>
        <w:t>In accordance with ASC 740, we recorded non-cash provisional estimates of $3.6 million to income tax expense in Fiscal 2018 as a result of revaluing all deferred tax assets and liabilities at the newly enacted Federal corporate income tax rate. We made no measurement period adjustments related to these items during Fiscal 2019 and are complete in analyzing and recording all aspects of the enactment of the Tax Act.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80" w:type="dxa"/>
            <w:vAlign w:val="bottom"/>
          </w:tcPr>
          <w:p>
            <w:pPr>
              <w:spacing w:after="0"/>
              <w:rPr>
                <w:sz w:val="20"/>
                <w:szCs w:val="20"/>
                <w:color w:val="auto"/>
              </w:rPr>
            </w:pPr>
            <w:r>
              <w:rPr>
                <w:rFonts w:ascii="Arial" w:cs="Arial" w:eastAsia="Arial" w:hAnsi="Arial"/>
                <w:sz w:val="13"/>
                <w:szCs w:val="13"/>
                <w:color w:val="auto"/>
              </w:rPr>
              <w:t>The tax effects of temporary differences that give rise to deferred income taxes were as follows:</w:t>
            </w: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10"/>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Arial" w:cs="Arial" w:eastAsia="Arial" w:hAnsi="Arial"/>
                <w:sz w:val="13"/>
                <w:szCs w:val="13"/>
                <w:b w:val="1"/>
                <w:bCs w:val="1"/>
                <w:color w:val="auto"/>
              </w:rPr>
              <w:t>August 31, 2019</w:t>
            </w:r>
          </w:p>
        </w:tc>
        <w:tc>
          <w:tcPr>
            <w:tcW w:w="240" w:type="dxa"/>
            <w:vAlign w:val="bottom"/>
          </w:tcPr>
          <w:p>
            <w:pPr>
              <w:spacing w:after="0"/>
              <w:rPr>
                <w:sz w:val="24"/>
                <w:szCs w:val="24"/>
                <w:color w:val="auto"/>
              </w:rPr>
            </w:pPr>
          </w:p>
        </w:tc>
        <w:tc>
          <w:tcPr>
            <w:tcW w:w="1560" w:type="dxa"/>
            <w:vAlign w:val="bottom"/>
          </w:tcPr>
          <w:p>
            <w:pPr>
              <w:jc w:val="right"/>
              <w:ind w:right="355"/>
              <w:spacing w:after="0"/>
              <w:rPr>
                <w:sz w:val="20"/>
                <w:szCs w:val="20"/>
                <w:color w:val="auto"/>
              </w:rPr>
            </w:pPr>
            <w:r>
              <w:rPr>
                <w:rFonts w:ascii="Arial" w:cs="Arial" w:eastAsia="Arial" w:hAnsi="Arial"/>
                <w:sz w:val="13"/>
                <w:szCs w:val="13"/>
                <w:b w:val="1"/>
                <w:bCs w:val="1"/>
                <w:color w:val="auto"/>
              </w:rPr>
              <w:t>August 25, 2018</w:t>
            </w:r>
          </w:p>
        </w:tc>
      </w:tr>
      <w:tr>
        <w:trPr>
          <w:trHeight w:val="203"/>
        </w:trPr>
        <w:tc>
          <w:tcPr>
            <w:tcW w:w="7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Warranty reserves</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5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10,949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9,842</w:t>
            </w:r>
          </w:p>
        </w:tc>
      </w:tr>
      <w:tr>
        <w:trPr>
          <w:trHeight w:val="208"/>
        </w:trPr>
        <w:tc>
          <w:tcPr>
            <w:tcW w:w="768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280" w:type="dxa"/>
            <w:vAlign w:val="bottom"/>
          </w:tcPr>
          <w:p>
            <w:pPr>
              <w:spacing w:after="0"/>
              <w:rPr>
                <w:sz w:val="18"/>
                <w:szCs w:val="18"/>
                <w:color w:val="auto"/>
              </w:rPr>
            </w:pPr>
          </w:p>
        </w:tc>
        <w:tc>
          <w:tcPr>
            <w:tcW w:w="1580" w:type="dxa"/>
            <w:vAlign w:val="bottom"/>
          </w:tcPr>
          <w:p>
            <w:pPr>
              <w:jc w:val="right"/>
              <w:ind w:right="55"/>
              <w:spacing w:after="0"/>
              <w:rPr>
                <w:sz w:val="20"/>
                <w:szCs w:val="20"/>
                <w:color w:val="auto"/>
              </w:rPr>
            </w:pPr>
            <w:r>
              <w:rPr>
                <w:rFonts w:ascii="Arial" w:cs="Arial" w:eastAsia="Arial" w:hAnsi="Arial"/>
                <w:sz w:val="13"/>
                <w:szCs w:val="13"/>
                <w:color w:val="auto"/>
              </w:rPr>
              <w:t>3,989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4,730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Self-insurance reserve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2,617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2,601</w:t>
            </w:r>
          </w:p>
        </w:tc>
      </w:tr>
      <w:tr>
        <w:trPr>
          <w:trHeight w:val="208"/>
        </w:trPr>
        <w:tc>
          <w:tcPr>
            <w:tcW w:w="76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280" w:type="dxa"/>
            <w:vAlign w:val="bottom"/>
          </w:tcPr>
          <w:p>
            <w:pPr>
              <w:spacing w:after="0"/>
              <w:rPr>
                <w:sz w:val="18"/>
                <w:szCs w:val="18"/>
                <w:color w:val="auto"/>
              </w:rPr>
            </w:pPr>
          </w:p>
        </w:tc>
        <w:tc>
          <w:tcPr>
            <w:tcW w:w="1580" w:type="dxa"/>
            <w:vAlign w:val="bottom"/>
          </w:tcPr>
          <w:p>
            <w:pPr>
              <w:jc w:val="right"/>
              <w:ind w:right="55"/>
              <w:spacing w:after="0"/>
              <w:rPr>
                <w:sz w:val="20"/>
                <w:szCs w:val="20"/>
                <w:color w:val="auto"/>
              </w:rPr>
            </w:pPr>
            <w:r>
              <w:rPr>
                <w:rFonts w:ascii="Arial" w:cs="Arial" w:eastAsia="Arial" w:hAnsi="Arial"/>
                <w:sz w:val="13"/>
                <w:szCs w:val="13"/>
                <w:color w:val="auto"/>
              </w:rPr>
              <w:t>2,558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1,277</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vacation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1,298</w:t>
            </w:r>
          </w:p>
        </w:tc>
      </w:tr>
      <w:tr>
        <w:trPr>
          <w:trHeight w:val="208"/>
        </w:trPr>
        <w:tc>
          <w:tcPr>
            <w:tcW w:w="7680" w:type="dxa"/>
            <w:vAlign w:val="bottom"/>
          </w:tcPr>
          <w:p>
            <w:pPr>
              <w:ind w:left="20"/>
              <w:spacing w:after="0"/>
              <w:rPr>
                <w:sz w:val="20"/>
                <w:szCs w:val="20"/>
                <w:color w:val="auto"/>
              </w:rPr>
            </w:pPr>
            <w:r>
              <w:rPr>
                <w:rFonts w:ascii="Arial" w:cs="Arial" w:eastAsia="Arial" w:hAnsi="Arial"/>
                <w:sz w:val="13"/>
                <w:szCs w:val="13"/>
                <w:color w:val="auto"/>
              </w:rPr>
              <w:t>Unrecognized tax benefit</w:t>
            </w:r>
          </w:p>
        </w:tc>
        <w:tc>
          <w:tcPr>
            <w:tcW w:w="280" w:type="dxa"/>
            <w:vAlign w:val="bottom"/>
          </w:tcPr>
          <w:p>
            <w:pPr>
              <w:spacing w:after="0"/>
              <w:rPr>
                <w:sz w:val="18"/>
                <w:szCs w:val="18"/>
                <w:color w:val="auto"/>
              </w:rPr>
            </w:pPr>
          </w:p>
        </w:tc>
        <w:tc>
          <w:tcPr>
            <w:tcW w:w="1580" w:type="dxa"/>
            <w:vAlign w:val="bottom"/>
          </w:tcPr>
          <w:p>
            <w:pPr>
              <w:jc w:val="right"/>
              <w:ind w:right="55"/>
              <w:spacing w:after="0"/>
              <w:rPr>
                <w:sz w:val="20"/>
                <w:szCs w:val="20"/>
                <w:color w:val="auto"/>
              </w:rPr>
            </w:pPr>
            <w:r>
              <w:rPr>
                <w:rFonts w:ascii="Arial" w:cs="Arial" w:eastAsia="Arial" w:hAnsi="Arial"/>
                <w:sz w:val="13"/>
                <w:szCs w:val="13"/>
                <w:color w:val="auto"/>
              </w:rPr>
              <w:t>444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584</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w:t>
            </w: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615</w:t>
            </w:r>
          </w:p>
        </w:tc>
      </w:tr>
      <w:tr>
        <w:trPr>
          <w:trHeight w:val="21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7"/>
                <w:szCs w:val="17"/>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3,337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1,797</w:t>
            </w:r>
          </w:p>
        </w:tc>
      </w:tr>
      <w:tr>
        <w:trPr>
          <w:trHeight w:val="188"/>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2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25,121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22,744</w:t>
            </w:r>
          </w:p>
        </w:tc>
      </w:tr>
      <w:tr>
        <w:trPr>
          <w:trHeight w:val="196"/>
        </w:trPr>
        <w:tc>
          <w:tcPr>
            <w:tcW w:w="7680" w:type="dxa"/>
            <w:vAlign w:val="bottom"/>
          </w:tcPr>
          <w:p>
            <w:pPr>
              <w:ind w:left="20"/>
              <w:spacing w:after="0"/>
              <w:rPr>
                <w:sz w:val="20"/>
                <w:szCs w:val="20"/>
                <w:color w:val="auto"/>
              </w:rPr>
            </w:pPr>
            <w:r>
              <w:rPr>
                <w:rFonts w:ascii="Arial" w:cs="Arial" w:eastAsia="Arial" w:hAnsi="Arial"/>
                <w:sz w:val="13"/>
                <w:szCs w:val="13"/>
                <w:color w:val="auto"/>
              </w:rPr>
              <w:t>Intangibles</w:t>
            </w:r>
          </w:p>
        </w:tc>
        <w:tc>
          <w:tcPr>
            <w:tcW w:w="280" w:type="dxa"/>
            <w:vAlign w:val="bottom"/>
          </w:tcPr>
          <w:p>
            <w:pPr>
              <w:spacing w:after="0"/>
              <w:rPr>
                <w:sz w:val="17"/>
                <w:szCs w:val="17"/>
                <w:color w:val="auto"/>
              </w:rPr>
            </w:pPr>
          </w:p>
        </w:tc>
        <w:tc>
          <w:tcPr>
            <w:tcW w:w="1580" w:type="dxa"/>
            <w:vAlign w:val="bottom"/>
          </w:tcPr>
          <w:p>
            <w:pPr>
              <w:jc w:val="right"/>
              <w:ind w:right="55"/>
              <w:spacing w:after="0"/>
              <w:rPr>
                <w:sz w:val="20"/>
                <w:szCs w:val="20"/>
                <w:color w:val="auto"/>
              </w:rPr>
            </w:pPr>
            <w:r>
              <w:rPr>
                <w:rFonts w:ascii="Arial" w:cs="Arial" w:eastAsia="Arial" w:hAnsi="Arial"/>
                <w:sz w:val="13"/>
                <w:szCs w:val="13"/>
                <w:color w:val="auto"/>
              </w:rPr>
              <w:t>28,055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21,292</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8,192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5,909</w:t>
            </w:r>
          </w:p>
        </w:tc>
      </w:tr>
      <w:tr>
        <w:trPr>
          <w:trHeight w:val="20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Inventory</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906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196"/>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37,153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27,201</w:t>
            </w:r>
          </w:p>
        </w:tc>
      </w:tr>
      <w:tr>
        <w:trPr>
          <w:trHeight w:val="190"/>
        </w:trPr>
        <w:tc>
          <w:tcPr>
            <w:tcW w:w="7680" w:type="dxa"/>
            <w:vAlign w:val="bottom"/>
          </w:tcPr>
          <w:p>
            <w:pPr>
              <w:ind w:left="220"/>
              <w:spacing w:after="0"/>
              <w:rPr>
                <w:sz w:val="20"/>
                <w:szCs w:val="20"/>
                <w:color w:val="auto"/>
              </w:rPr>
            </w:pPr>
            <w:r>
              <w:rPr>
                <w:rFonts w:ascii="Arial" w:cs="Arial" w:eastAsia="Arial" w:hAnsi="Arial"/>
                <w:sz w:val="13"/>
                <w:szCs w:val="13"/>
                <w:color w:val="auto"/>
              </w:rPr>
              <w:t>Total deferred income tax liabilities, net</w:t>
            </w: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12,032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4,457</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200" w:right="80" w:hanging="194"/>
        <w:spacing w:after="0" w:line="267" w:lineRule="auto"/>
        <w:tabs>
          <w:tab w:leader="none" w:pos="2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At August 31, 2019, other includes $0.6 million and $0.4 million related to federal and state net operating losses, respectively. At August 25, 2018, other includes $1.4 million and $0.1 million related to federal and state net operating losses, respectively. These net operating losses do not expire. We have evaluated all the positive and negative evidence and consider it more likely than not that these carryforwards can be realized.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460"/>
          </w:cols>
          <w:pgMar w:left="220" w:top="119"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1020" w:type="dxa"/>
            <w:vAlign w:val="bottom"/>
            <w:tcBorders>
              <w:bottom w:val="single" w:sz="8" w:color="0000EE"/>
            </w:tcBorders>
          </w:tcPr>
          <w:p>
            <w:pPr>
              <w:spacing w:after="0"/>
              <w:rPr>
                <w:rFonts w:ascii="Arial" w:cs="Arial" w:eastAsia="Arial" w:hAnsi="Arial"/>
                <w:sz w:val="13"/>
                <w:szCs w:val="13"/>
                <w:color w:val="0000EE"/>
                <w:w w:val="97"/>
              </w:rPr>
            </w:pPr>
            <w:hyperlink w:anchor="page2">
              <w:r>
                <w:rPr>
                  <w:rFonts w:ascii="Arial" w:cs="Arial" w:eastAsia="Arial" w:hAnsi="Arial"/>
                  <w:sz w:val="13"/>
                  <w:szCs w:val="13"/>
                  <w:color w:val="0000EE"/>
                  <w:w w:val="97"/>
                </w:rPr>
                <w:t>Table of Contents</w:t>
              </w:r>
            </w:hyperlink>
          </w:p>
        </w:tc>
        <w:tc>
          <w:tcPr>
            <w:tcW w:w="4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352"/>
        </w:trPr>
        <w:tc>
          <w:tcPr>
            <w:tcW w:w="5740" w:type="dxa"/>
            <w:vAlign w:val="bottom"/>
            <w:gridSpan w:val="2"/>
          </w:tcPr>
          <w:p>
            <w:pPr>
              <w:spacing w:after="0"/>
              <w:rPr>
                <w:sz w:val="20"/>
                <w:szCs w:val="20"/>
                <w:color w:val="auto"/>
              </w:rPr>
            </w:pPr>
            <w:r>
              <w:rPr>
                <w:rFonts w:ascii="Arial" w:cs="Arial" w:eastAsia="Arial" w:hAnsi="Arial"/>
                <w:sz w:val="13"/>
                <w:szCs w:val="13"/>
                <w:color w:val="auto"/>
              </w:rPr>
              <w:t>Changes in the unrecognized tax benefits are as follows: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1"/>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3"/>
                <w:szCs w:val="13"/>
                <w:b w:val="1"/>
                <w:bCs w:val="1"/>
                <w:color w:val="auto"/>
              </w:rPr>
              <w:t>2017</w:t>
            </w:r>
          </w:p>
        </w:tc>
      </w:tr>
      <w:tr>
        <w:trPr>
          <w:trHeight w:val="20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1,220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1,195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1,710</w:t>
            </w:r>
          </w:p>
        </w:tc>
      </w:tr>
      <w:tr>
        <w:trPr>
          <w:trHeight w:val="208"/>
        </w:trPr>
        <w:tc>
          <w:tcPr>
            <w:tcW w:w="5740" w:type="dxa"/>
            <w:vAlign w:val="bottom"/>
            <w:gridSpan w:val="2"/>
          </w:tcPr>
          <w:p>
            <w:pPr>
              <w:ind w:left="140"/>
              <w:spacing w:after="0"/>
              <w:rPr>
                <w:sz w:val="20"/>
                <w:szCs w:val="20"/>
                <w:color w:val="auto"/>
              </w:rPr>
            </w:pPr>
            <w:r>
              <w:rPr>
                <w:rFonts w:ascii="Arial" w:cs="Arial" w:eastAsia="Arial" w:hAnsi="Arial"/>
                <w:sz w:val="13"/>
                <w:szCs w:val="13"/>
                <w:color w:val="auto"/>
              </w:rPr>
              <w:t>Gross increases (decreases)-tax positions in a prior year</w:t>
            </w:r>
          </w:p>
        </w:tc>
        <w:tc>
          <w:tcPr>
            <w:tcW w:w="440" w:type="dxa"/>
            <w:vAlign w:val="bottom"/>
          </w:tcPr>
          <w:p>
            <w:pPr>
              <w:spacing w:after="0"/>
              <w:rPr>
                <w:sz w:val="18"/>
                <w:szCs w:val="18"/>
                <w:color w:val="auto"/>
              </w:rPr>
            </w:pP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1,173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55"/>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(536)</w:t>
            </w:r>
          </w:p>
        </w:tc>
      </w:tr>
      <w:tr>
        <w:trPr>
          <w:trHeight w:val="216"/>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Gross increases-current year tax positions</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w:t>
            </w:r>
          </w:p>
        </w:tc>
      </w:tr>
      <w:tr>
        <w:trPr>
          <w:trHeight w:val="196"/>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Balance at end of year</w:t>
            </w: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2,822</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1,220</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1,195</w:t>
            </w:r>
          </w:p>
        </w:tc>
      </w:tr>
      <w:tr>
        <w:trPr>
          <w:trHeight w:val="216"/>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Accrued interest and penalties</w:t>
            </w: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769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525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411</w:t>
            </w:r>
          </w:p>
        </w:tc>
      </w:tr>
      <w:tr>
        <w:trPr>
          <w:trHeight w:val="190"/>
        </w:trPr>
        <w:tc>
          <w:tcPr>
            <w:tcW w:w="5740" w:type="dxa"/>
            <w:vAlign w:val="bottom"/>
            <w:gridSpan w:val="2"/>
          </w:tcPr>
          <w:p>
            <w:pPr>
              <w:ind w:left="220"/>
              <w:spacing w:after="0"/>
              <w:rPr>
                <w:sz w:val="20"/>
                <w:szCs w:val="20"/>
                <w:color w:val="auto"/>
              </w:rPr>
            </w:pPr>
            <w:r>
              <w:rPr>
                <w:rFonts w:ascii="Arial" w:cs="Arial" w:eastAsia="Arial" w:hAnsi="Arial"/>
                <w:sz w:val="13"/>
                <w:szCs w:val="13"/>
                <w:color w:val="auto"/>
              </w:rPr>
              <w:t>Total unrecognized tax benefits</w:t>
            </w: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3,591</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1,745</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1,606</w:t>
            </w:r>
          </w:p>
        </w:tc>
      </w:tr>
      <w:tr>
        <w:trPr>
          <w:trHeight w:val="20"/>
        </w:trPr>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right="80"/>
        <w:spacing w:after="0" w:line="292" w:lineRule="auto"/>
        <w:rPr>
          <w:sz w:val="20"/>
          <w:szCs w:val="20"/>
          <w:color w:val="auto"/>
        </w:rPr>
      </w:pPr>
      <w:r>
        <w:rPr>
          <w:rFonts w:ascii="Arial" w:cs="Arial" w:eastAsia="Arial" w:hAnsi="Arial"/>
          <w:sz w:val="12"/>
          <w:szCs w:val="12"/>
          <w:color w:val="auto"/>
        </w:rPr>
        <w:t>The amount of unrecognized tax benefits is not expected to change materially within the next 12 months. If the remaining uncertain tax positions are ultimately resolved favorably, $2.8 million of unrecognized tax benefits would have a positive impact on our effective tax rate. It is our policy to recognize interest and penalties accrued relative to unrecognized tax benefits in income tax expense.</w:t>
      </w:r>
    </w:p>
    <w:p>
      <w:pPr>
        <w:spacing w:after="0" w:line="117"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31, 2019, our federal returns from Fiscal 2016 to present are subject to review by the IRS. With limited exception, state returns from Fiscal 2015 to present continue to be subject to review by state taxing jurisdictions. Several years may lapse before an uncertain tax position is audited and finally resolved and it is difficult to predict the outcome of such audits.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20"/>
                <w:szCs w:val="20"/>
                <w:color w:val="auto"/>
              </w:rPr>
            </w:pPr>
            <w:r>
              <w:rPr>
                <w:rFonts w:ascii="Arial" w:cs="Arial" w:eastAsia="Arial" w:hAnsi="Arial"/>
                <w:sz w:val="13"/>
                <w:szCs w:val="13"/>
                <w:b w:val="1"/>
                <w:bCs w:val="1"/>
                <w:color w:val="auto"/>
              </w:rPr>
              <w:t>Note 16: Income per Share</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2"/>
        </w:trPr>
        <w:tc>
          <w:tcPr>
            <w:tcW w:w="6080" w:type="dxa"/>
            <w:vAlign w:val="bottom"/>
          </w:tcPr>
          <w:p>
            <w:pPr>
              <w:spacing w:after="0"/>
              <w:rPr>
                <w:sz w:val="20"/>
                <w:szCs w:val="20"/>
                <w:color w:val="auto"/>
              </w:rPr>
            </w:pPr>
            <w:r>
              <w:rPr>
                <w:rFonts w:ascii="Arial" w:cs="Arial" w:eastAsia="Arial" w:hAnsi="Arial"/>
                <w:sz w:val="13"/>
                <w:szCs w:val="13"/>
                <w:color w:val="auto"/>
              </w:rPr>
              <w:t>The following table reflects the calculation of basic and diluted income per share:</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2017</w:t>
            </w:r>
          </w:p>
        </w:tc>
      </w:tr>
      <w:tr>
        <w:trPr>
          <w:trHeight w:val="214"/>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4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111,798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102,357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71,330</w:t>
            </w:r>
          </w:p>
        </w:tc>
      </w:tr>
      <w:tr>
        <w:trPr>
          <w:trHeight w:val="201"/>
        </w:trPr>
        <w:tc>
          <w:tcPr>
            <w:tcW w:w="6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8"/>
        </w:trPr>
        <w:tc>
          <w:tcPr>
            <w:tcW w:w="6080" w:type="dxa"/>
            <w:vAlign w:val="bottom"/>
          </w:tcPr>
          <w:p>
            <w:pPr>
              <w:ind w:left="20"/>
              <w:spacing w:after="0"/>
              <w:rPr>
                <w:sz w:val="20"/>
                <w:szCs w:val="20"/>
                <w:color w:val="auto"/>
              </w:rPr>
            </w:pPr>
            <w:r>
              <w:rPr>
                <w:rFonts w:ascii="Arial" w:cs="Arial" w:eastAsia="Arial" w:hAnsi="Arial"/>
                <w:sz w:val="13"/>
                <w:szCs w:val="13"/>
                <w:b w:val="1"/>
                <w:bCs w:val="1"/>
                <w:color w:val="auto"/>
              </w:rPr>
              <w:t>Denominator</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31,536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31,596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30,648</w:t>
            </w:r>
          </w:p>
        </w:tc>
      </w:tr>
      <w:tr>
        <w:trPr>
          <w:trHeight w:val="20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Dilutive impact of stock compensation awards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185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218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118</w:t>
            </w:r>
          </w:p>
        </w:tc>
      </w:tr>
      <w:tr>
        <w:trPr>
          <w:trHeight w:val="19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 assuming dilution</w:t>
            </w: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31,721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31,814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30,766</w:t>
            </w: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1"/>
        </w:trPr>
        <w:tc>
          <w:tcPr>
            <w:tcW w:w="6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Anti-dilutive securities excluded from Weighted average common shares outstanding, assuming dilution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56</w:t>
            </w:r>
          </w:p>
        </w:tc>
      </w:tr>
      <w:tr>
        <w:trPr>
          <w:trHeight w:val="259"/>
        </w:trPr>
        <w:tc>
          <w:tcPr>
            <w:tcW w:w="6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income per common share</w:t>
            </w:r>
          </w:p>
        </w:tc>
        <w:tc>
          <w:tcPr>
            <w:tcW w:w="42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2.33</w:t>
            </w:r>
          </w:p>
        </w:tc>
      </w:tr>
      <w:tr>
        <w:trPr>
          <w:trHeight w:val="200"/>
        </w:trPr>
        <w:tc>
          <w:tcPr>
            <w:tcW w:w="6080" w:type="dxa"/>
            <w:vAlign w:val="bottom"/>
          </w:tcPr>
          <w:p>
            <w:pPr>
              <w:ind w:left="20"/>
              <w:spacing w:after="0"/>
              <w:rPr>
                <w:sz w:val="20"/>
                <w:szCs w:val="20"/>
                <w:color w:val="auto"/>
              </w:rPr>
            </w:pPr>
            <w:r>
              <w:rPr>
                <w:rFonts w:ascii="Arial" w:cs="Arial" w:eastAsia="Arial" w:hAnsi="Arial"/>
                <w:sz w:val="13"/>
                <w:szCs w:val="13"/>
                <w:color w:val="auto"/>
              </w:rPr>
              <w:t>Diluted income per common share</w:t>
            </w:r>
          </w:p>
        </w:tc>
        <w:tc>
          <w:tcPr>
            <w:tcW w:w="42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2.32</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Anti-dilutive securities were not included in the computation of diluted income per share, because they are considered anti-dilutive under the treasury stock method.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460"/>
          </w:cols>
          <w:pgMar w:left="220" w:top="119" w:right="21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17: Accumulated Other Comprehensive Income (Loss)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Changes in Accumulated Other Comprehensive Income ("AOCI") by component, net of tax,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7"/>
        </w:trPr>
        <w:tc>
          <w:tcPr>
            <w:tcW w:w="2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Defined Benefit</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Defined Benefit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Pension Items</w:t>
            </w: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Interest Rate Swap</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Pension Items</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Interest Rate Swap</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Total</w:t>
            </w: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892</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(509)</w:t>
            </w:r>
          </w:p>
        </w:tc>
        <w:tc>
          <w:tcPr>
            <w:tcW w:w="36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w:t>
            </w:r>
          </w:p>
        </w:tc>
      </w:tr>
      <w:tr>
        <w:trPr>
          <w:trHeight w:val="208"/>
        </w:trPr>
        <w:tc>
          <w:tcPr>
            <w:tcW w:w="2680" w:type="dxa"/>
            <w:vAlign w:val="bottom"/>
          </w:tcPr>
          <w:p>
            <w:pPr>
              <w:ind w:left="140"/>
              <w:spacing w:after="0"/>
              <w:rPr>
                <w:sz w:val="20"/>
                <w:szCs w:val="20"/>
                <w:color w:val="auto"/>
              </w:rPr>
            </w:pPr>
            <w:r>
              <w:rPr>
                <w:rFonts w:ascii="Arial" w:cs="Arial" w:eastAsia="Arial" w:hAnsi="Arial"/>
                <w:sz w:val="13"/>
                <w:szCs w:val="13"/>
                <w:color w:val="auto"/>
              </w:rPr>
              <w:t>OCI before reclassifications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3"/>
                <w:szCs w:val="13"/>
                <w:color w:val="auto"/>
              </w:rPr>
              <w:t>(1,415)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1,947</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Amounts reclassified from AOCI</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w:t>
            </w:r>
          </w:p>
        </w:tc>
      </w:tr>
      <w:tr>
        <w:trPr>
          <w:trHeight w:val="196"/>
        </w:trPr>
        <w:tc>
          <w:tcPr>
            <w:tcW w:w="2680" w:type="dxa"/>
            <w:vAlign w:val="bottom"/>
          </w:tcPr>
          <w:p>
            <w:pPr>
              <w:ind w:left="220"/>
              <w:spacing w:after="0"/>
              <w:rPr>
                <w:sz w:val="20"/>
                <w:szCs w:val="20"/>
                <w:color w:val="auto"/>
              </w:rPr>
            </w:pPr>
            <w:r>
              <w:rPr>
                <w:rFonts w:ascii="Arial" w:cs="Arial" w:eastAsia="Arial" w:hAnsi="Arial"/>
                <w:sz w:val="13"/>
                <w:szCs w:val="13"/>
                <w:color w:val="auto"/>
              </w:rPr>
              <w:t>Net current-year OCI</w:t>
            </w:r>
          </w:p>
        </w:tc>
        <w:tc>
          <w:tcPr>
            <w:tcW w:w="6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(1,415)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1,947</w:t>
            </w: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1,974</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Reclassification to retained earnings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190"/>
        </w:trPr>
        <w:tc>
          <w:tcPr>
            <w:tcW w:w="2680" w:type="dxa"/>
            <w:vAlign w:val="bottom"/>
          </w:tcPr>
          <w:p>
            <w:pPr>
              <w:ind w:left="20"/>
              <w:spacing w:after="0"/>
              <w:rPr>
                <w:sz w:val="20"/>
                <w:szCs w:val="20"/>
                <w:color w:val="auto"/>
              </w:rPr>
            </w:pPr>
            <w:r>
              <w:rPr>
                <w:rFonts w:ascii="Arial" w:cs="Arial" w:eastAsia="Arial" w:hAnsi="Arial"/>
                <w:sz w:val="13"/>
                <w:szCs w:val="13"/>
                <w:color w:val="auto"/>
              </w:rPr>
              <w:t>Balance at end of year</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(559)</w:t>
            </w:r>
          </w:p>
        </w:tc>
        <w:tc>
          <w:tcPr>
            <w:tcW w:w="120" w:type="dxa"/>
            <w:vAlign w:val="bottom"/>
          </w:tcPr>
          <w:p>
            <w:pPr>
              <w:spacing w:after="0"/>
              <w:rPr>
                <w:sz w:val="16"/>
                <w:szCs w:val="16"/>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6"/>
                <w:szCs w:val="16"/>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(491)</w:t>
            </w:r>
          </w:p>
        </w:tc>
        <w:tc>
          <w:tcPr>
            <w:tcW w:w="8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(591)</w:t>
            </w:r>
          </w:p>
        </w:tc>
        <w:tc>
          <w:tcPr>
            <w:tcW w:w="360" w:type="dxa"/>
            <w:vAlign w:val="bottom"/>
            <w:gridSpan w:val="3"/>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1,483</w:t>
            </w:r>
          </w:p>
        </w:tc>
        <w:tc>
          <w:tcPr>
            <w:tcW w:w="60" w:type="dxa"/>
            <w:vAlign w:val="bottom"/>
          </w:tcPr>
          <w:p>
            <w:pPr>
              <w:spacing w:after="0"/>
              <w:rPr>
                <w:sz w:val="16"/>
                <w:szCs w:val="16"/>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892</w:t>
            </w:r>
          </w:p>
        </w:tc>
      </w:tr>
      <w:tr>
        <w:trPr>
          <w:trHeight w:val="20"/>
        </w:trPr>
        <w:tc>
          <w:tcPr>
            <w:tcW w:w="334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2"/>
        </w:trPr>
        <w:tc>
          <w:tcPr>
            <w:tcW w:w="4720" w:type="dxa"/>
            <w:vAlign w:val="bottom"/>
            <w:gridSpan w:val="5"/>
          </w:tcPr>
          <w:p>
            <w:pPr>
              <w:spacing w:after="0"/>
              <w:rPr>
                <w:sz w:val="20"/>
                <w:szCs w:val="20"/>
                <w:color w:val="auto"/>
              </w:rPr>
            </w:pPr>
            <w:r>
              <w:rPr>
                <w:rFonts w:ascii="Arial" w:cs="Arial" w:eastAsia="Arial" w:hAnsi="Arial"/>
                <w:sz w:val="13"/>
                <w:szCs w:val="13"/>
                <w:color w:val="auto"/>
              </w:rPr>
              <w:t>Reclassifications out of AOCI in net periodic benefit costs, net of tax, were:</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0"/>
        </w:trPr>
        <w:tc>
          <w:tcPr>
            <w:tcW w:w="2680" w:type="dxa"/>
            <w:vAlign w:val="bottom"/>
          </w:tcPr>
          <w:p>
            <w:pPr>
              <w:spacing w:after="0"/>
              <w:rPr>
                <w:sz w:val="22"/>
                <w:szCs w:val="22"/>
                <w:color w:val="auto"/>
              </w:rPr>
            </w:pPr>
          </w:p>
        </w:tc>
        <w:tc>
          <w:tcPr>
            <w:tcW w:w="4780" w:type="dxa"/>
            <w:vAlign w:val="bottom"/>
            <w:gridSpan w:val="10"/>
          </w:tcPr>
          <w:p>
            <w:pPr>
              <w:ind w:left="480"/>
              <w:spacing w:after="0"/>
              <w:rPr>
                <w:sz w:val="20"/>
                <w:szCs w:val="20"/>
                <w:color w:val="auto"/>
              </w:rPr>
            </w:pPr>
            <w:r>
              <w:rPr>
                <w:rFonts w:ascii="Arial" w:cs="Arial" w:eastAsia="Arial" w:hAnsi="Arial"/>
                <w:sz w:val="13"/>
                <w:szCs w:val="13"/>
                <w:b w:val="1"/>
                <w:bCs w:val="1"/>
                <w:color w:val="auto"/>
              </w:rPr>
              <w:t>Location on Consolidated Statements of Income and Comprehensive</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3"/>
                <w:szCs w:val="13"/>
                <w:b w:val="1"/>
                <w:bCs w:val="1"/>
                <w:color w:val="auto"/>
              </w:rPr>
              <w:t>Income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2017</w:t>
            </w: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credit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SG&amp;A</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(25,035)</w:t>
            </w:r>
          </w:p>
        </w:tc>
      </w:tr>
      <w:tr>
        <w:trPr>
          <w:trHeight w:val="208"/>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net actuarial loss</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SG&amp;A</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9,705</w:t>
            </w:r>
          </w:p>
        </w:tc>
      </w:tr>
      <w:tr>
        <w:trPr>
          <w:trHeight w:val="190"/>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reclassifications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w:t>
            </w: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(15,330)</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18: Interim Financial Information (Unaudited)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show selected operating results for each 3-month quarter of Fiscal 2019 and 2018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60" w:type="dxa"/>
            <w:vAlign w:val="bottom"/>
          </w:tcPr>
          <w:p>
            <w:pPr>
              <w:ind w:left="20"/>
              <w:spacing w:after="0"/>
              <w:rPr>
                <w:sz w:val="20"/>
                <w:szCs w:val="20"/>
                <w:color w:val="auto"/>
              </w:rPr>
            </w:pPr>
            <w:r>
              <w:rPr>
                <w:rFonts w:ascii="Arial" w:cs="Arial" w:eastAsia="Arial" w:hAnsi="Arial"/>
                <w:sz w:val="13"/>
                <w:szCs w:val="13"/>
                <w:b w:val="1"/>
                <w:bCs w:val="1"/>
                <w:color w:val="auto"/>
              </w:rPr>
              <w:t>Fiscal 2019</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3"/>
                <w:szCs w:val="13"/>
                <w:b w:val="1"/>
                <w:bCs w:val="1"/>
                <w:color w:val="auto"/>
              </w:rPr>
              <w:t>Quarter Ended</w:t>
            </w: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57"/>
        </w:trPr>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November 24,</w:t>
            </w:r>
          </w:p>
        </w:tc>
        <w:tc>
          <w:tcPr>
            <w:tcW w:w="280" w:type="dxa"/>
            <w:vAlign w:val="bottom"/>
          </w:tcPr>
          <w:p>
            <w:pPr>
              <w:spacing w:after="0"/>
              <w:rPr>
                <w:sz w:val="13"/>
                <w:szCs w:val="13"/>
                <w:color w:val="auto"/>
              </w:rPr>
            </w:pPr>
          </w:p>
        </w:tc>
        <w:tc>
          <w:tcPr>
            <w:tcW w:w="1560" w:type="dxa"/>
            <w:vAlign w:val="bottom"/>
            <w:gridSpan w:val="2"/>
          </w:tcPr>
          <w:p>
            <w:pPr>
              <w:ind w:left="200"/>
              <w:spacing w:after="0"/>
              <w:rPr>
                <w:sz w:val="20"/>
                <w:szCs w:val="20"/>
                <w:color w:val="auto"/>
              </w:rPr>
            </w:pPr>
            <w:r>
              <w:rPr>
                <w:rFonts w:ascii="Arial" w:cs="Arial" w:eastAsia="Arial" w:hAnsi="Arial"/>
                <w:sz w:val="13"/>
                <w:szCs w:val="13"/>
                <w:b w:val="1"/>
                <w:bCs w:val="1"/>
                <w:color w:val="auto"/>
              </w:rPr>
              <w:t>February 23,</w:t>
            </w:r>
          </w:p>
        </w:tc>
        <w:tc>
          <w:tcPr>
            <w:tcW w:w="5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b w:val="1"/>
                <w:bCs w:val="1"/>
                <w:color w:val="auto"/>
              </w:rPr>
              <w:t>May 25,</w:t>
            </w: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7"/>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35"/>
              <w:spacing w:after="0" w:line="187" w:lineRule="exact"/>
              <w:rPr>
                <w:sz w:val="20"/>
                <w:szCs w:val="20"/>
                <w:color w:val="auto"/>
              </w:rPr>
            </w:pPr>
            <w:r>
              <w:rPr>
                <w:rFonts w:ascii="Arial" w:cs="Arial" w:eastAsia="Arial" w:hAnsi="Arial"/>
                <w:sz w:val="13"/>
                <w:szCs w:val="13"/>
                <w:b w:val="1"/>
                <w:bCs w:val="1"/>
                <w:color w:val="auto"/>
              </w:rPr>
              <w:t>August 31, 2019</w:t>
            </w:r>
            <w:r>
              <w:rPr>
                <w:rFonts w:ascii="Arial" w:cs="Arial" w:eastAsia="Arial" w:hAnsi="Arial"/>
                <w:sz w:val="17"/>
                <w:szCs w:val="17"/>
                <w:b w:val="1"/>
                <w:bCs w:val="1"/>
                <w:color w:val="auto"/>
                <w:vertAlign w:val="superscript"/>
              </w:rPr>
              <w:t>(1)</w:t>
            </w:r>
          </w:p>
        </w:tc>
      </w:tr>
      <w:tr>
        <w:trPr>
          <w:trHeight w:val="19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493,648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432,690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528,940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530,396</w:t>
            </w:r>
          </w:p>
        </w:tc>
      </w:tr>
      <w:tr>
        <w:trPr>
          <w:trHeight w:val="208"/>
        </w:trPr>
        <w:tc>
          <w:tcPr>
            <w:tcW w:w="42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6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70,996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66,429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86,584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83,188</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28,903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48,974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44,765</w:t>
            </w:r>
          </w:p>
        </w:tc>
      </w:tr>
      <w:tr>
        <w:trPr>
          <w:trHeight w:val="208"/>
        </w:trPr>
        <w:tc>
          <w:tcPr>
            <w:tcW w:w="42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6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22,161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21,598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36,171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31,868</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per share (basic)</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w:t>
            </w:r>
          </w:p>
        </w:tc>
      </w:tr>
      <w:tr>
        <w:trPr>
          <w:trHeight w:val="200"/>
        </w:trPr>
        <w:tc>
          <w:tcPr>
            <w:tcW w:w="4260" w:type="dxa"/>
            <w:vAlign w:val="bottom"/>
          </w:tcPr>
          <w:p>
            <w:pPr>
              <w:ind w:left="20"/>
              <w:spacing w:after="0"/>
              <w:rPr>
                <w:sz w:val="20"/>
                <w:szCs w:val="20"/>
                <w:color w:val="auto"/>
              </w:rPr>
            </w:pPr>
            <w:r>
              <w:rPr>
                <w:rFonts w:ascii="Arial" w:cs="Arial" w:eastAsia="Arial" w:hAnsi="Arial"/>
                <w:sz w:val="13"/>
                <w:szCs w:val="13"/>
                <w:color w:val="auto"/>
              </w:rPr>
              <w:t>Net income per share (diluted)</w:t>
            </w:r>
          </w:p>
        </w:tc>
        <w:tc>
          <w:tcPr>
            <w:tcW w:w="260" w:type="dxa"/>
            <w:vAlign w:val="bottom"/>
          </w:tcPr>
          <w:p>
            <w:pPr>
              <w:spacing w:after="0"/>
              <w:rPr>
                <w:sz w:val="17"/>
                <w:szCs w:val="17"/>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0.70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0.68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1.01</w:t>
            </w:r>
          </w:p>
        </w:tc>
      </w:tr>
      <w:tr>
        <w:trPr>
          <w:trHeight w:val="428"/>
        </w:trPr>
        <w:tc>
          <w:tcPr>
            <w:tcW w:w="4260" w:type="dxa"/>
            <w:vAlign w:val="bottom"/>
          </w:tcPr>
          <w:p>
            <w:pPr>
              <w:ind w:left="20"/>
              <w:spacing w:after="0"/>
              <w:rPr>
                <w:sz w:val="20"/>
                <w:szCs w:val="20"/>
                <w:color w:val="auto"/>
              </w:rPr>
            </w:pPr>
            <w:r>
              <w:rPr>
                <w:rFonts w:ascii="Arial" w:cs="Arial" w:eastAsia="Arial" w:hAnsi="Arial"/>
                <w:sz w:val="13"/>
                <w:szCs w:val="13"/>
                <w:b w:val="1"/>
                <w:bCs w:val="1"/>
                <w:color w:val="auto"/>
              </w:rPr>
              <w:t>Fiscal 2018</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3"/>
                <w:szCs w:val="13"/>
                <w:b w:val="1"/>
                <w:bCs w:val="1"/>
                <w:color w:val="auto"/>
              </w:rPr>
              <w:t>Quarter Ended</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57"/>
        </w:trPr>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November 25,</w:t>
            </w:r>
          </w:p>
        </w:tc>
        <w:tc>
          <w:tcPr>
            <w:tcW w:w="280" w:type="dxa"/>
            <w:vAlign w:val="bottom"/>
          </w:tcPr>
          <w:p>
            <w:pPr>
              <w:spacing w:after="0"/>
              <w:rPr>
                <w:sz w:val="13"/>
                <w:szCs w:val="13"/>
                <w:color w:val="auto"/>
              </w:rPr>
            </w:pPr>
          </w:p>
        </w:tc>
        <w:tc>
          <w:tcPr>
            <w:tcW w:w="1560" w:type="dxa"/>
            <w:vAlign w:val="bottom"/>
            <w:gridSpan w:val="2"/>
          </w:tcPr>
          <w:p>
            <w:pPr>
              <w:ind w:left="200"/>
              <w:spacing w:after="0"/>
              <w:rPr>
                <w:sz w:val="20"/>
                <w:szCs w:val="20"/>
                <w:color w:val="auto"/>
              </w:rPr>
            </w:pPr>
            <w:r>
              <w:rPr>
                <w:rFonts w:ascii="Arial" w:cs="Arial" w:eastAsia="Arial" w:hAnsi="Arial"/>
                <w:sz w:val="13"/>
                <w:szCs w:val="13"/>
                <w:b w:val="1"/>
                <w:bCs w:val="1"/>
                <w:color w:val="auto"/>
              </w:rPr>
              <w:t>February 24,</w:t>
            </w:r>
          </w:p>
        </w:tc>
        <w:tc>
          <w:tcPr>
            <w:tcW w:w="5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b w:val="1"/>
                <w:bCs w:val="1"/>
                <w:color w:val="auto"/>
              </w:rPr>
              <w:t>May 26,</w:t>
            </w:r>
          </w:p>
        </w:tc>
        <w:tc>
          <w:tcPr>
            <w:tcW w:w="200" w:type="dxa"/>
            <w:vAlign w:val="bottom"/>
          </w:tcPr>
          <w:p>
            <w:pPr>
              <w:spacing w:after="0"/>
              <w:rPr>
                <w:sz w:val="13"/>
                <w:szCs w:val="13"/>
                <w:color w:val="auto"/>
              </w:rPr>
            </w:pPr>
          </w:p>
        </w:tc>
        <w:tc>
          <w:tcPr>
            <w:tcW w:w="1500" w:type="dxa"/>
            <w:vAlign w:val="bottom"/>
          </w:tcPr>
          <w:p>
            <w:pPr>
              <w:jc w:val="right"/>
              <w:ind w:right="475"/>
              <w:spacing w:after="0"/>
              <w:rPr>
                <w:sz w:val="20"/>
                <w:szCs w:val="20"/>
                <w:color w:val="auto"/>
              </w:rPr>
            </w:pPr>
            <w:r>
              <w:rPr>
                <w:rFonts w:ascii="Arial" w:cs="Arial" w:eastAsia="Arial" w:hAnsi="Arial"/>
                <w:sz w:val="13"/>
                <w:szCs w:val="13"/>
                <w:b w:val="1"/>
                <w:bCs w:val="1"/>
                <w:color w:val="auto"/>
              </w:rPr>
              <w:t>August 25,</w:t>
            </w:r>
          </w:p>
        </w:tc>
      </w:tr>
      <w:tr>
        <w:trPr>
          <w:trHeight w:val="179"/>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2018</w:t>
            </w:r>
          </w:p>
        </w:tc>
      </w:tr>
      <w:tr>
        <w:trPr>
          <w:trHeight w:val="203"/>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450,021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468,359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562,261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536,188</w:t>
            </w:r>
          </w:p>
        </w:tc>
      </w:tr>
      <w:tr>
        <w:trPr>
          <w:trHeight w:val="208"/>
        </w:trPr>
        <w:tc>
          <w:tcPr>
            <w:tcW w:w="42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6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62,831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67,661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85,514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83,830</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35,251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48,277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45,688</w:t>
            </w:r>
          </w:p>
        </w:tc>
      </w:tr>
      <w:tr>
        <w:trPr>
          <w:trHeight w:val="208"/>
        </w:trPr>
        <w:tc>
          <w:tcPr>
            <w:tcW w:w="42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6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17,958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22,088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32,521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29,790</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per share (basic)</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0.70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0.94</w:t>
            </w:r>
          </w:p>
        </w:tc>
      </w:tr>
      <w:tr>
        <w:trPr>
          <w:trHeight w:val="200"/>
        </w:trPr>
        <w:tc>
          <w:tcPr>
            <w:tcW w:w="4260" w:type="dxa"/>
            <w:vAlign w:val="bottom"/>
          </w:tcPr>
          <w:p>
            <w:pPr>
              <w:ind w:left="20"/>
              <w:spacing w:after="0"/>
              <w:rPr>
                <w:sz w:val="20"/>
                <w:szCs w:val="20"/>
                <w:color w:val="auto"/>
              </w:rPr>
            </w:pPr>
            <w:r>
              <w:rPr>
                <w:rFonts w:ascii="Arial" w:cs="Arial" w:eastAsia="Arial" w:hAnsi="Arial"/>
                <w:sz w:val="13"/>
                <w:szCs w:val="13"/>
                <w:color w:val="auto"/>
              </w:rPr>
              <w:t>Net income per share (diluted)</w:t>
            </w:r>
          </w:p>
        </w:tc>
        <w:tc>
          <w:tcPr>
            <w:tcW w:w="260" w:type="dxa"/>
            <w:vAlign w:val="bottom"/>
          </w:tcPr>
          <w:p>
            <w:pPr>
              <w:spacing w:after="0"/>
              <w:rPr>
                <w:sz w:val="17"/>
                <w:szCs w:val="17"/>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0.57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0.69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0.94</w:t>
            </w:r>
          </w:p>
        </w:tc>
      </w:tr>
    </w:tbl>
    <w:p>
      <w:pPr>
        <w:spacing w:after="0" w:line="63" w:lineRule="exact"/>
        <w:rPr>
          <w:sz w:val="20"/>
          <w:szCs w:val="20"/>
          <w:color w:val="auto"/>
        </w:rPr>
      </w:pPr>
    </w:p>
    <w:p>
      <w:pPr>
        <w:ind w:left="200" w:right="160" w:hanging="194"/>
        <w:spacing w:after="0" w:line="267" w:lineRule="auto"/>
        <w:tabs>
          <w:tab w:leader="none" w:pos="2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During the quarter ended August 31, 2019, we recorded a $10.8 million reduction of WIP inventory and increase to Cost of goods sold for the cumulative correction of an immaterial error related to prior periods. The error was not material to our Consolidated Financial Statements for any quarterly or annual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60"/>
          </w:cols>
          <w:pgMar w:left="220" w:top="141" w:right="21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68"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44" w:lineRule="exact"/>
        <w:rPr>
          <w:sz w:val="20"/>
          <w:szCs w:val="20"/>
          <w:color w:val="auto"/>
        </w:rPr>
      </w:pPr>
    </w:p>
    <w:p>
      <w:pPr>
        <w:ind w:right="220"/>
        <w:spacing w:after="0" w:line="246" w:lineRule="auto"/>
        <w:rPr>
          <w:sz w:val="20"/>
          <w:szCs w:val="20"/>
          <w:color w:val="auto"/>
        </w:rPr>
      </w:pPr>
      <w:r>
        <w:rPr>
          <w:rFonts w:ascii="Arial" w:cs="Arial" w:eastAsia="Arial" w:hAnsi="Arial"/>
          <w:sz w:val="13"/>
          <w:szCs w:val="13"/>
          <w:color w:val="auto"/>
        </w:rPr>
        <w:t>Our management, under the supervision and with the participation of our Chief Executive Officer and Chief Financial Officer, has evaluated the effectiveness of the design and operation of our disclosure controls and procedures (as defined in the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Internal Control Over Financial Reporting</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color w:val="auto"/>
        </w:rPr>
        <w:t xml:space="preserve">Management's report on internal control over financial reporting as of August 31, 2019 is included within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xml:space="preserve">, of this Annual Report on Form 10-K and is incorporated herein by reference. The report of Deloitte &amp; Touche LLP on the effectiveness of internal control over financial reporting is included within Item 8, </w:t>
      </w:r>
      <w:r>
        <w:rPr>
          <w:rFonts w:ascii="Arial" w:cs="Arial" w:eastAsia="Arial" w:hAnsi="Arial"/>
          <w:sz w:val="13"/>
          <w:szCs w:val="13"/>
          <w:i w:val="1"/>
          <w:iCs w:val="1"/>
          <w:color w:val="auto"/>
        </w:rPr>
        <w:t>Financial Statements and</w:t>
      </w:r>
      <w:r>
        <w:rPr>
          <w:rFonts w:ascii="Arial" w:cs="Arial" w:eastAsia="Arial" w:hAnsi="Arial"/>
          <w:sz w:val="13"/>
          <w:szCs w:val="13"/>
          <w:color w:val="auto"/>
        </w:rPr>
        <w:t xml:space="preserve"> </w:t>
      </w:r>
      <w:r>
        <w:rPr>
          <w:rFonts w:ascii="Arial" w:cs="Arial" w:eastAsia="Arial" w:hAnsi="Arial"/>
          <w:sz w:val="13"/>
          <w:szCs w:val="13"/>
          <w:i w:val="1"/>
          <w:iCs w:val="1"/>
          <w:color w:val="auto"/>
        </w:rPr>
        <w:t>Supplementary Data</w:t>
      </w:r>
      <w:r>
        <w:rPr>
          <w:rFonts w:ascii="Arial" w:cs="Arial" w:eastAsia="Arial" w:hAnsi="Arial"/>
          <w:sz w:val="13"/>
          <w:szCs w:val="13"/>
          <w:color w:val="auto"/>
        </w:rPr>
        <w:t>, of this Annual Report on Form 10-K and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68"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There were no changes in internal control over financial reporting during the fourth fiscal quarter ended August 31, 2019 that have materially affected, or are reasonably likely to materially affect, our internal control over financial reporting.</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implementing an Enterprise Resource Planning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60"/>
          </w:cols>
          <w:pgMar w:left="220" w:top="141" w:right="21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III</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154"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 xml:space="preserve">Reference is made to the table entitled "Information about our Executive Officers" in Part I of this report and to the information included under the captions </w:t>
      </w:r>
      <w:r>
        <w:rPr>
          <w:rFonts w:ascii="Arial" w:cs="Arial" w:eastAsia="Arial" w:hAnsi="Arial"/>
          <w:sz w:val="12"/>
          <w:szCs w:val="12"/>
          <w:i w:val="1"/>
          <w:iCs w:val="1"/>
          <w:color w:val="auto"/>
        </w:rPr>
        <w:t>Corporate Governance</w:t>
      </w:r>
      <w:r>
        <w:rPr>
          <w:rFonts w:ascii="Arial" w:cs="Arial" w:eastAsia="Arial" w:hAnsi="Arial"/>
          <w:sz w:val="12"/>
          <w:szCs w:val="12"/>
          <w:color w:val="auto"/>
        </w:rPr>
        <w:t xml:space="preserve">, </w:t>
      </w:r>
      <w:r>
        <w:rPr>
          <w:rFonts w:ascii="Arial" w:cs="Arial" w:eastAsia="Arial" w:hAnsi="Arial"/>
          <w:sz w:val="12"/>
          <w:szCs w:val="12"/>
          <w:i w:val="1"/>
          <w:iCs w:val="1"/>
          <w:color w:val="auto"/>
        </w:rPr>
        <w:t>Election of Directors</w:t>
      </w:r>
      <w:r>
        <w:rPr>
          <w:rFonts w:ascii="Arial" w:cs="Arial" w:eastAsia="Arial" w:hAnsi="Arial"/>
          <w:sz w:val="12"/>
          <w:szCs w:val="12"/>
          <w:color w:val="auto"/>
        </w:rPr>
        <w:t xml:space="preserve">, and </w:t>
      </w:r>
      <w:r>
        <w:rPr>
          <w:rFonts w:ascii="Arial" w:cs="Arial" w:eastAsia="Arial" w:hAnsi="Arial"/>
          <w:sz w:val="12"/>
          <w:szCs w:val="12"/>
          <w:i w:val="1"/>
          <w:iCs w:val="1"/>
          <w:color w:val="auto"/>
        </w:rPr>
        <w:t>Fiscal 2020 Shareholder Proposals</w:t>
      </w:r>
      <w:r>
        <w:rPr>
          <w:rFonts w:ascii="Arial" w:cs="Arial" w:eastAsia="Arial" w:hAnsi="Arial"/>
          <w:sz w:val="12"/>
          <w:szCs w:val="12"/>
          <w:color w:val="auto"/>
        </w:rPr>
        <w:t xml:space="preserve"> in our Proxy Statement for the Annual Meeting of Shareholders scheduled to be held December 17, 2019, which information is incorporated by reference herein.</w:t>
      </w:r>
    </w:p>
    <w:p>
      <w:pPr>
        <w:spacing w:after="0" w:line="103" w:lineRule="exact"/>
        <w:rPr>
          <w:sz w:val="20"/>
          <w:szCs w:val="20"/>
          <w:color w:val="auto"/>
        </w:rPr>
      </w:pPr>
    </w:p>
    <w:p>
      <w:pPr>
        <w:ind w:right="140"/>
        <w:spacing w:after="0" w:line="246" w:lineRule="auto"/>
        <w:rPr>
          <w:sz w:val="20"/>
          <w:szCs w:val="20"/>
          <w:color w:val="auto"/>
        </w:rPr>
      </w:pPr>
      <w:r>
        <w:rPr>
          <w:rFonts w:ascii="Arial" w:cs="Arial" w:eastAsia="Arial" w:hAnsi="Arial"/>
          <w:sz w:val="13"/>
          <w:szCs w:val="13"/>
          <w:color w:val="auto"/>
        </w:rPr>
        <w:t>We have adopted a written code of ethics, the "Code of Conduct" (the "Code"), which is applicable to each our employees, including our Chief Executive Officer, Chief Financial Officer, and Treasurer (such three officers, collectively, the "Senior Officers"). In accordance with the rules and regulations of the SEC, a copy of the Code is posted on our website at www.winnebagoind.com in the "Company" section under "Investor Relations -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We intend to disclose any changes in or waivers from the Code applicable to any Senior Officer on our website at www.winnebagoind.com or by filing a Form 8-K.</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3"/>
          <w:szCs w:val="13"/>
          <w:color w:val="auto"/>
        </w:rPr>
        <w:t xml:space="preserve">Reference is made to the information included under the captions </w:t>
      </w:r>
      <w:r>
        <w:rPr>
          <w:rFonts w:ascii="Arial" w:cs="Arial" w:eastAsia="Arial" w:hAnsi="Arial"/>
          <w:sz w:val="13"/>
          <w:szCs w:val="13"/>
          <w:i w:val="1"/>
          <w:iCs w:val="1"/>
          <w:color w:val="auto"/>
        </w:rPr>
        <w:t>Director Compensation</w:t>
      </w:r>
      <w:r>
        <w:rPr>
          <w:rFonts w:ascii="Arial" w:cs="Arial" w:eastAsia="Arial" w:hAnsi="Arial"/>
          <w:sz w:val="13"/>
          <w:szCs w:val="13"/>
          <w:color w:val="auto"/>
        </w:rPr>
        <w:t xml:space="preserve"> and </w:t>
      </w:r>
      <w:r>
        <w:rPr>
          <w:rFonts w:ascii="Arial" w:cs="Arial" w:eastAsia="Arial" w:hAnsi="Arial"/>
          <w:sz w:val="13"/>
          <w:szCs w:val="13"/>
          <w:i w:val="1"/>
          <w:iCs w:val="1"/>
          <w:color w:val="auto"/>
        </w:rPr>
        <w:t>Executive Compensation</w:t>
      </w:r>
      <w:r>
        <w:rPr>
          <w:rFonts w:ascii="Arial" w:cs="Arial" w:eastAsia="Arial" w:hAnsi="Arial"/>
          <w:sz w:val="13"/>
          <w:szCs w:val="13"/>
          <w:color w:val="auto"/>
        </w:rPr>
        <w:t xml:space="preserve"> in our Proxy Statement for the Annual Meeting of Shareholders scheduled to be held December 17, 2019, which information is incorporated by reference herein.</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Stockholder Matters.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color w:val="auto"/>
        </w:rPr>
        <w:t xml:space="preserve">Reference is made to the table entitled </w:t>
      </w:r>
      <w:r>
        <w:rPr>
          <w:rFonts w:ascii="Arial" w:cs="Arial" w:eastAsia="Arial" w:hAnsi="Arial"/>
          <w:sz w:val="13"/>
          <w:szCs w:val="13"/>
          <w:i w:val="1"/>
          <w:iCs w:val="1"/>
          <w:color w:val="auto"/>
        </w:rPr>
        <w:t>Equity Compensation Plan Information</w:t>
      </w:r>
      <w:r>
        <w:rPr>
          <w:rFonts w:ascii="Arial" w:cs="Arial" w:eastAsia="Arial" w:hAnsi="Arial"/>
          <w:sz w:val="13"/>
          <w:szCs w:val="13"/>
          <w:color w:val="auto"/>
        </w:rPr>
        <w:t xml:space="preserve"> included in Item 5, </w:t>
      </w:r>
      <w:r>
        <w:rPr>
          <w:rFonts w:ascii="Arial" w:cs="Arial" w:eastAsia="Arial" w:hAnsi="Arial"/>
          <w:sz w:val="13"/>
          <w:szCs w:val="13"/>
          <w:i w:val="1"/>
          <w:iCs w:val="1"/>
          <w:color w:val="auto"/>
        </w:rPr>
        <w:t>Market for the Registrant's Common Equity, Related Stockholder Matters, and Issuer Purchases of</w:t>
      </w:r>
      <w:r>
        <w:rPr>
          <w:rFonts w:ascii="Arial" w:cs="Arial" w:eastAsia="Arial" w:hAnsi="Arial"/>
          <w:sz w:val="13"/>
          <w:szCs w:val="13"/>
          <w:color w:val="auto"/>
        </w:rPr>
        <w:t xml:space="preserve"> </w:t>
      </w:r>
      <w:r>
        <w:rPr>
          <w:rFonts w:ascii="Arial" w:cs="Arial" w:eastAsia="Arial" w:hAnsi="Arial"/>
          <w:sz w:val="13"/>
          <w:szCs w:val="13"/>
          <w:i w:val="1"/>
          <w:iCs w:val="1"/>
          <w:color w:val="auto"/>
        </w:rPr>
        <w:t>Equity Securities</w:t>
      </w:r>
      <w:r>
        <w:rPr>
          <w:rFonts w:ascii="Arial" w:cs="Arial" w:eastAsia="Arial" w:hAnsi="Arial"/>
          <w:sz w:val="13"/>
          <w:szCs w:val="13"/>
          <w:color w:val="auto"/>
        </w:rPr>
        <w:t>, of this Annual Report on Form 10-K and to the share ownership information included under the caption</w:t>
      </w:r>
      <w:r>
        <w:rPr>
          <w:rFonts w:ascii="Arial" w:cs="Arial" w:eastAsia="Arial" w:hAnsi="Arial"/>
          <w:sz w:val="13"/>
          <w:szCs w:val="13"/>
          <w:i w:val="1"/>
          <w:iCs w:val="1"/>
          <w:color w:val="auto"/>
        </w:rPr>
        <w:t xml:space="preserve"> Voting Securities and Principal Holders Thereof </w:t>
      </w:r>
      <w:r>
        <w:rPr>
          <w:rFonts w:ascii="Arial" w:cs="Arial" w:eastAsia="Arial" w:hAnsi="Arial"/>
          <w:sz w:val="13"/>
          <w:szCs w:val="13"/>
          <w:color w:val="auto"/>
        </w:rPr>
        <w:t>in our Proxy Statement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Annual Meeting of Shareholders scheduled to be held December 17, 2019, which information is incorporated by reference herein.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154" w:lineRule="exact"/>
        <w:rPr>
          <w:sz w:val="20"/>
          <w:szCs w:val="20"/>
          <w:color w:val="auto"/>
        </w:rPr>
      </w:pPr>
    </w:p>
    <w:p>
      <w:pPr>
        <w:ind w:right="360"/>
        <w:spacing w:after="0" w:line="273" w:lineRule="auto"/>
        <w:rPr>
          <w:sz w:val="20"/>
          <w:szCs w:val="20"/>
          <w:color w:val="auto"/>
        </w:rPr>
      </w:pPr>
      <w:r>
        <w:rPr>
          <w:rFonts w:ascii="Arial" w:cs="Arial" w:eastAsia="Arial" w:hAnsi="Arial"/>
          <w:sz w:val="13"/>
          <w:szCs w:val="13"/>
          <w:color w:val="auto"/>
        </w:rPr>
        <w:t xml:space="preserve">Reference is made to the information included under the caption </w:t>
      </w:r>
      <w:r>
        <w:rPr>
          <w:rFonts w:ascii="Arial" w:cs="Arial" w:eastAsia="Arial" w:hAnsi="Arial"/>
          <w:sz w:val="13"/>
          <w:szCs w:val="13"/>
          <w:i w:val="1"/>
          <w:iCs w:val="1"/>
          <w:color w:val="auto"/>
        </w:rPr>
        <w:t>Corporate Governance</w:t>
      </w:r>
      <w:r>
        <w:rPr>
          <w:rFonts w:ascii="Arial" w:cs="Arial" w:eastAsia="Arial" w:hAnsi="Arial"/>
          <w:sz w:val="13"/>
          <w:szCs w:val="13"/>
          <w:color w:val="auto"/>
        </w:rPr>
        <w:t xml:space="preserve"> in our Proxy Statement for the Annual Meeting of Shareholders scheduled to be held December 17, 2019, which information is incorporated by reference herein.</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Accounting Fees and Services.</w:t>
      </w:r>
    </w:p>
    <w:p>
      <w:pPr>
        <w:spacing w:after="0" w:line="154" w:lineRule="exact"/>
        <w:rPr>
          <w:sz w:val="20"/>
          <w:szCs w:val="20"/>
          <w:color w:val="auto"/>
        </w:rPr>
      </w:pPr>
    </w:p>
    <w:p>
      <w:pPr>
        <w:ind w:right="460"/>
        <w:spacing w:after="0" w:line="273" w:lineRule="auto"/>
        <w:rPr>
          <w:sz w:val="20"/>
          <w:szCs w:val="20"/>
          <w:color w:val="auto"/>
        </w:rPr>
      </w:pPr>
      <w:r>
        <w:rPr>
          <w:rFonts w:ascii="Arial" w:cs="Arial" w:eastAsia="Arial" w:hAnsi="Arial"/>
          <w:sz w:val="13"/>
          <w:szCs w:val="13"/>
          <w:color w:val="auto"/>
        </w:rPr>
        <w:t xml:space="preserve">Reference is made to the information included under the caption </w:t>
      </w:r>
      <w:r>
        <w:rPr>
          <w:rFonts w:ascii="Arial" w:cs="Arial" w:eastAsia="Arial" w:hAnsi="Arial"/>
          <w:sz w:val="13"/>
          <w:szCs w:val="13"/>
          <w:i w:val="1"/>
          <w:iCs w:val="1"/>
          <w:color w:val="auto"/>
        </w:rPr>
        <w:t>Independent Registered Public Accountant's Fees and Services</w:t>
      </w:r>
      <w:r>
        <w:rPr>
          <w:rFonts w:ascii="Arial" w:cs="Arial" w:eastAsia="Arial" w:hAnsi="Arial"/>
          <w:sz w:val="13"/>
          <w:szCs w:val="13"/>
          <w:color w:val="auto"/>
        </w:rPr>
        <w:t xml:space="preserve"> in our Proxy Statement for the Annual Meeting of Shareholders scheduled to be held December 17, 2019 which information is incorporated by reference herein.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60"/>
          </w:cols>
          <w:pgMar w:left="220" w:top="141" w:right="21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IV</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Exhibits, Financial Statement Schedules.</w:t>
      </w:r>
    </w:p>
    <w:p>
      <w:pPr>
        <w:spacing w:after="0" w:line="168" w:lineRule="exact"/>
        <w:rPr>
          <w:sz w:val="20"/>
          <w:szCs w:val="20"/>
          <w:color w:val="auto"/>
        </w:rPr>
      </w:pPr>
    </w:p>
    <w:p>
      <w:pPr>
        <w:ind w:left="520" w:hanging="255"/>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consolidated financial statements are set forth under Item 8 of this report.</w:t>
      </w:r>
    </w:p>
    <w:p>
      <w:pPr>
        <w:spacing w:after="0" w:line="152" w:lineRule="exact"/>
        <w:rPr>
          <w:rFonts w:ascii="Arial" w:cs="Arial" w:eastAsia="Arial" w:hAnsi="Arial"/>
          <w:sz w:val="13"/>
          <w:szCs w:val="13"/>
          <w:color w:val="auto"/>
        </w:rPr>
      </w:pPr>
    </w:p>
    <w:p>
      <w:pPr>
        <w:ind w:left="520" w:hanging="255"/>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Financial Statement Schedules: Winnebago Industries, Inc. and Subsidiaries</w:t>
      </w:r>
    </w:p>
    <w:p>
      <w:pPr>
        <w:spacing w:after="0" w:line="152" w:lineRule="exact"/>
        <w:rPr>
          <w:sz w:val="20"/>
          <w:szCs w:val="20"/>
          <w:color w:val="auto"/>
        </w:rPr>
      </w:pPr>
    </w:p>
    <w:p>
      <w:pPr>
        <w:ind w:left="520" w:right="600" w:firstLine="517"/>
        <w:spacing w:after="0" w:line="251" w:lineRule="auto"/>
        <w:rPr>
          <w:sz w:val="20"/>
          <w:szCs w:val="20"/>
          <w:color w:val="auto"/>
        </w:rPr>
      </w:pPr>
      <w:r>
        <w:rPr>
          <w:rFonts w:ascii="Arial" w:cs="Arial" w:eastAsia="Arial" w:hAnsi="Arial"/>
          <w:sz w:val="13"/>
          <w:szCs w:val="13"/>
          <w:color w:val="auto"/>
        </w:rPr>
        <w:t>All schedules are omitted because of the absence of the conditions under which they are required or because the information required is shown in the consolidated financial statements or the notes thereto.</w:t>
      </w:r>
    </w:p>
    <w:p>
      <w:pPr>
        <w:spacing w:after="0" w:line="140" w:lineRule="exact"/>
        <w:rPr>
          <w:sz w:val="20"/>
          <w:szCs w:val="20"/>
          <w:color w:val="auto"/>
        </w:rPr>
      </w:pPr>
    </w:p>
    <w:p>
      <w:pPr>
        <w:ind w:left="520" w:hanging="255"/>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Exhibit Index</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Borders>
              <w:bottom w:val="single" w:sz="8" w:color="auto"/>
            </w:tcBorders>
            <w:gridSpan w:val="5"/>
          </w:tcPr>
          <w:p>
            <w:pPr>
              <w:jc w:val="right"/>
              <w:ind w:right="735"/>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No.</w:t>
            </w:r>
          </w:p>
        </w:tc>
        <w:tc>
          <w:tcPr>
            <w:tcW w:w="140" w:type="dxa"/>
            <w:vAlign w:val="bottom"/>
            <w:tcBorders>
              <w:bottom w:val="single" w:sz="8" w:color="CCEEFF"/>
            </w:tcBorders>
          </w:tcPr>
          <w:p>
            <w:pPr>
              <w:spacing w:after="0"/>
              <w:rPr>
                <w:sz w:val="15"/>
                <w:szCs w:val="15"/>
                <w:color w:val="auto"/>
              </w:rPr>
            </w:pPr>
          </w:p>
        </w:tc>
        <w:tc>
          <w:tcPr>
            <w:tcW w:w="6180" w:type="dxa"/>
            <w:vAlign w:val="bottom"/>
            <w:tcBorders>
              <w:bottom w:val="single" w:sz="8" w:color="auto"/>
            </w:tcBorders>
            <w:gridSpan w:val="27"/>
          </w:tcPr>
          <w:p>
            <w:pPr>
              <w:spacing w:after="0"/>
              <w:rPr>
                <w:sz w:val="20"/>
                <w:szCs w:val="20"/>
                <w:color w:val="auto"/>
              </w:rPr>
            </w:pPr>
            <w:r>
              <w:rPr>
                <w:rFonts w:ascii="Arial" w:cs="Arial" w:eastAsia="Arial" w:hAnsi="Arial"/>
                <w:sz w:val="13"/>
                <w:szCs w:val="13"/>
                <w:b w:val="1"/>
                <w:bCs w:val="1"/>
                <w:color w:val="auto"/>
              </w:rPr>
              <w:t>Exhibit Description</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Form</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Exhibit</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Filed Herewith</w:t>
            </w:r>
          </w:p>
        </w:tc>
        <w:tc>
          <w:tcPr>
            <w:tcW w:w="0" w:type="dxa"/>
            <w:vAlign w:val="bottom"/>
          </w:tcPr>
          <w:p>
            <w:pPr>
              <w:spacing w:after="0"/>
              <w:rPr>
                <w:sz w:val="1"/>
                <w:szCs w:val="1"/>
                <w:color w:val="auto"/>
              </w:rPr>
            </w:pPr>
          </w:p>
        </w:tc>
      </w:tr>
      <w:tr>
        <w:trPr>
          <w:trHeight w:val="150"/>
        </w:trPr>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2a.</w:t>
            </w:r>
          </w:p>
        </w:tc>
        <w:tc>
          <w:tcPr>
            <w:tcW w:w="6280" w:type="dxa"/>
            <w:vAlign w:val="bottom"/>
            <w:gridSpan w:val="28"/>
            <w:shd w:val="clear" w:color="auto" w:fill="CCEEFF"/>
          </w:tcPr>
          <w:p>
            <w:pPr>
              <w:spacing w:after="0"/>
              <w:rPr>
                <w:rFonts w:ascii="Arial" w:cs="Arial" w:eastAsia="Arial" w:hAnsi="Arial"/>
                <w:sz w:val="13"/>
                <w:szCs w:val="13"/>
                <w:color w:val="0000FF"/>
              </w:rPr>
            </w:pPr>
            <w:hyperlink r:id="rId21">
              <w:r>
                <w:rPr>
                  <w:rFonts w:ascii="Arial" w:cs="Arial" w:eastAsia="Arial" w:hAnsi="Arial"/>
                  <w:sz w:val="13"/>
                  <w:szCs w:val="13"/>
                  <w:color w:val="0000FF"/>
                </w:rPr>
                <w:t>Securities Purchase Agreement by and among, Grand Design RV, LLC, Octavius Corporation, Winnebago</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920" w:type="dxa"/>
            <w:vAlign w:val="bottom"/>
            <w:tcBorders>
              <w:top w:val="single" w:sz="8" w:color="0000FF"/>
              <w:bottom w:val="single" w:sz="8" w:color="0000FF"/>
            </w:tcBorders>
            <w:gridSpan w:val="19"/>
            <w:shd w:val="clear" w:color="auto" w:fill="CCEEFF"/>
          </w:tcPr>
          <w:p>
            <w:pPr>
              <w:spacing w:after="0" w:line="131" w:lineRule="exact"/>
              <w:rPr>
                <w:rFonts w:ascii="Arial" w:cs="Arial" w:eastAsia="Arial" w:hAnsi="Arial"/>
                <w:sz w:val="13"/>
                <w:szCs w:val="13"/>
                <w:color w:val="0000FF"/>
                <w:w w:val="98"/>
              </w:rPr>
            </w:pPr>
            <w:hyperlink r:id="rId21">
              <w:r>
                <w:rPr>
                  <w:rFonts w:ascii="Arial" w:cs="Arial" w:eastAsia="Arial" w:hAnsi="Arial"/>
                  <w:sz w:val="13"/>
                  <w:szCs w:val="13"/>
                  <w:color w:val="0000FF"/>
                  <w:w w:val="98"/>
                </w:rPr>
                <w:t>Industries, Inc., Summit Partners Growth Equity Fund VIII-B, L.P., Summit Partners Growth Equity Fund</w:t>
              </w:r>
            </w:hyperlink>
          </w:p>
        </w:tc>
        <w:tc>
          <w:tcPr>
            <w:tcW w:w="140" w:type="dxa"/>
            <w:vAlign w:val="bottom"/>
            <w:tcBorders>
              <w:top w:val="single" w:sz="8" w:color="0000FF"/>
              <w:bottom w:val="single" w:sz="8" w:color="CCEEFF"/>
            </w:tcBorders>
            <w:gridSpan w:val="6"/>
            <w:shd w:val="clear" w:color="auto" w:fill="CCEEFF"/>
          </w:tcPr>
          <w:p>
            <w:pPr>
              <w:spacing w:after="0"/>
              <w:rPr>
                <w:sz w:val="11"/>
                <w:szCs w:val="11"/>
                <w:color w:val="auto"/>
              </w:rPr>
            </w:pPr>
          </w:p>
        </w:tc>
        <w:tc>
          <w:tcPr>
            <w:tcW w:w="22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1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620" w:type="dxa"/>
            <w:vAlign w:val="bottom"/>
            <w:tcBorders>
              <w:bottom w:val="single" w:sz="8" w:color="0000FF"/>
            </w:tcBorders>
            <w:gridSpan w:val="13"/>
            <w:shd w:val="clear" w:color="auto" w:fill="CCEEFF"/>
          </w:tcPr>
          <w:p>
            <w:pPr>
              <w:spacing w:after="0" w:line="131" w:lineRule="exact"/>
              <w:rPr>
                <w:rFonts w:ascii="Arial" w:cs="Arial" w:eastAsia="Arial" w:hAnsi="Arial"/>
                <w:sz w:val="13"/>
                <w:szCs w:val="13"/>
                <w:color w:val="0000FF"/>
                <w:w w:val="98"/>
              </w:rPr>
            </w:pPr>
            <w:hyperlink r:id="rId21">
              <w:r>
                <w:rPr>
                  <w:rFonts w:ascii="Arial" w:cs="Arial" w:eastAsia="Arial" w:hAnsi="Arial"/>
                  <w:sz w:val="13"/>
                  <w:szCs w:val="13"/>
                  <w:color w:val="0000FF"/>
                  <w:w w:val="98"/>
                </w:rPr>
                <w:t>VIII-A, L.P., Summit Partners Entrepreneur Advisors Fund I, L.P., Summit Investors I, LLC, Summit</w:t>
              </w:r>
            </w:hyperlink>
          </w:p>
        </w:tc>
        <w:tc>
          <w:tcPr>
            <w:tcW w:w="660" w:type="dxa"/>
            <w:vAlign w:val="bottom"/>
            <w:tcBorders>
              <w:bottom w:val="single" w:sz="8" w:color="CCEEFF"/>
            </w:tcBorders>
            <w:gridSpan w:val="15"/>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940" w:type="dxa"/>
            <w:vAlign w:val="bottom"/>
            <w:tcBorders>
              <w:bottom w:val="single" w:sz="8" w:color="0000FF"/>
            </w:tcBorders>
            <w:gridSpan w:val="20"/>
            <w:shd w:val="clear" w:color="auto" w:fill="CCEEFF"/>
          </w:tcPr>
          <w:p>
            <w:pPr>
              <w:spacing w:after="0" w:line="131" w:lineRule="exact"/>
              <w:rPr>
                <w:rFonts w:ascii="Arial" w:cs="Arial" w:eastAsia="Arial" w:hAnsi="Arial"/>
                <w:sz w:val="13"/>
                <w:szCs w:val="13"/>
                <w:color w:val="0000FF"/>
                <w:w w:val="98"/>
              </w:rPr>
            </w:pPr>
            <w:hyperlink r:id="rId21">
              <w:r>
                <w:rPr>
                  <w:rFonts w:ascii="Arial" w:cs="Arial" w:eastAsia="Arial" w:hAnsi="Arial"/>
                  <w:sz w:val="13"/>
                  <w:szCs w:val="13"/>
                  <w:color w:val="0000FF"/>
                  <w:w w:val="98"/>
                </w:rPr>
                <w:t>Investors I (UK), L.P., SP GE VIII-B GD RV Holdings, L.P., RDB III, Inc., and each of the shareholders of</w:t>
              </w:r>
            </w:hyperlink>
          </w:p>
        </w:tc>
        <w:tc>
          <w:tcPr>
            <w:tcW w:w="340" w:type="dxa"/>
            <w:vAlign w:val="bottom"/>
            <w:tcBorders>
              <w:bottom w:val="single" w:sz="8" w:color="CCEEFF"/>
            </w:tcBorders>
            <w:gridSpan w:val="8"/>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280" w:type="dxa"/>
            <w:vAlign w:val="bottom"/>
            <w:gridSpan w:val="28"/>
            <w:shd w:val="clear" w:color="auto" w:fill="CCEEFF"/>
          </w:tcPr>
          <w:p>
            <w:pPr>
              <w:spacing w:after="0" w:line="131" w:lineRule="exact"/>
              <w:rPr>
                <w:rFonts w:ascii="Arial" w:cs="Arial" w:eastAsia="Arial" w:hAnsi="Arial"/>
                <w:sz w:val="13"/>
                <w:szCs w:val="13"/>
                <w:color w:val="0000FF"/>
              </w:rPr>
            </w:pPr>
            <w:hyperlink r:id="rId21">
              <w:r>
                <w:rPr>
                  <w:rFonts w:ascii="Arial" w:cs="Arial" w:eastAsia="Arial" w:hAnsi="Arial"/>
                  <w:sz w:val="13"/>
                  <w:szCs w:val="13"/>
                  <w:color w:val="0000FF"/>
                </w:rPr>
                <w:t>RDB III, Inc.</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2b.</w:t>
            </w:r>
          </w:p>
        </w:tc>
        <w:tc>
          <w:tcPr>
            <w:tcW w:w="6280" w:type="dxa"/>
            <w:vAlign w:val="bottom"/>
            <w:gridSpan w:val="28"/>
          </w:tcPr>
          <w:p>
            <w:pPr>
              <w:spacing w:after="0"/>
              <w:rPr>
                <w:rFonts w:ascii="Arial" w:cs="Arial" w:eastAsia="Arial" w:hAnsi="Arial"/>
                <w:sz w:val="13"/>
                <w:szCs w:val="13"/>
                <w:color w:val="0000FF"/>
              </w:rPr>
            </w:pPr>
            <w:hyperlink r:id="rId22">
              <w:r>
                <w:rPr>
                  <w:rFonts w:ascii="Arial" w:cs="Arial" w:eastAsia="Arial" w:hAnsi="Arial"/>
                  <w:sz w:val="13"/>
                  <w:szCs w:val="13"/>
                  <w:color w:val="0000FF"/>
                </w:rPr>
                <w:t>Stock Purchase Agreement dated as of September 15, 2019, by and among Winnebago Industries, Inc.,</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09/16/2019</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80" w:type="dxa"/>
            <w:vAlign w:val="bottom"/>
            <w:tcBorders>
              <w:top w:val="single" w:sz="8" w:color="0000FF"/>
              <w:bottom w:val="single" w:sz="8" w:color="0000FF"/>
            </w:tcBorders>
            <w:gridSpan w:val="17"/>
          </w:tcPr>
          <w:p>
            <w:pPr>
              <w:spacing w:after="0" w:line="131" w:lineRule="exact"/>
              <w:rPr>
                <w:rFonts w:ascii="Arial" w:cs="Arial" w:eastAsia="Arial" w:hAnsi="Arial"/>
                <w:sz w:val="13"/>
                <w:szCs w:val="13"/>
                <w:color w:val="0000FF"/>
                <w:w w:val="98"/>
              </w:rPr>
            </w:pPr>
            <w:hyperlink r:id="rId22">
              <w:r>
                <w:rPr>
                  <w:rFonts w:ascii="Arial" w:cs="Arial" w:eastAsia="Arial" w:hAnsi="Arial"/>
                  <w:sz w:val="13"/>
                  <w:szCs w:val="13"/>
                  <w:color w:val="0000FF"/>
                  <w:w w:val="98"/>
                </w:rPr>
                <w:t>Octavius Corporation, Newmar Corporation, Dutch Real Estate Corp., New-Way Transport Corp., New-</w:t>
              </w:r>
            </w:hyperlink>
          </w:p>
        </w:tc>
        <w:tc>
          <w:tcPr>
            <w:tcW w:w="60" w:type="dxa"/>
            <w:vAlign w:val="bottom"/>
            <w:tcBorders>
              <w:top w:val="single" w:sz="8" w:color="0000FF"/>
            </w:tcBorders>
            <w:gridSpan w:val="3"/>
          </w:tcPr>
          <w:p>
            <w:pPr>
              <w:spacing w:after="0"/>
              <w:rPr>
                <w:sz w:val="11"/>
                <w:szCs w:val="11"/>
                <w:color w:val="auto"/>
              </w:rPr>
            </w:pPr>
          </w:p>
        </w:tc>
        <w:tc>
          <w:tcPr>
            <w:tcW w:w="340" w:type="dxa"/>
            <w:vAlign w:val="bottom"/>
            <w:gridSpan w:val="8"/>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980" w:type="dxa"/>
            <w:vAlign w:val="bottom"/>
            <w:tcBorders>
              <w:bottom w:val="single" w:sz="8" w:color="0000FF"/>
            </w:tcBorders>
            <w:gridSpan w:val="22"/>
          </w:tcPr>
          <w:p>
            <w:pPr>
              <w:spacing w:after="0" w:line="131" w:lineRule="exact"/>
              <w:rPr>
                <w:rFonts w:ascii="Arial" w:cs="Arial" w:eastAsia="Arial" w:hAnsi="Arial"/>
                <w:sz w:val="13"/>
                <w:szCs w:val="13"/>
                <w:color w:val="0000FF"/>
                <w:w w:val="98"/>
              </w:rPr>
            </w:pPr>
            <w:hyperlink r:id="rId22">
              <w:r>
                <w:rPr>
                  <w:rFonts w:ascii="Arial" w:cs="Arial" w:eastAsia="Arial" w:hAnsi="Arial"/>
                  <w:sz w:val="13"/>
                  <w:szCs w:val="13"/>
                  <w:color w:val="0000FF"/>
                  <w:w w:val="98"/>
                </w:rPr>
                <w:t>Serv, Inc., the shareholders of Newmar Corporation, Dutch Real Estate Corp., New-Way Transport Corp.</w:t>
              </w:r>
            </w:hyperlink>
          </w:p>
        </w:tc>
        <w:tc>
          <w:tcPr>
            <w:tcW w:w="300" w:type="dxa"/>
            <w:vAlign w:val="bottom"/>
            <w:gridSpan w:val="6"/>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80" w:type="dxa"/>
            <w:vAlign w:val="bottom"/>
            <w:gridSpan w:val="28"/>
          </w:tcPr>
          <w:p>
            <w:pPr>
              <w:spacing w:after="0" w:line="131" w:lineRule="exact"/>
              <w:rPr>
                <w:rFonts w:ascii="Arial" w:cs="Arial" w:eastAsia="Arial" w:hAnsi="Arial"/>
                <w:sz w:val="13"/>
                <w:szCs w:val="13"/>
                <w:color w:val="0000FF"/>
              </w:rPr>
            </w:pPr>
            <w:hyperlink r:id="rId22">
              <w:r>
                <w:rPr>
                  <w:rFonts w:ascii="Arial" w:cs="Arial" w:eastAsia="Arial" w:hAnsi="Arial"/>
                  <w:sz w:val="13"/>
                  <w:szCs w:val="13"/>
                  <w:color w:val="0000FF"/>
                </w:rPr>
                <w:t>and New-Serv, Inc. and Matthew Miller, as Sellers Agent.</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3a.</w:t>
            </w:r>
          </w:p>
        </w:tc>
        <w:tc>
          <w:tcPr>
            <w:tcW w:w="6280" w:type="dxa"/>
            <w:vAlign w:val="bottom"/>
            <w:gridSpan w:val="28"/>
            <w:shd w:val="clear" w:color="auto" w:fill="CCEEFF"/>
          </w:tcPr>
          <w:p>
            <w:pPr>
              <w:spacing w:after="0"/>
              <w:rPr>
                <w:rFonts w:ascii="Arial" w:cs="Arial" w:eastAsia="Arial" w:hAnsi="Arial"/>
                <w:sz w:val="13"/>
                <w:szCs w:val="13"/>
                <w:color w:val="0000FF"/>
              </w:rPr>
            </w:pPr>
            <w:hyperlink r:id="rId23">
              <w:r>
                <w:rPr>
                  <w:rFonts w:ascii="Arial" w:cs="Arial" w:eastAsia="Arial" w:hAnsi="Arial"/>
                  <w:sz w:val="13"/>
                  <w:szCs w:val="13"/>
                  <w:color w:val="0000FF"/>
                </w:rPr>
                <w:t>Articles of Incorporation.</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10-K</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3a</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10/18/2018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3b.</w:t>
            </w:r>
          </w:p>
        </w:tc>
        <w:tc>
          <w:tcPr>
            <w:tcW w:w="6280" w:type="dxa"/>
            <w:vAlign w:val="bottom"/>
            <w:gridSpan w:val="28"/>
          </w:tcPr>
          <w:p>
            <w:pPr>
              <w:spacing w:after="0"/>
              <w:rPr>
                <w:rFonts w:ascii="Arial" w:cs="Arial" w:eastAsia="Arial" w:hAnsi="Arial"/>
                <w:sz w:val="13"/>
                <w:szCs w:val="13"/>
                <w:color w:val="0000FF"/>
              </w:rPr>
            </w:pPr>
            <w:hyperlink r:id="rId24">
              <w:r>
                <w:rPr>
                  <w:rFonts w:ascii="Arial" w:cs="Arial" w:eastAsia="Arial" w:hAnsi="Arial"/>
                  <w:sz w:val="13"/>
                  <w:szCs w:val="13"/>
                  <w:color w:val="0000FF"/>
                </w:rPr>
                <w:t>Amended By-Laws of the Registrant.</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03/29/2016</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4a.</w:t>
            </w:r>
          </w:p>
        </w:tc>
        <w:tc>
          <w:tcPr>
            <w:tcW w:w="6280" w:type="dxa"/>
            <w:vAlign w:val="bottom"/>
            <w:gridSpan w:val="28"/>
            <w:shd w:val="clear" w:color="auto" w:fill="CCEEFF"/>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Description of Securities.</w:t>
              </w:r>
            </w:hyperlink>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10a.</w:t>
            </w:r>
          </w:p>
        </w:tc>
        <w:tc>
          <w:tcPr>
            <w:tcW w:w="6280" w:type="dxa"/>
            <w:vAlign w:val="bottom"/>
            <w:gridSpan w:val="28"/>
          </w:tcPr>
          <w:p>
            <w:pPr>
              <w:spacing w:after="0"/>
              <w:rPr>
                <w:rFonts w:ascii="Arial" w:cs="Arial" w:eastAsia="Arial" w:hAnsi="Arial"/>
                <w:sz w:val="13"/>
                <w:szCs w:val="13"/>
                <w:color w:val="0000FF"/>
              </w:rPr>
            </w:pPr>
            <w:hyperlink r:id="rId25">
              <w:r>
                <w:rPr>
                  <w:rFonts w:ascii="Arial" w:cs="Arial" w:eastAsia="Arial" w:hAnsi="Arial"/>
                  <w:sz w:val="13"/>
                  <w:szCs w:val="13"/>
                  <w:color w:val="0000FF"/>
                </w:rPr>
                <w:t>Winnebago Industries, Inc. Deferred Compensation Plan previously filed with the Registrant's Quarterly</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10-K</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10.B</w:t>
            </w:r>
          </w:p>
        </w:tc>
        <w:tc>
          <w:tcPr>
            <w:tcW w:w="1160" w:type="dxa"/>
            <w:vAlign w:val="bottom"/>
          </w:tcPr>
          <w:p>
            <w:pPr>
              <w:jc w:val="right"/>
              <w:spacing w:after="0"/>
              <w:rPr>
                <w:sz w:val="20"/>
                <w:szCs w:val="20"/>
                <w:color w:val="auto"/>
              </w:rPr>
            </w:pPr>
            <w:r>
              <w:rPr>
                <w:rFonts w:ascii="Arial" w:cs="Arial" w:eastAsia="Arial" w:hAnsi="Arial"/>
                <w:sz w:val="13"/>
                <w:szCs w:val="13"/>
                <w:color w:val="auto"/>
              </w:rPr>
              <w:t>11/22/1995</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960" w:type="dxa"/>
            <w:vAlign w:val="bottom"/>
            <w:tcBorders>
              <w:bottom w:val="single" w:sz="8" w:color="0000FF"/>
            </w:tcBorders>
            <w:gridSpan w:val="21"/>
          </w:tcPr>
          <w:p>
            <w:pPr>
              <w:spacing w:after="0" w:line="131" w:lineRule="exact"/>
              <w:rPr>
                <w:rFonts w:ascii="Arial" w:cs="Arial" w:eastAsia="Arial" w:hAnsi="Arial"/>
                <w:sz w:val="13"/>
                <w:szCs w:val="13"/>
                <w:color w:val="0000FF"/>
                <w:w w:val="99"/>
              </w:rPr>
            </w:pPr>
            <w:hyperlink r:id="rId25">
              <w:r>
                <w:rPr>
                  <w:rFonts w:ascii="Arial" w:cs="Arial" w:eastAsia="Arial" w:hAnsi="Arial"/>
                  <w:sz w:val="13"/>
                  <w:szCs w:val="13"/>
                  <w:color w:val="0000FF"/>
                  <w:w w:val="99"/>
                </w:rPr>
                <w:t>Report on Form 10-Q for the quarter ended March 2, 1991 and incorporated by reference herein and the</w:t>
              </w:r>
            </w:hyperlink>
          </w:p>
        </w:tc>
        <w:tc>
          <w:tcPr>
            <w:tcW w:w="320" w:type="dxa"/>
            <w:vAlign w:val="bottom"/>
            <w:gridSpan w:val="7"/>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80" w:type="dxa"/>
            <w:vAlign w:val="bottom"/>
            <w:gridSpan w:val="28"/>
          </w:tcPr>
          <w:p>
            <w:pPr>
              <w:spacing w:after="0" w:line="131" w:lineRule="exact"/>
              <w:rPr>
                <w:rFonts w:ascii="Arial" w:cs="Arial" w:eastAsia="Arial" w:hAnsi="Arial"/>
                <w:sz w:val="13"/>
                <w:szCs w:val="13"/>
                <w:color w:val="0000FF"/>
              </w:rPr>
            </w:pPr>
            <w:hyperlink r:id="rId25">
              <w:r>
                <w:rPr>
                  <w:rFonts w:ascii="Arial" w:cs="Arial" w:eastAsia="Arial" w:hAnsi="Arial"/>
                  <w:sz w:val="13"/>
                  <w:szCs w:val="13"/>
                  <w:color w:val="0000FF"/>
                </w:rPr>
                <w:t>Amendment dated June 29, 1995.*</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10b.</w:t>
            </w:r>
          </w:p>
        </w:tc>
        <w:tc>
          <w:tcPr>
            <w:tcW w:w="6280" w:type="dxa"/>
            <w:vAlign w:val="bottom"/>
            <w:gridSpan w:val="28"/>
            <w:shd w:val="clear" w:color="auto" w:fill="CCEEFF"/>
          </w:tcPr>
          <w:p>
            <w:pPr>
              <w:spacing w:after="0"/>
              <w:rPr>
                <w:rFonts w:ascii="Arial" w:cs="Arial" w:eastAsia="Arial" w:hAnsi="Arial"/>
                <w:sz w:val="13"/>
                <w:szCs w:val="13"/>
                <w:color w:val="0000FF"/>
              </w:rPr>
            </w:pPr>
            <w:hyperlink r:id="rId26">
              <w:r>
                <w:rPr>
                  <w:rFonts w:ascii="Arial" w:cs="Arial" w:eastAsia="Arial" w:hAnsi="Arial"/>
                  <w:sz w:val="13"/>
                  <w:szCs w:val="13"/>
                  <w:color w:val="0000FF"/>
                </w:rPr>
                <w:t>Winnebago Industries, Inc. Executive Share Option Plan previously filed as Exhibit 10.J with the</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10-Q</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10.I</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04/09/2001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800" w:type="dxa"/>
            <w:vAlign w:val="bottom"/>
            <w:tcBorders>
              <w:bottom w:val="single" w:sz="8" w:color="0000FF"/>
            </w:tcBorders>
            <w:gridSpan w:val="16"/>
            <w:shd w:val="clear" w:color="auto" w:fill="CCEEFF"/>
          </w:tcPr>
          <w:p>
            <w:pPr>
              <w:spacing w:after="0" w:line="131" w:lineRule="exact"/>
              <w:rPr>
                <w:rFonts w:ascii="Arial" w:cs="Arial" w:eastAsia="Arial" w:hAnsi="Arial"/>
                <w:sz w:val="13"/>
                <w:szCs w:val="13"/>
                <w:color w:val="0000FF"/>
                <w:w w:val="99"/>
              </w:rPr>
            </w:pPr>
            <w:hyperlink r:id="rId26">
              <w:r>
                <w:rPr>
                  <w:rFonts w:ascii="Arial" w:cs="Arial" w:eastAsia="Arial" w:hAnsi="Arial"/>
                  <w:sz w:val="13"/>
                  <w:szCs w:val="13"/>
                  <w:color w:val="0000FF"/>
                  <w:w w:val="99"/>
                </w:rPr>
                <w:t>Registrant's Annual Report on Form 10-K for the fiscal year ended August 29, 1998 (Commission File</w:t>
              </w:r>
            </w:hyperlink>
          </w:p>
        </w:tc>
        <w:tc>
          <w:tcPr>
            <w:tcW w:w="480" w:type="dxa"/>
            <w:vAlign w:val="bottom"/>
            <w:tcBorders>
              <w:bottom w:val="single" w:sz="8" w:color="CCEEFF"/>
            </w:tcBorders>
            <w:gridSpan w:val="12"/>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660" w:type="dxa"/>
            <w:vAlign w:val="bottom"/>
            <w:tcBorders>
              <w:bottom w:val="single" w:sz="8" w:color="0000FF"/>
            </w:tcBorders>
            <w:gridSpan w:val="15"/>
            <w:shd w:val="clear" w:color="auto" w:fill="CCEEFF"/>
          </w:tcPr>
          <w:p>
            <w:pPr>
              <w:spacing w:after="0" w:line="131" w:lineRule="exact"/>
              <w:rPr>
                <w:rFonts w:ascii="Arial" w:cs="Arial" w:eastAsia="Arial" w:hAnsi="Arial"/>
                <w:sz w:val="13"/>
                <w:szCs w:val="13"/>
                <w:color w:val="0000FF"/>
                <w:w w:val="99"/>
              </w:rPr>
            </w:pPr>
            <w:hyperlink r:id="rId26">
              <w:r>
                <w:rPr>
                  <w:rFonts w:ascii="Arial" w:cs="Arial" w:eastAsia="Arial" w:hAnsi="Arial"/>
                  <w:sz w:val="13"/>
                  <w:szCs w:val="13"/>
                  <w:color w:val="0000FF"/>
                  <w:w w:val="99"/>
                </w:rPr>
                <w:t>Number 001-06403) and incorporated by reference herein, and the Amendment dated July 1, 1999</w:t>
              </w:r>
            </w:hyperlink>
          </w:p>
        </w:tc>
        <w:tc>
          <w:tcPr>
            <w:tcW w:w="620" w:type="dxa"/>
            <w:vAlign w:val="bottom"/>
            <w:tcBorders>
              <w:bottom w:val="single" w:sz="8" w:color="CCEEFF"/>
            </w:tcBorders>
            <w:gridSpan w:val="13"/>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6020" w:type="dxa"/>
            <w:vAlign w:val="bottom"/>
            <w:tcBorders>
              <w:bottom w:val="single" w:sz="8" w:color="0000FF"/>
            </w:tcBorders>
            <w:gridSpan w:val="24"/>
            <w:shd w:val="clear" w:color="auto" w:fill="CCEEFF"/>
          </w:tcPr>
          <w:p>
            <w:pPr>
              <w:spacing w:after="0" w:line="131" w:lineRule="exact"/>
              <w:rPr>
                <w:rFonts w:ascii="Arial" w:cs="Arial" w:eastAsia="Arial" w:hAnsi="Arial"/>
                <w:sz w:val="13"/>
                <w:szCs w:val="13"/>
                <w:color w:val="0000FF"/>
                <w:w w:val="99"/>
              </w:rPr>
            </w:pPr>
            <w:hyperlink r:id="rId26">
              <w:r>
                <w:rPr>
                  <w:rFonts w:ascii="Arial" w:cs="Arial" w:eastAsia="Arial" w:hAnsi="Arial"/>
                  <w:sz w:val="13"/>
                  <w:szCs w:val="13"/>
                  <w:color w:val="0000FF"/>
                  <w:w w:val="99"/>
                </w:rPr>
                <w:t>previously filed as Exhibit 10.J with the Registrant's Quarterly Report on Form 10-Q for the quarter ended</w:t>
              </w:r>
            </w:hyperlink>
          </w:p>
        </w:tc>
        <w:tc>
          <w:tcPr>
            <w:tcW w:w="260" w:type="dxa"/>
            <w:vAlign w:val="bottom"/>
            <w:tcBorders>
              <w:bottom w:val="single" w:sz="8" w:color="CCEEFF"/>
            </w:tcBorders>
            <w:gridSpan w:val="4"/>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640" w:type="dxa"/>
            <w:vAlign w:val="bottom"/>
            <w:tcBorders>
              <w:bottom w:val="single" w:sz="8" w:color="0000FF"/>
            </w:tcBorders>
            <w:gridSpan w:val="14"/>
            <w:shd w:val="clear" w:color="auto" w:fill="CCEEFF"/>
          </w:tcPr>
          <w:p>
            <w:pPr>
              <w:spacing w:after="0" w:line="131" w:lineRule="exact"/>
              <w:rPr>
                <w:rFonts w:ascii="Arial" w:cs="Arial" w:eastAsia="Arial" w:hAnsi="Arial"/>
                <w:sz w:val="13"/>
                <w:szCs w:val="13"/>
                <w:color w:val="0000FF"/>
                <w:w w:val="99"/>
              </w:rPr>
            </w:pPr>
            <w:hyperlink r:id="rId26">
              <w:r>
                <w:rPr>
                  <w:rFonts w:ascii="Arial" w:cs="Arial" w:eastAsia="Arial" w:hAnsi="Arial"/>
                  <w:sz w:val="13"/>
                  <w:szCs w:val="13"/>
                  <w:color w:val="0000FF"/>
                  <w:w w:val="99"/>
                </w:rPr>
                <w:t>May 29, 1999 (Commission File Number 001-06403) and incorporated by reference herein and the</w:t>
              </w:r>
            </w:hyperlink>
          </w:p>
        </w:tc>
        <w:tc>
          <w:tcPr>
            <w:tcW w:w="640" w:type="dxa"/>
            <w:vAlign w:val="bottom"/>
            <w:tcBorders>
              <w:bottom w:val="single" w:sz="8" w:color="CCEEFF"/>
            </w:tcBorders>
            <w:gridSpan w:val="14"/>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280" w:type="dxa"/>
            <w:vAlign w:val="bottom"/>
            <w:gridSpan w:val="28"/>
            <w:shd w:val="clear" w:color="auto" w:fill="CCEEFF"/>
          </w:tcPr>
          <w:p>
            <w:pPr>
              <w:spacing w:after="0" w:line="131" w:lineRule="exact"/>
              <w:rPr>
                <w:rFonts w:ascii="Arial" w:cs="Arial" w:eastAsia="Arial" w:hAnsi="Arial"/>
                <w:sz w:val="13"/>
                <w:szCs w:val="13"/>
                <w:color w:val="0000FF"/>
              </w:rPr>
            </w:pPr>
            <w:hyperlink r:id="rId26">
              <w:r>
                <w:rPr>
                  <w:rFonts w:ascii="Arial" w:cs="Arial" w:eastAsia="Arial" w:hAnsi="Arial"/>
                  <w:sz w:val="13"/>
                  <w:szCs w:val="13"/>
                  <w:color w:val="0000FF"/>
                </w:rPr>
                <w:t>Amendment dated January 1, 2001.*</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5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10c.</w:t>
            </w:r>
          </w:p>
        </w:tc>
        <w:tc>
          <w:tcPr>
            <w:tcW w:w="6280" w:type="dxa"/>
            <w:vAlign w:val="bottom"/>
            <w:gridSpan w:val="28"/>
          </w:tcPr>
          <w:p>
            <w:pPr>
              <w:spacing w:after="0"/>
              <w:rPr>
                <w:rFonts w:ascii="Arial" w:cs="Arial" w:eastAsia="Arial" w:hAnsi="Arial"/>
                <w:sz w:val="13"/>
                <w:szCs w:val="13"/>
                <w:color w:val="0000FF"/>
              </w:rPr>
            </w:pPr>
            <w:hyperlink r:id="rId27">
              <w:r>
                <w:rPr>
                  <w:rFonts w:ascii="Arial" w:cs="Arial" w:eastAsia="Arial" w:hAnsi="Arial"/>
                  <w:sz w:val="13"/>
                  <w:szCs w:val="13"/>
                  <w:color w:val="0000FF"/>
                </w:rPr>
                <w:t>Winnebago Industries, Inc. Executive Deferred Compensation Plan previously filed as Exhibit 10.C with the</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10-K</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10.BB</w:t>
            </w:r>
          </w:p>
        </w:tc>
        <w:tc>
          <w:tcPr>
            <w:tcW w:w="1160" w:type="dxa"/>
            <w:vAlign w:val="bottom"/>
          </w:tcPr>
          <w:p>
            <w:pPr>
              <w:jc w:val="right"/>
              <w:spacing w:after="0"/>
              <w:rPr>
                <w:sz w:val="20"/>
                <w:szCs w:val="20"/>
                <w:color w:val="auto"/>
              </w:rPr>
            </w:pPr>
            <w:r>
              <w:rPr>
                <w:rFonts w:ascii="Arial" w:cs="Arial" w:eastAsia="Arial" w:hAnsi="Arial"/>
                <w:sz w:val="13"/>
                <w:szCs w:val="13"/>
                <w:color w:val="auto"/>
              </w:rPr>
              <w:t>10/25/2011</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960" w:type="dxa"/>
            <w:vAlign w:val="bottom"/>
            <w:tcBorders>
              <w:top w:val="single" w:sz="8" w:color="0000FF"/>
              <w:bottom w:val="single" w:sz="8" w:color="0000FF"/>
            </w:tcBorders>
            <w:gridSpan w:val="21"/>
          </w:tcPr>
          <w:p>
            <w:pPr>
              <w:spacing w:after="0" w:line="131" w:lineRule="exact"/>
              <w:rPr>
                <w:rFonts w:ascii="Arial" w:cs="Arial" w:eastAsia="Arial" w:hAnsi="Arial"/>
                <w:sz w:val="13"/>
                <w:szCs w:val="13"/>
                <w:color w:val="0000FF"/>
                <w:w w:val="99"/>
              </w:rPr>
            </w:pPr>
            <w:hyperlink r:id="rId27">
              <w:r>
                <w:rPr>
                  <w:rFonts w:ascii="Arial" w:cs="Arial" w:eastAsia="Arial" w:hAnsi="Arial"/>
                  <w:sz w:val="13"/>
                  <w:szCs w:val="13"/>
                  <w:color w:val="0000FF"/>
                  <w:w w:val="99"/>
                </w:rPr>
                <w:t>Registrant's Quarterly Report on Form 10-Q for the quarter ended November 25, 2006 (Commission File</w:t>
              </w:r>
            </w:hyperlink>
          </w:p>
        </w:tc>
        <w:tc>
          <w:tcPr>
            <w:tcW w:w="140" w:type="dxa"/>
            <w:vAlign w:val="bottom"/>
            <w:tcBorders>
              <w:top w:val="single" w:sz="8" w:color="0000FF"/>
            </w:tcBorders>
            <w:gridSpan w:val="5"/>
          </w:tcPr>
          <w:p>
            <w:pPr>
              <w:spacing w:after="0"/>
              <w:rPr>
                <w:sz w:val="11"/>
                <w:szCs w:val="11"/>
                <w:color w:val="auto"/>
              </w:rPr>
            </w:pPr>
          </w:p>
        </w:tc>
        <w:tc>
          <w:tcPr>
            <w:tcW w:w="18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80" w:type="dxa"/>
            <w:vAlign w:val="bottom"/>
            <w:gridSpan w:val="28"/>
          </w:tcPr>
          <w:p>
            <w:pPr>
              <w:spacing w:after="0" w:line="131" w:lineRule="exact"/>
              <w:rPr>
                <w:rFonts w:ascii="Arial" w:cs="Arial" w:eastAsia="Arial" w:hAnsi="Arial"/>
                <w:sz w:val="13"/>
                <w:szCs w:val="13"/>
                <w:color w:val="0000FF"/>
              </w:rPr>
            </w:pPr>
            <w:hyperlink r:id="rId27">
              <w:r>
                <w:rPr>
                  <w:rFonts w:ascii="Arial" w:cs="Arial" w:eastAsia="Arial" w:hAnsi="Arial"/>
                  <w:sz w:val="13"/>
                  <w:szCs w:val="13"/>
                  <w:color w:val="0000FF"/>
                </w:rPr>
                <w:t>Number 001-06403) and the Amendment dated June 21, 2011.*</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10d.</w:t>
            </w:r>
          </w:p>
        </w:tc>
        <w:tc>
          <w:tcPr>
            <w:tcW w:w="5880" w:type="dxa"/>
            <w:vAlign w:val="bottom"/>
            <w:tcBorders>
              <w:bottom w:val="single" w:sz="8" w:color="0000FF"/>
              <w:right w:val="single" w:sz="8" w:color="CCEEFF"/>
            </w:tcBorders>
            <w:gridSpan w:val="17"/>
            <w:shd w:val="clear" w:color="auto" w:fill="CCEEFF"/>
          </w:tcPr>
          <w:p>
            <w:pPr>
              <w:spacing w:after="0"/>
              <w:rPr>
                <w:rFonts w:ascii="Arial" w:cs="Arial" w:eastAsia="Arial" w:hAnsi="Arial"/>
                <w:sz w:val="13"/>
                <w:szCs w:val="13"/>
                <w:color w:val="0000FF"/>
                <w:w w:val="99"/>
              </w:rPr>
            </w:pPr>
            <w:hyperlink r:id="rId28">
              <w:r>
                <w:rPr>
                  <w:rFonts w:ascii="Arial" w:cs="Arial" w:eastAsia="Arial" w:hAnsi="Arial"/>
                  <w:sz w:val="13"/>
                  <w:szCs w:val="13"/>
                  <w:color w:val="0000FF"/>
                  <w:w w:val="99"/>
                </w:rPr>
                <w:t>Winnebago Industries, Inc. 2004 Incentive Compensation Plan previously filed as Appendix B with the</w:t>
              </w:r>
            </w:hyperlink>
          </w:p>
        </w:tc>
        <w:tc>
          <w:tcPr>
            <w:tcW w:w="400" w:type="dxa"/>
            <w:vAlign w:val="bottom"/>
            <w:tcBorders>
              <w:bottom w:val="single" w:sz="8" w:color="CCEEFF"/>
            </w:tcBorders>
            <w:gridSpan w:val="11"/>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10-Q</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07/01/2011</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280" w:type="dxa"/>
            <w:vAlign w:val="bottom"/>
            <w:gridSpan w:val="28"/>
            <w:shd w:val="clear" w:color="auto" w:fill="CCEEFF"/>
          </w:tcPr>
          <w:p>
            <w:pPr>
              <w:spacing w:after="0" w:line="131" w:lineRule="exact"/>
              <w:rPr>
                <w:rFonts w:ascii="Arial" w:cs="Arial" w:eastAsia="Arial" w:hAnsi="Arial"/>
                <w:sz w:val="13"/>
                <w:szCs w:val="13"/>
                <w:color w:val="0000FF"/>
              </w:rPr>
            </w:pPr>
            <w:hyperlink r:id="rId28">
              <w:r>
                <w:rPr>
                  <w:rFonts w:ascii="Arial" w:cs="Arial" w:eastAsia="Arial" w:hAnsi="Arial"/>
                  <w:sz w:val="13"/>
                  <w:szCs w:val="13"/>
                  <w:color w:val="0000FF"/>
                </w:rPr>
                <w:t>Registrant's Proxy Statement for the Annual Meeting of Shareholders held on January 13, 2004</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280" w:type="dxa"/>
            <w:vAlign w:val="bottom"/>
            <w:gridSpan w:val="28"/>
            <w:shd w:val="clear" w:color="auto" w:fill="CCEEFF"/>
          </w:tcPr>
          <w:p>
            <w:pPr>
              <w:spacing w:after="0" w:line="131" w:lineRule="exact"/>
              <w:rPr>
                <w:rFonts w:ascii="Arial" w:cs="Arial" w:eastAsia="Arial" w:hAnsi="Arial"/>
                <w:sz w:val="13"/>
                <w:szCs w:val="13"/>
                <w:color w:val="0000FF"/>
              </w:rPr>
            </w:pPr>
            <w:hyperlink r:id="rId28">
              <w:r>
                <w:rPr>
                  <w:rFonts w:ascii="Arial" w:cs="Arial" w:eastAsia="Arial" w:hAnsi="Arial"/>
                  <w:sz w:val="13"/>
                  <w:szCs w:val="13"/>
                  <w:color w:val="0000FF"/>
                </w:rPr>
                <w:t>(Commission File Number 001-06403) and incorporated by reference herein and the Amendment dated</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6020" w:type="dxa"/>
            <w:vAlign w:val="bottom"/>
            <w:tcBorders>
              <w:bottom w:val="single" w:sz="8" w:color="0000FF"/>
            </w:tcBorders>
            <w:gridSpan w:val="24"/>
            <w:shd w:val="clear" w:color="auto" w:fill="CCEEFF"/>
          </w:tcPr>
          <w:p>
            <w:pPr>
              <w:spacing w:after="0" w:line="131" w:lineRule="exact"/>
              <w:rPr>
                <w:rFonts w:ascii="Arial" w:cs="Arial" w:eastAsia="Arial" w:hAnsi="Arial"/>
                <w:sz w:val="13"/>
                <w:szCs w:val="13"/>
                <w:color w:val="0000FF"/>
                <w:w w:val="99"/>
              </w:rPr>
            </w:pPr>
            <w:hyperlink r:id="rId28">
              <w:r>
                <w:rPr>
                  <w:rFonts w:ascii="Arial" w:cs="Arial" w:eastAsia="Arial" w:hAnsi="Arial"/>
                  <w:sz w:val="13"/>
                  <w:szCs w:val="13"/>
                  <w:color w:val="0000FF"/>
                  <w:w w:val="99"/>
                </w:rPr>
                <w:t>October 11, 2006 previously filed as Exhibit 10.A with the Registrant's Quarterly Report on Form 10-Q for</w:t>
              </w:r>
            </w:hyperlink>
          </w:p>
        </w:tc>
        <w:tc>
          <w:tcPr>
            <w:tcW w:w="260" w:type="dxa"/>
            <w:vAlign w:val="bottom"/>
            <w:tcBorders>
              <w:bottom w:val="single" w:sz="8" w:color="CCEEFF"/>
            </w:tcBorders>
            <w:gridSpan w:val="4"/>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600" w:type="dxa"/>
            <w:vAlign w:val="bottom"/>
            <w:tcBorders>
              <w:bottom w:val="single" w:sz="8" w:color="0000FF"/>
            </w:tcBorders>
            <w:gridSpan w:val="12"/>
            <w:shd w:val="clear" w:color="auto" w:fill="CCEEFF"/>
          </w:tcPr>
          <w:p>
            <w:pPr>
              <w:spacing w:after="0" w:line="131" w:lineRule="exact"/>
              <w:rPr>
                <w:rFonts w:ascii="Arial" w:cs="Arial" w:eastAsia="Arial" w:hAnsi="Arial"/>
                <w:sz w:val="13"/>
                <w:szCs w:val="13"/>
                <w:color w:val="0000FF"/>
                <w:w w:val="99"/>
              </w:rPr>
            </w:pPr>
            <w:hyperlink r:id="rId28">
              <w:r>
                <w:rPr>
                  <w:rFonts w:ascii="Arial" w:cs="Arial" w:eastAsia="Arial" w:hAnsi="Arial"/>
                  <w:sz w:val="13"/>
                  <w:szCs w:val="13"/>
                  <w:color w:val="0000FF"/>
                  <w:w w:val="99"/>
                </w:rPr>
                <w:t>the quarter ended November 25, 2006 (Commission File Number 001-06403) and incorporated by</w:t>
              </w:r>
            </w:hyperlink>
          </w:p>
        </w:tc>
        <w:tc>
          <w:tcPr>
            <w:tcW w:w="680" w:type="dxa"/>
            <w:vAlign w:val="bottom"/>
            <w:tcBorders>
              <w:bottom w:val="single" w:sz="8" w:color="CCEEFF"/>
            </w:tcBorders>
            <w:gridSpan w:val="16"/>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280" w:type="dxa"/>
            <w:vAlign w:val="bottom"/>
            <w:gridSpan w:val="28"/>
            <w:shd w:val="clear" w:color="auto" w:fill="CCEEFF"/>
          </w:tcPr>
          <w:p>
            <w:pPr>
              <w:spacing w:after="0" w:line="131" w:lineRule="exact"/>
              <w:rPr>
                <w:rFonts w:ascii="Arial" w:cs="Arial" w:eastAsia="Arial" w:hAnsi="Arial"/>
                <w:sz w:val="13"/>
                <w:szCs w:val="13"/>
                <w:color w:val="0000FF"/>
              </w:rPr>
            </w:pPr>
            <w:hyperlink r:id="rId28">
              <w:r>
                <w:rPr>
                  <w:rFonts w:ascii="Arial" w:cs="Arial" w:eastAsia="Arial" w:hAnsi="Arial"/>
                  <w:sz w:val="13"/>
                  <w:szCs w:val="13"/>
                  <w:color w:val="0000FF"/>
                </w:rPr>
                <w:t>reference herein and the Amendment dated March 23, 2011.*</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5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1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10e.</w:t>
            </w:r>
          </w:p>
        </w:tc>
        <w:tc>
          <w:tcPr>
            <w:tcW w:w="6020" w:type="dxa"/>
            <w:vAlign w:val="bottom"/>
            <w:tcBorders>
              <w:bottom w:val="single" w:sz="8" w:color="0000FF"/>
            </w:tcBorders>
            <w:gridSpan w:val="24"/>
          </w:tcPr>
          <w:p>
            <w:pPr>
              <w:spacing w:after="0"/>
              <w:rPr>
                <w:rFonts w:ascii="Arial" w:cs="Arial" w:eastAsia="Arial" w:hAnsi="Arial"/>
                <w:sz w:val="13"/>
                <w:szCs w:val="13"/>
                <w:color w:val="0000FF"/>
                <w:w w:val="99"/>
              </w:rPr>
            </w:pPr>
            <w:hyperlink r:id="rId29">
              <w:r>
                <w:rPr>
                  <w:rFonts w:ascii="Arial" w:cs="Arial" w:eastAsia="Arial" w:hAnsi="Arial"/>
                  <w:sz w:val="13"/>
                  <w:szCs w:val="13"/>
                  <w:color w:val="0000FF"/>
                  <w:w w:val="99"/>
                </w:rPr>
                <w:t>Winnebago Industries, Inc. 2014 Omnibus Equity, Performance Award, and Incentive Compensation Plan</w:t>
              </w:r>
            </w:hyperlink>
          </w:p>
        </w:tc>
        <w:tc>
          <w:tcPr>
            <w:tcW w:w="260" w:type="dxa"/>
            <w:vAlign w:val="bottom"/>
            <w:gridSpan w:val="4"/>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12/06/2013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60" w:type="dxa"/>
            <w:vAlign w:val="bottom"/>
            <w:tcBorders>
              <w:bottom w:val="single" w:sz="8" w:color="0000FF"/>
            </w:tcBorders>
            <w:gridSpan w:val="10"/>
          </w:tcPr>
          <w:p>
            <w:pPr>
              <w:spacing w:after="0" w:line="131" w:lineRule="exact"/>
              <w:rPr>
                <w:rFonts w:ascii="Arial" w:cs="Arial" w:eastAsia="Arial" w:hAnsi="Arial"/>
                <w:sz w:val="13"/>
                <w:szCs w:val="13"/>
                <w:color w:val="0000FF"/>
                <w:w w:val="99"/>
              </w:rPr>
            </w:pPr>
            <w:hyperlink r:id="rId29">
              <w:r>
                <w:rPr>
                  <w:rFonts w:ascii="Arial" w:cs="Arial" w:eastAsia="Arial" w:hAnsi="Arial"/>
                  <w:sz w:val="13"/>
                  <w:szCs w:val="13"/>
                  <w:color w:val="0000FF"/>
                  <w:w w:val="99"/>
                </w:rPr>
                <w:t>previously filed as Appendix B with the Registrant's Proxy Statement for the Annual Meeting of</w:t>
              </w:r>
            </w:hyperlink>
          </w:p>
        </w:tc>
        <w:tc>
          <w:tcPr>
            <w:tcW w:w="820" w:type="dxa"/>
            <w:vAlign w:val="bottom"/>
            <w:gridSpan w:val="18"/>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80" w:type="dxa"/>
            <w:vAlign w:val="bottom"/>
            <w:gridSpan w:val="28"/>
          </w:tcPr>
          <w:p>
            <w:pPr>
              <w:spacing w:after="0" w:line="131" w:lineRule="exact"/>
              <w:rPr>
                <w:rFonts w:ascii="Arial" w:cs="Arial" w:eastAsia="Arial" w:hAnsi="Arial"/>
                <w:sz w:val="13"/>
                <w:szCs w:val="13"/>
                <w:color w:val="0000FF"/>
              </w:rPr>
            </w:pPr>
            <w:hyperlink r:id="rId29">
              <w:r>
                <w:rPr>
                  <w:rFonts w:ascii="Arial" w:cs="Arial" w:eastAsia="Arial" w:hAnsi="Arial"/>
                  <w:sz w:val="13"/>
                  <w:szCs w:val="13"/>
                  <w:color w:val="0000FF"/>
                </w:rPr>
                <w:t>Shareholders held on December 17, 2013 (Commission File Number 001-06403) and incorporated by</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560" w:type="dxa"/>
            <w:vAlign w:val="bottom"/>
            <w:gridSpan w:val="9"/>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0" w:type="dxa"/>
            <w:vAlign w:val="bottom"/>
            <w:tcBorders>
              <w:bottom w:val="single" w:sz="8" w:color="0000FF"/>
            </w:tcBorders>
            <w:gridSpan w:val="23"/>
          </w:tcPr>
          <w:p>
            <w:pPr>
              <w:spacing w:after="0" w:line="131" w:lineRule="exact"/>
              <w:rPr>
                <w:rFonts w:ascii="Arial" w:cs="Arial" w:eastAsia="Arial" w:hAnsi="Arial"/>
                <w:sz w:val="13"/>
                <w:szCs w:val="13"/>
                <w:color w:val="0000FF"/>
                <w:w w:val="99"/>
              </w:rPr>
            </w:pPr>
            <w:hyperlink r:id="rId29">
              <w:r>
                <w:rPr>
                  <w:rFonts w:ascii="Arial" w:cs="Arial" w:eastAsia="Arial" w:hAnsi="Arial"/>
                  <w:sz w:val="13"/>
                  <w:szCs w:val="13"/>
                  <w:color w:val="0000FF"/>
                  <w:w w:val="99"/>
                </w:rPr>
                <w:t>reference herein and the Supplement previously filed as Exhibit 10.1 with the Registrant's Current Report</w:t>
              </w:r>
            </w:hyperlink>
          </w:p>
        </w:tc>
        <w:tc>
          <w:tcPr>
            <w:tcW w:w="28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80" w:type="dxa"/>
            <w:vAlign w:val="bottom"/>
            <w:gridSpan w:val="28"/>
          </w:tcPr>
          <w:p>
            <w:pPr>
              <w:spacing w:after="0" w:line="131" w:lineRule="exact"/>
              <w:rPr>
                <w:rFonts w:ascii="Arial" w:cs="Arial" w:eastAsia="Arial" w:hAnsi="Arial"/>
                <w:sz w:val="13"/>
                <w:szCs w:val="13"/>
                <w:color w:val="0000FF"/>
              </w:rPr>
            </w:pPr>
            <w:hyperlink r:id="rId29">
              <w:r>
                <w:rPr>
                  <w:rFonts w:ascii="Arial" w:cs="Arial" w:eastAsia="Arial" w:hAnsi="Arial"/>
                  <w:sz w:val="13"/>
                  <w:szCs w:val="13"/>
                  <w:color w:val="0000FF"/>
                </w:rPr>
                <w:t>on Form 8-K dated December 6, 2013 (Commission File Number 001-06403) and incorporated by</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80" w:type="dxa"/>
            <w:vAlign w:val="bottom"/>
            <w:tcBorders>
              <w:top w:val="single" w:sz="8" w:color="0000FF"/>
            </w:tcBorders>
            <w:gridSpan w:val="11"/>
          </w:tcPr>
          <w:p>
            <w:pPr>
              <w:spacing w:after="0" w:line="131" w:lineRule="exact"/>
              <w:rPr>
                <w:rFonts w:ascii="Arial" w:cs="Arial" w:eastAsia="Arial" w:hAnsi="Arial"/>
                <w:sz w:val="13"/>
                <w:szCs w:val="13"/>
                <w:color w:val="0000FF"/>
              </w:rPr>
            </w:pPr>
            <w:hyperlink r:id="rId29">
              <w:r>
                <w:rPr>
                  <w:rFonts w:ascii="Arial" w:cs="Arial" w:eastAsia="Arial" w:hAnsi="Arial"/>
                  <w:sz w:val="13"/>
                  <w:szCs w:val="13"/>
                  <w:color w:val="0000FF"/>
                </w:rPr>
                <w:t>reference herein.*</w:t>
              </w:r>
            </w:hyperlink>
          </w:p>
        </w:tc>
        <w:tc>
          <w:tcPr>
            <w:tcW w:w="700" w:type="dxa"/>
            <w:vAlign w:val="bottom"/>
            <w:gridSpan w:val="17"/>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3"/>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0000FF"/>
            </w:tcBorders>
            <w:gridSpan w:val="2"/>
          </w:tcPr>
          <w:p>
            <w:pPr>
              <w:spacing w:after="0"/>
              <w:rPr>
                <w:sz w:val="24"/>
                <w:szCs w:val="24"/>
                <w:color w:val="auto"/>
              </w:rPr>
            </w:pPr>
          </w:p>
        </w:tc>
        <w:tc>
          <w:tcPr>
            <w:tcW w:w="4440" w:type="dxa"/>
            <w:vAlign w:val="bottom"/>
            <w:gridSpan w:val="8"/>
          </w:tcPr>
          <w:p>
            <w:pPr>
              <w:jc w:val="right"/>
              <w:ind w:right="500"/>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41" w:right="21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20" w:type="dxa"/>
            <w:vAlign w:val="bottom"/>
            <w:gridSpan w:val="34"/>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1"/>
        </w:trPr>
        <w:tc>
          <w:tcPr>
            <w:tcW w:w="820" w:type="dxa"/>
            <w:vAlign w:val="bottom"/>
            <w:tcBorders>
              <w:top w:val="single" w:sz="8" w:color="0000EE"/>
              <w:bottom w:val="single" w:sz="8" w:color="0000EE"/>
            </w:tcBorders>
            <w:gridSpan w:val="2"/>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Borders>
              <w:bottom w:val="single" w:sz="8" w:color="auto"/>
            </w:tcBorders>
            <w:gridSpan w:val="5"/>
          </w:tcPr>
          <w:p>
            <w:pPr>
              <w:jc w:val="right"/>
              <w:ind w:right="735"/>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No.</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gridSpan w:val="30"/>
          </w:tcPr>
          <w:p>
            <w:pPr>
              <w:spacing w:after="0"/>
              <w:rPr>
                <w:sz w:val="20"/>
                <w:szCs w:val="20"/>
                <w:color w:val="auto"/>
              </w:rPr>
            </w:pPr>
            <w:r>
              <w:rPr>
                <w:rFonts w:ascii="Arial" w:cs="Arial" w:eastAsia="Arial" w:hAnsi="Arial"/>
                <w:sz w:val="13"/>
                <w:szCs w:val="13"/>
                <w:b w:val="1"/>
                <w:bCs w:val="1"/>
                <w:color w:val="auto"/>
              </w:rPr>
              <w:t>Exhibit Description</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Form</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Exhibit</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Filed Herewith</w:t>
            </w:r>
          </w:p>
        </w:tc>
        <w:tc>
          <w:tcPr>
            <w:tcW w:w="0" w:type="dxa"/>
            <w:vAlign w:val="bottom"/>
          </w:tcPr>
          <w:p>
            <w:pPr>
              <w:spacing w:after="0"/>
              <w:rPr>
                <w:sz w:val="1"/>
                <w:szCs w:val="1"/>
                <w:color w:val="auto"/>
              </w:rPr>
            </w:pPr>
          </w:p>
        </w:tc>
      </w:tr>
      <w:tr>
        <w:trPr>
          <w:trHeight w:val="150"/>
        </w:trPr>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10f.</w:t>
            </w:r>
          </w:p>
        </w:tc>
        <w:tc>
          <w:tcPr>
            <w:tcW w:w="20" w:type="dxa"/>
            <w:vAlign w:val="bottom"/>
            <w:shd w:val="clear" w:color="auto" w:fill="CCEEFF"/>
          </w:tcPr>
          <w:p>
            <w:pPr>
              <w:spacing w:after="0"/>
              <w:rPr>
                <w:sz w:val="13"/>
                <w:szCs w:val="13"/>
                <w:color w:val="auto"/>
              </w:rPr>
            </w:pPr>
          </w:p>
        </w:tc>
        <w:tc>
          <w:tcPr>
            <w:tcW w:w="6280" w:type="dxa"/>
            <w:vAlign w:val="bottom"/>
            <w:gridSpan w:val="31"/>
            <w:shd w:val="clear" w:color="auto" w:fill="CCEEFF"/>
          </w:tcPr>
          <w:p>
            <w:pPr>
              <w:spacing w:after="0"/>
              <w:rPr>
                <w:rFonts w:ascii="Arial" w:cs="Arial" w:eastAsia="Arial" w:hAnsi="Arial"/>
                <w:sz w:val="13"/>
                <w:szCs w:val="13"/>
                <w:color w:val="0000FF"/>
              </w:rPr>
            </w:pPr>
            <w:hyperlink r:id="rId30">
              <w:r>
                <w:rPr>
                  <w:rFonts w:ascii="Arial" w:cs="Arial" w:eastAsia="Arial" w:hAnsi="Arial"/>
                  <w:sz w:val="13"/>
                  <w:szCs w:val="13"/>
                  <w:color w:val="0000FF"/>
                </w:rPr>
                <w:t>Winnebago Industries, Inc. 2019 Omnibus Incentive Plan, previously filed as Appendix A to the Registrant's</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DEF 14A</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10/31/2018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860" w:type="dxa"/>
            <w:vAlign w:val="bottom"/>
            <w:tcBorders>
              <w:top w:val="single" w:sz="8" w:color="0000FF"/>
              <w:bottom w:val="single" w:sz="8" w:color="0000FF"/>
            </w:tcBorders>
            <w:gridSpan w:val="21"/>
            <w:shd w:val="clear" w:color="auto" w:fill="CCEEFF"/>
          </w:tcPr>
          <w:p>
            <w:pPr>
              <w:spacing w:after="0" w:line="131" w:lineRule="exact"/>
              <w:rPr>
                <w:rFonts w:ascii="Arial" w:cs="Arial" w:eastAsia="Arial" w:hAnsi="Arial"/>
                <w:sz w:val="13"/>
                <w:szCs w:val="13"/>
                <w:color w:val="0000FF"/>
                <w:w w:val="99"/>
              </w:rPr>
            </w:pPr>
            <w:hyperlink r:id="rId30">
              <w:r>
                <w:rPr>
                  <w:rFonts w:ascii="Arial" w:cs="Arial" w:eastAsia="Arial" w:hAnsi="Arial"/>
                  <w:sz w:val="13"/>
                  <w:szCs w:val="13"/>
                  <w:color w:val="0000FF"/>
                  <w:w w:val="99"/>
                </w:rPr>
                <w:t>Definitive Proxy Statement on Schedule 14A filed on October 31, 2018 (Commission File Number 001-</w:t>
              </w:r>
            </w:hyperlink>
          </w:p>
        </w:tc>
        <w:tc>
          <w:tcPr>
            <w:tcW w:w="260" w:type="dxa"/>
            <w:vAlign w:val="bottom"/>
            <w:tcBorders>
              <w:top w:val="single" w:sz="8" w:color="0000FF"/>
              <w:bottom w:val="single" w:sz="8" w:color="CCEEFF"/>
            </w:tcBorders>
            <w:gridSpan w:val="6"/>
            <w:shd w:val="clear" w:color="auto" w:fill="CCEEFF"/>
          </w:tcPr>
          <w:p>
            <w:pPr>
              <w:spacing w:after="0"/>
              <w:rPr>
                <w:sz w:val="11"/>
                <w:szCs w:val="11"/>
                <w:color w:val="auto"/>
              </w:rPr>
            </w:pPr>
          </w:p>
        </w:tc>
        <w:tc>
          <w:tcPr>
            <w:tcW w:w="16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1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1"/>
            <w:shd w:val="clear" w:color="auto" w:fill="CCEEFF"/>
          </w:tcPr>
          <w:p>
            <w:pPr>
              <w:spacing w:after="0" w:line="131" w:lineRule="exact"/>
              <w:rPr>
                <w:rFonts w:ascii="Arial" w:cs="Arial" w:eastAsia="Arial" w:hAnsi="Arial"/>
                <w:sz w:val="13"/>
                <w:szCs w:val="13"/>
                <w:color w:val="0000FF"/>
              </w:rPr>
            </w:pPr>
            <w:hyperlink r:id="rId30">
              <w:r>
                <w:rPr>
                  <w:rFonts w:ascii="Arial" w:cs="Arial" w:eastAsia="Arial" w:hAnsi="Arial"/>
                  <w:sz w:val="13"/>
                  <w:szCs w:val="13"/>
                  <w:color w:val="0000FF"/>
                </w:rPr>
                <w:t>06403) and incorporated by reference herein.</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10g.</w:t>
            </w:r>
          </w:p>
        </w:tc>
        <w:tc>
          <w:tcPr>
            <w:tcW w:w="20" w:type="dxa"/>
            <w:vAlign w:val="bottom"/>
          </w:tcPr>
          <w:p>
            <w:pPr>
              <w:spacing w:after="0"/>
              <w:rPr>
                <w:sz w:val="13"/>
                <w:szCs w:val="13"/>
                <w:color w:val="auto"/>
              </w:rPr>
            </w:pPr>
          </w:p>
        </w:tc>
        <w:tc>
          <w:tcPr>
            <w:tcW w:w="6080" w:type="dxa"/>
            <w:vAlign w:val="bottom"/>
            <w:tcBorders>
              <w:bottom w:val="single" w:sz="8" w:color="0000FF"/>
            </w:tcBorders>
            <w:gridSpan w:val="26"/>
          </w:tcPr>
          <w:p>
            <w:pPr>
              <w:spacing w:after="0"/>
              <w:rPr>
                <w:rFonts w:ascii="Arial" w:cs="Arial" w:eastAsia="Arial" w:hAnsi="Arial"/>
                <w:sz w:val="13"/>
                <w:szCs w:val="13"/>
                <w:color w:val="0000FF"/>
                <w:w w:val="99"/>
              </w:rPr>
            </w:pPr>
            <w:hyperlink r:id="rId31">
              <w:r>
                <w:rPr>
                  <w:rFonts w:ascii="Arial" w:cs="Arial" w:eastAsia="Arial" w:hAnsi="Arial"/>
                  <w:sz w:val="13"/>
                  <w:szCs w:val="13"/>
                  <w:color w:val="0000FF"/>
                  <w:w w:val="99"/>
                </w:rPr>
                <w:t>Winnebago Industries, Inc. Directors' Deferred Compensation Plan previously filed as Exhibit 10.E with the</w:t>
              </w:r>
            </w:hyperlink>
          </w:p>
        </w:tc>
        <w:tc>
          <w:tcPr>
            <w:tcW w:w="200" w:type="dxa"/>
            <w:vAlign w:val="bottom"/>
            <w:gridSpan w:val="5"/>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10-Q</w:t>
            </w:r>
          </w:p>
        </w:tc>
        <w:tc>
          <w:tcPr>
            <w:tcW w:w="8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06/28/2013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0" w:type="dxa"/>
            <w:vAlign w:val="bottom"/>
            <w:tcBorders>
              <w:bottom w:val="single" w:sz="8" w:color="0000FF"/>
            </w:tcBorders>
            <w:gridSpan w:val="20"/>
          </w:tcPr>
          <w:p>
            <w:pPr>
              <w:spacing w:after="0" w:line="131" w:lineRule="exact"/>
              <w:rPr>
                <w:rFonts w:ascii="Arial" w:cs="Arial" w:eastAsia="Arial" w:hAnsi="Arial"/>
                <w:sz w:val="13"/>
                <w:szCs w:val="13"/>
                <w:color w:val="0000FF"/>
                <w:w w:val="99"/>
              </w:rPr>
            </w:pPr>
            <w:hyperlink r:id="rId31">
              <w:r>
                <w:rPr>
                  <w:rFonts w:ascii="Arial" w:cs="Arial" w:eastAsia="Arial" w:hAnsi="Arial"/>
                  <w:sz w:val="13"/>
                  <w:szCs w:val="13"/>
                  <w:color w:val="0000FF"/>
                  <w:w w:val="99"/>
                </w:rPr>
                <w:t>Registrant's Annual Report on Form 10-K for the fiscal year ended August 30, 1997 (Commission File</w:t>
              </w:r>
            </w:hyperlink>
          </w:p>
        </w:tc>
        <w:tc>
          <w:tcPr>
            <w:tcW w:w="480" w:type="dxa"/>
            <w:vAlign w:val="bottom"/>
            <w:gridSpan w:val="11"/>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31">
              <w:r>
                <w:rPr>
                  <w:rFonts w:ascii="Arial" w:cs="Arial" w:eastAsia="Arial" w:hAnsi="Arial"/>
                  <w:sz w:val="13"/>
                  <w:szCs w:val="13"/>
                  <w:color w:val="0000FF"/>
                </w:rPr>
                <w:t>Number 001-06403), and incorporated by reference herein and the Amendment dated October 15, 2003</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31">
              <w:r>
                <w:rPr>
                  <w:rFonts w:ascii="Arial" w:cs="Arial" w:eastAsia="Arial" w:hAnsi="Arial"/>
                  <w:sz w:val="13"/>
                  <w:szCs w:val="13"/>
                  <w:color w:val="0000FF"/>
                </w:rPr>
                <w:t>previously filed as Exhibit 10.H with the Registrant's Quarterly Report on Form 10-Q for the quarter ended</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20" w:type="dxa"/>
            <w:vAlign w:val="bottom"/>
            <w:tcBorders>
              <w:top w:val="single" w:sz="8" w:color="0000FF"/>
            </w:tcBorders>
            <w:gridSpan w:val="24"/>
          </w:tcPr>
          <w:p>
            <w:pPr>
              <w:spacing w:after="0" w:line="131" w:lineRule="exact"/>
              <w:rPr>
                <w:rFonts w:ascii="Arial" w:cs="Arial" w:eastAsia="Arial" w:hAnsi="Arial"/>
                <w:sz w:val="13"/>
                <w:szCs w:val="13"/>
                <w:color w:val="0000FF"/>
                <w:w w:val="99"/>
              </w:rPr>
            </w:pPr>
            <w:hyperlink r:id="rId31">
              <w:r>
                <w:rPr>
                  <w:rFonts w:ascii="Arial" w:cs="Arial" w:eastAsia="Arial" w:hAnsi="Arial"/>
                  <w:sz w:val="13"/>
                  <w:szCs w:val="13"/>
                  <w:color w:val="0000FF"/>
                  <w:w w:val="99"/>
                </w:rPr>
                <w:t>November 29, 2003 (Commission File Number 001-06403) and incorporated by reference herein and the</w:t>
              </w:r>
            </w:hyperlink>
          </w:p>
        </w:tc>
        <w:tc>
          <w:tcPr>
            <w:tcW w:w="260" w:type="dxa"/>
            <w:vAlign w:val="bottom"/>
            <w:gridSpan w:val="7"/>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31">
              <w:r>
                <w:rPr>
                  <w:rFonts w:ascii="Arial" w:cs="Arial" w:eastAsia="Arial" w:hAnsi="Arial"/>
                  <w:sz w:val="13"/>
                  <w:szCs w:val="13"/>
                  <w:color w:val="0000FF"/>
                </w:rPr>
                <w:t>Amendment dated October 11, 2006 previously filed as Exhibit 10.B with the Registrant's Quarterly Report</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40" w:type="dxa"/>
            <w:vAlign w:val="bottom"/>
            <w:tcBorders>
              <w:top w:val="single" w:sz="8" w:color="0000FF"/>
              <w:bottom w:val="single" w:sz="8" w:color="0000FF"/>
            </w:tcBorders>
            <w:gridSpan w:val="23"/>
          </w:tcPr>
          <w:p>
            <w:pPr>
              <w:spacing w:after="0" w:line="131" w:lineRule="exact"/>
              <w:rPr>
                <w:rFonts w:ascii="Arial" w:cs="Arial" w:eastAsia="Arial" w:hAnsi="Arial"/>
                <w:sz w:val="13"/>
                <w:szCs w:val="13"/>
                <w:color w:val="0000FF"/>
                <w:w w:val="99"/>
              </w:rPr>
            </w:pPr>
            <w:hyperlink r:id="rId31">
              <w:r>
                <w:rPr>
                  <w:rFonts w:ascii="Arial" w:cs="Arial" w:eastAsia="Arial" w:hAnsi="Arial"/>
                  <w:sz w:val="13"/>
                  <w:szCs w:val="13"/>
                  <w:color w:val="0000FF"/>
                  <w:w w:val="99"/>
                </w:rPr>
                <w:t>on Form 10-Q for the quarter ended November 25, 2006 (Commission File Number 001-06403) and the</w:t>
              </w:r>
            </w:hyperlink>
          </w:p>
        </w:tc>
        <w:tc>
          <w:tcPr>
            <w:tcW w:w="120" w:type="dxa"/>
            <w:vAlign w:val="bottom"/>
            <w:tcBorders>
              <w:top w:val="single" w:sz="8" w:color="0000FF"/>
            </w:tcBorders>
            <w:gridSpan w:val="2"/>
          </w:tcPr>
          <w:p>
            <w:pPr>
              <w:spacing w:after="0"/>
              <w:rPr>
                <w:sz w:val="11"/>
                <w:szCs w:val="11"/>
                <w:color w:val="auto"/>
              </w:rPr>
            </w:pPr>
          </w:p>
        </w:tc>
        <w:tc>
          <w:tcPr>
            <w:tcW w:w="220" w:type="dxa"/>
            <w:vAlign w:val="bottom"/>
            <w:gridSpan w:val="6"/>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31">
              <w:r>
                <w:rPr>
                  <w:rFonts w:ascii="Arial" w:cs="Arial" w:eastAsia="Arial" w:hAnsi="Arial"/>
                  <w:sz w:val="13"/>
                  <w:szCs w:val="13"/>
                  <w:color w:val="0000FF"/>
                </w:rPr>
                <w:t>Amendment dated July 1, 2013.*</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10h.</w:t>
            </w:r>
          </w:p>
        </w:tc>
        <w:tc>
          <w:tcPr>
            <w:tcW w:w="20" w:type="dxa"/>
            <w:vAlign w:val="bottom"/>
            <w:shd w:val="clear" w:color="auto" w:fill="CCEEFF"/>
          </w:tcPr>
          <w:p>
            <w:pPr>
              <w:spacing w:after="0"/>
              <w:rPr>
                <w:sz w:val="13"/>
                <w:szCs w:val="13"/>
                <w:color w:val="auto"/>
              </w:rPr>
            </w:pPr>
          </w:p>
        </w:tc>
        <w:tc>
          <w:tcPr>
            <w:tcW w:w="6280" w:type="dxa"/>
            <w:vAlign w:val="bottom"/>
            <w:gridSpan w:val="31"/>
            <w:shd w:val="clear" w:color="auto" w:fill="CCEEFF"/>
          </w:tcPr>
          <w:p>
            <w:pPr>
              <w:spacing w:after="0"/>
              <w:rPr>
                <w:rFonts w:ascii="Arial" w:cs="Arial" w:eastAsia="Arial" w:hAnsi="Arial"/>
                <w:sz w:val="13"/>
                <w:szCs w:val="13"/>
                <w:color w:val="0000FF"/>
              </w:rPr>
            </w:pPr>
            <w:hyperlink r:id="rId25">
              <w:r>
                <w:rPr>
                  <w:rFonts w:ascii="Arial" w:cs="Arial" w:eastAsia="Arial" w:hAnsi="Arial"/>
                  <w:sz w:val="13"/>
                  <w:szCs w:val="13"/>
                  <w:color w:val="0000FF"/>
                </w:rPr>
                <w:t>Winnebago Industries, Inc. Profit Sharing and Deferred Savings Investment Plan previously filed with the</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10-K</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10.C</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11/22/1995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800" w:type="dxa"/>
            <w:vAlign w:val="bottom"/>
            <w:tcBorders>
              <w:top w:val="single" w:sz="8" w:color="0000FF"/>
              <w:bottom w:val="single" w:sz="8" w:color="0000FF"/>
            </w:tcBorders>
            <w:gridSpan w:val="20"/>
            <w:shd w:val="clear" w:color="auto" w:fill="CCEEFF"/>
          </w:tcPr>
          <w:p>
            <w:pPr>
              <w:spacing w:after="0" w:line="131" w:lineRule="exact"/>
              <w:rPr>
                <w:rFonts w:ascii="Arial" w:cs="Arial" w:eastAsia="Arial" w:hAnsi="Arial"/>
                <w:sz w:val="13"/>
                <w:szCs w:val="13"/>
                <w:color w:val="0000FF"/>
                <w:w w:val="99"/>
              </w:rPr>
            </w:pPr>
            <w:hyperlink r:id="rId25">
              <w:r>
                <w:rPr>
                  <w:rFonts w:ascii="Arial" w:cs="Arial" w:eastAsia="Arial" w:hAnsi="Arial"/>
                  <w:sz w:val="13"/>
                  <w:szCs w:val="13"/>
                  <w:color w:val="0000FF"/>
                  <w:w w:val="99"/>
                </w:rPr>
                <w:t>Registrant's Annual Report on Form 10-K for the fiscal year ended August 31, 1985 (Commission File</w:t>
              </w:r>
            </w:hyperlink>
          </w:p>
        </w:tc>
        <w:tc>
          <w:tcPr>
            <w:tcW w:w="140" w:type="dxa"/>
            <w:vAlign w:val="bottom"/>
            <w:tcBorders>
              <w:top w:val="single" w:sz="8" w:color="0000FF"/>
              <w:bottom w:val="single" w:sz="8" w:color="CCEEFF"/>
              <w:right w:val="single" w:sz="8" w:color="CCEEFF"/>
            </w:tcBorders>
            <w:gridSpan w:val="3"/>
            <w:shd w:val="clear" w:color="auto" w:fill="CCEEFF"/>
          </w:tcPr>
          <w:p>
            <w:pPr>
              <w:spacing w:after="0"/>
              <w:rPr>
                <w:sz w:val="11"/>
                <w:szCs w:val="11"/>
                <w:color w:val="auto"/>
              </w:rPr>
            </w:pPr>
          </w:p>
        </w:tc>
        <w:tc>
          <w:tcPr>
            <w:tcW w:w="340" w:type="dxa"/>
            <w:vAlign w:val="bottom"/>
            <w:tcBorders>
              <w:top w:val="single" w:sz="8" w:color="CCEEFF"/>
              <w:left w:val="single" w:sz="8" w:color="CCEEFF"/>
              <w:bottom w:val="single" w:sz="8" w:color="CCEEFF"/>
            </w:tcBorders>
            <w:gridSpan w:val="8"/>
            <w:shd w:val="clear" w:color="auto" w:fill="CCEEFF"/>
          </w:tcPr>
          <w:p>
            <w:pPr>
              <w:spacing w:after="0"/>
              <w:rPr>
                <w:sz w:val="11"/>
                <w:szCs w:val="11"/>
                <w:color w:val="auto"/>
              </w:rPr>
            </w:pPr>
          </w:p>
        </w:tc>
        <w:tc>
          <w:tcPr>
            <w:tcW w:w="1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680" w:type="dxa"/>
            <w:vAlign w:val="bottom"/>
            <w:tcBorders>
              <w:bottom w:val="single" w:sz="8" w:color="0000FF"/>
            </w:tcBorders>
            <w:gridSpan w:val="17"/>
            <w:shd w:val="clear" w:color="auto" w:fill="CCEEFF"/>
          </w:tcPr>
          <w:p>
            <w:pPr>
              <w:spacing w:after="0" w:line="131" w:lineRule="exact"/>
              <w:rPr>
                <w:rFonts w:ascii="Arial" w:cs="Arial" w:eastAsia="Arial" w:hAnsi="Arial"/>
                <w:sz w:val="13"/>
                <w:szCs w:val="13"/>
                <w:color w:val="0000FF"/>
                <w:w w:val="99"/>
              </w:rPr>
            </w:pPr>
            <w:hyperlink r:id="rId25">
              <w:r>
                <w:rPr>
                  <w:rFonts w:ascii="Arial" w:cs="Arial" w:eastAsia="Arial" w:hAnsi="Arial"/>
                  <w:sz w:val="13"/>
                  <w:szCs w:val="13"/>
                  <w:color w:val="0000FF"/>
                  <w:w w:val="99"/>
                </w:rPr>
                <w:t>Number 001-06403), and incorporated by reference herein, the Amendment dated July 1, 1995 and</w:t>
              </w:r>
            </w:hyperlink>
          </w:p>
        </w:tc>
        <w:tc>
          <w:tcPr>
            <w:tcW w:w="600" w:type="dxa"/>
            <w:vAlign w:val="bottom"/>
            <w:tcBorders>
              <w:bottom w:val="single" w:sz="8" w:color="CCEEFF"/>
            </w:tcBorders>
            <w:gridSpan w:val="14"/>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1"/>
            <w:shd w:val="clear" w:color="auto" w:fill="CCEEFF"/>
          </w:tcPr>
          <w:p>
            <w:pPr>
              <w:spacing w:after="0" w:line="131" w:lineRule="exact"/>
              <w:rPr>
                <w:rFonts w:ascii="Arial" w:cs="Arial" w:eastAsia="Arial" w:hAnsi="Arial"/>
                <w:sz w:val="13"/>
                <w:szCs w:val="13"/>
                <w:color w:val="0000FF"/>
              </w:rPr>
            </w:pPr>
            <w:hyperlink r:id="rId25">
              <w:r>
                <w:rPr>
                  <w:rFonts w:ascii="Arial" w:cs="Arial" w:eastAsia="Arial" w:hAnsi="Arial"/>
                  <w:sz w:val="13"/>
                  <w:szCs w:val="13"/>
                  <w:color w:val="0000FF"/>
                </w:rPr>
                <w:t>incorporated by reference herein.*</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10i.</w:t>
            </w:r>
          </w:p>
        </w:tc>
        <w:tc>
          <w:tcPr>
            <w:tcW w:w="20" w:type="dxa"/>
            <w:vAlign w:val="bottom"/>
          </w:tcPr>
          <w:p>
            <w:pPr>
              <w:spacing w:after="0"/>
              <w:rPr>
                <w:sz w:val="13"/>
                <w:szCs w:val="13"/>
                <w:color w:val="auto"/>
              </w:rPr>
            </w:pPr>
          </w:p>
        </w:tc>
        <w:tc>
          <w:tcPr>
            <w:tcW w:w="5900" w:type="dxa"/>
            <w:vAlign w:val="bottom"/>
            <w:tcBorders>
              <w:bottom w:val="single" w:sz="8" w:color="0000FF"/>
            </w:tcBorders>
            <w:gridSpan w:val="22"/>
          </w:tcPr>
          <w:p>
            <w:pPr>
              <w:spacing w:after="0"/>
              <w:rPr>
                <w:rFonts w:ascii="Arial" w:cs="Arial" w:eastAsia="Arial" w:hAnsi="Arial"/>
                <w:sz w:val="13"/>
                <w:szCs w:val="13"/>
                <w:color w:val="0000FF"/>
                <w:w w:val="98"/>
              </w:rPr>
            </w:pPr>
            <w:hyperlink r:id="rId32">
              <w:r>
                <w:rPr>
                  <w:rFonts w:ascii="Arial" w:cs="Arial" w:eastAsia="Arial" w:hAnsi="Arial"/>
                  <w:sz w:val="13"/>
                  <w:szCs w:val="13"/>
                  <w:color w:val="0000FF"/>
                  <w:w w:val="98"/>
                </w:rPr>
                <w:t>Winnebago Industries, Inc. Officers' Long-Term Incentive Plan, fiscal three-year period 2016, 2017, and</w:t>
              </w:r>
            </w:hyperlink>
          </w:p>
        </w:tc>
        <w:tc>
          <w:tcPr>
            <w:tcW w:w="380" w:type="dxa"/>
            <w:vAlign w:val="bottom"/>
            <w:gridSpan w:val="9"/>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06/18/2015</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3"/>
          </w:tcPr>
          <w:p>
            <w:pPr>
              <w:ind w:left="20"/>
              <w:spacing w:after="0" w:line="131" w:lineRule="exact"/>
              <w:rPr>
                <w:rFonts w:ascii="Arial" w:cs="Arial" w:eastAsia="Arial" w:hAnsi="Arial"/>
                <w:sz w:val="13"/>
                <w:szCs w:val="13"/>
                <w:color w:val="0000FF"/>
                <w:w w:val="90"/>
              </w:rPr>
            </w:pPr>
            <w:hyperlink r:id="rId32">
              <w:r>
                <w:rPr>
                  <w:rFonts w:ascii="Arial" w:cs="Arial" w:eastAsia="Arial" w:hAnsi="Arial"/>
                  <w:sz w:val="13"/>
                  <w:szCs w:val="13"/>
                  <w:color w:val="0000FF"/>
                  <w:w w:val="90"/>
                </w:rPr>
                <w:t>2018.*</w:t>
              </w:r>
            </w:hyperlink>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10j.</w:t>
            </w:r>
          </w:p>
        </w:tc>
        <w:tc>
          <w:tcPr>
            <w:tcW w:w="20" w:type="dxa"/>
            <w:vAlign w:val="bottom"/>
            <w:tcBorders>
              <w:bottom w:val="single" w:sz="8" w:color="CCEEFF"/>
            </w:tcBorders>
            <w:shd w:val="clear" w:color="auto" w:fill="CCEEFF"/>
          </w:tcPr>
          <w:p>
            <w:pPr>
              <w:spacing w:after="0"/>
              <w:rPr>
                <w:sz w:val="13"/>
                <w:szCs w:val="13"/>
                <w:color w:val="auto"/>
              </w:rPr>
            </w:pPr>
          </w:p>
        </w:tc>
        <w:tc>
          <w:tcPr>
            <w:tcW w:w="5900" w:type="dxa"/>
            <w:vAlign w:val="bottom"/>
            <w:tcBorders>
              <w:bottom w:val="single" w:sz="8" w:color="0000FF"/>
            </w:tcBorders>
            <w:gridSpan w:val="22"/>
            <w:shd w:val="clear" w:color="auto" w:fill="CCEEFF"/>
          </w:tcPr>
          <w:p>
            <w:pPr>
              <w:spacing w:after="0"/>
              <w:rPr>
                <w:rFonts w:ascii="Arial" w:cs="Arial" w:eastAsia="Arial" w:hAnsi="Arial"/>
                <w:sz w:val="13"/>
                <w:szCs w:val="13"/>
                <w:color w:val="0000FF"/>
                <w:w w:val="98"/>
              </w:rPr>
            </w:pPr>
            <w:hyperlink r:id="rId33">
              <w:r>
                <w:rPr>
                  <w:rFonts w:ascii="Arial" w:cs="Arial" w:eastAsia="Arial" w:hAnsi="Arial"/>
                  <w:sz w:val="13"/>
                  <w:szCs w:val="13"/>
                  <w:color w:val="0000FF"/>
                  <w:w w:val="98"/>
                </w:rPr>
                <w:t>Winnebago Industries, Inc. Officers' Long-Term Incentive Plan, fiscal three-year period 2017, 2018, and</w:t>
              </w:r>
            </w:hyperlink>
          </w:p>
        </w:tc>
        <w:tc>
          <w:tcPr>
            <w:tcW w:w="380" w:type="dxa"/>
            <w:vAlign w:val="bottom"/>
            <w:tcBorders>
              <w:bottom w:val="single" w:sz="8" w:color="CCEEFF"/>
            </w:tcBorders>
            <w:gridSpan w:val="9"/>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10/14/2016</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20"/>
              <w:spacing w:after="0" w:line="131" w:lineRule="exact"/>
              <w:rPr>
                <w:rFonts w:ascii="Arial" w:cs="Arial" w:eastAsia="Arial" w:hAnsi="Arial"/>
                <w:sz w:val="13"/>
                <w:szCs w:val="13"/>
                <w:color w:val="0000FF"/>
                <w:w w:val="90"/>
              </w:rPr>
            </w:pPr>
            <w:hyperlink r:id="rId33">
              <w:r>
                <w:rPr>
                  <w:rFonts w:ascii="Arial" w:cs="Arial" w:eastAsia="Arial" w:hAnsi="Arial"/>
                  <w:sz w:val="13"/>
                  <w:szCs w:val="13"/>
                  <w:color w:val="0000FF"/>
                  <w:w w:val="90"/>
                </w:rPr>
                <w:t>2019.*</w:t>
              </w:r>
            </w:hyperlink>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10k.</w:t>
            </w:r>
          </w:p>
        </w:tc>
        <w:tc>
          <w:tcPr>
            <w:tcW w:w="20" w:type="dxa"/>
            <w:vAlign w:val="bottom"/>
          </w:tcPr>
          <w:p>
            <w:pPr>
              <w:spacing w:after="0"/>
              <w:rPr>
                <w:sz w:val="13"/>
                <w:szCs w:val="13"/>
                <w:color w:val="auto"/>
              </w:rPr>
            </w:pPr>
          </w:p>
        </w:tc>
        <w:tc>
          <w:tcPr>
            <w:tcW w:w="5900" w:type="dxa"/>
            <w:vAlign w:val="bottom"/>
            <w:tcBorders>
              <w:bottom w:val="single" w:sz="8" w:color="0000FF"/>
            </w:tcBorders>
            <w:gridSpan w:val="22"/>
          </w:tcPr>
          <w:p>
            <w:pPr>
              <w:spacing w:after="0"/>
              <w:rPr>
                <w:rFonts w:ascii="Arial" w:cs="Arial" w:eastAsia="Arial" w:hAnsi="Arial"/>
                <w:sz w:val="13"/>
                <w:szCs w:val="13"/>
                <w:color w:val="0000FF"/>
                <w:w w:val="98"/>
              </w:rPr>
            </w:pPr>
            <w:hyperlink r:id="rId34">
              <w:r>
                <w:rPr>
                  <w:rFonts w:ascii="Arial" w:cs="Arial" w:eastAsia="Arial" w:hAnsi="Arial"/>
                  <w:sz w:val="13"/>
                  <w:szCs w:val="13"/>
                  <w:color w:val="0000FF"/>
                  <w:w w:val="98"/>
                </w:rPr>
                <w:t>Winnebago Industries, Inc. Officers' Long-Term Incentive Plan, fiscal three-year period 2018, 2019, and</w:t>
              </w:r>
            </w:hyperlink>
          </w:p>
        </w:tc>
        <w:tc>
          <w:tcPr>
            <w:tcW w:w="380" w:type="dxa"/>
            <w:vAlign w:val="bottom"/>
            <w:gridSpan w:val="9"/>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10/20/2017</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3"/>
          </w:tcPr>
          <w:p>
            <w:pPr>
              <w:ind w:left="20"/>
              <w:spacing w:after="0" w:line="131" w:lineRule="exact"/>
              <w:rPr>
                <w:rFonts w:ascii="Arial" w:cs="Arial" w:eastAsia="Arial" w:hAnsi="Arial"/>
                <w:sz w:val="13"/>
                <w:szCs w:val="13"/>
                <w:color w:val="0000FF"/>
                <w:w w:val="90"/>
              </w:rPr>
            </w:pPr>
            <w:hyperlink r:id="rId34">
              <w:r>
                <w:rPr>
                  <w:rFonts w:ascii="Arial" w:cs="Arial" w:eastAsia="Arial" w:hAnsi="Arial"/>
                  <w:sz w:val="13"/>
                  <w:szCs w:val="13"/>
                  <w:color w:val="0000FF"/>
                  <w:w w:val="90"/>
                </w:rPr>
                <w:t>2020.*</w:t>
              </w:r>
            </w:hyperlink>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10l.</w:t>
            </w:r>
          </w:p>
        </w:tc>
        <w:tc>
          <w:tcPr>
            <w:tcW w:w="20" w:type="dxa"/>
            <w:vAlign w:val="bottom"/>
            <w:shd w:val="clear" w:color="auto" w:fill="CCEEFF"/>
          </w:tcPr>
          <w:p>
            <w:pPr>
              <w:spacing w:after="0"/>
              <w:rPr>
                <w:sz w:val="13"/>
                <w:szCs w:val="13"/>
                <w:color w:val="auto"/>
              </w:rPr>
            </w:pPr>
          </w:p>
        </w:tc>
        <w:tc>
          <w:tcPr>
            <w:tcW w:w="6280" w:type="dxa"/>
            <w:vAlign w:val="bottom"/>
            <w:gridSpan w:val="31"/>
            <w:shd w:val="clear" w:color="auto" w:fill="CCEEFF"/>
          </w:tcPr>
          <w:p>
            <w:pPr>
              <w:spacing w:after="0"/>
              <w:rPr>
                <w:rFonts w:ascii="Arial" w:cs="Arial" w:eastAsia="Arial" w:hAnsi="Arial"/>
                <w:sz w:val="13"/>
                <w:szCs w:val="13"/>
                <w:color w:val="0000FF"/>
              </w:rPr>
            </w:pPr>
            <w:hyperlink r:id="rId35">
              <w:r>
                <w:rPr>
                  <w:rFonts w:ascii="Arial" w:cs="Arial" w:eastAsia="Arial" w:hAnsi="Arial"/>
                  <w:sz w:val="13"/>
                  <w:szCs w:val="13"/>
                  <w:color w:val="0000FF"/>
                </w:rPr>
                <w:t>Form of Non-Qualified Stock Option Agreement under Winnebago Industries, Inc. 2014 Omnibus Equity,</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10-Q</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10.b</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940" w:type="dxa"/>
            <w:vAlign w:val="bottom"/>
            <w:tcBorders>
              <w:top w:val="single" w:sz="8" w:color="0000FF"/>
              <w:right w:val="single" w:sz="8" w:color="CCEEFF"/>
            </w:tcBorders>
            <w:gridSpan w:val="23"/>
            <w:shd w:val="clear" w:color="auto" w:fill="CCEEFF"/>
          </w:tcPr>
          <w:p>
            <w:pPr>
              <w:spacing w:after="0" w:line="131" w:lineRule="exact"/>
              <w:rPr>
                <w:rFonts w:ascii="Arial" w:cs="Arial" w:eastAsia="Arial" w:hAnsi="Arial"/>
                <w:sz w:val="13"/>
                <w:szCs w:val="13"/>
                <w:color w:val="0000FF"/>
              </w:rPr>
            </w:pPr>
            <w:hyperlink r:id="rId35">
              <w:r>
                <w:rPr>
                  <w:rFonts w:ascii="Arial" w:cs="Arial" w:eastAsia="Arial" w:hAnsi="Arial"/>
                  <w:sz w:val="13"/>
                  <w:szCs w:val="13"/>
                  <w:color w:val="0000FF"/>
                </w:rPr>
                <w:t>Performance, and Incentive Compensation Plan (Fiscal 2019 awards).</w:t>
              </w:r>
            </w:hyperlink>
          </w:p>
        </w:tc>
        <w:tc>
          <w:tcPr>
            <w:tcW w:w="340" w:type="dxa"/>
            <w:vAlign w:val="bottom"/>
            <w:tcBorders>
              <w:top w:val="single" w:sz="8" w:color="CCEEFF"/>
              <w:left w:val="single" w:sz="8" w:color="CCEEFF"/>
            </w:tcBorders>
            <w:gridSpan w:val="8"/>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11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10m.</w:t>
            </w:r>
          </w:p>
        </w:tc>
        <w:tc>
          <w:tcPr>
            <w:tcW w:w="20" w:type="dxa"/>
            <w:vAlign w:val="bottom"/>
          </w:tcPr>
          <w:p>
            <w:pPr>
              <w:spacing w:after="0"/>
              <w:rPr>
                <w:sz w:val="13"/>
                <w:szCs w:val="13"/>
                <w:color w:val="auto"/>
              </w:rPr>
            </w:pPr>
          </w:p>
        </w:tc>
        <w:tc>
          <w:tcPr>
            <w:tcW w:w="5760" w:type="dxa"/>
            <w:vAlign w:val="bottom"/>
            <w:tcBorders>
              <w:bottom w:val="single" w:sz="8" w:color="0000FF"/>
            </w:tcBorders>
            <w:gridSpan w:val="19"/>
          </w:tcPr>
          <w:p>
            <w:pPr>
              <w:spacing w:after="0"/>
              <w:rPr>
                <w:rFonts w:ascii="Arial" w:cs="Arial" w:eastAsia="Arial" w:hAnsi="Arial"/>
                <w:sz w:val="13"/>
                <w:szCs w:val="13"/>
                <w:color w:val="0000FF"/>
                <w:w w:val="99"/>
              </w:rPr>
            </w:pPr>
            <w:hyperlink r:id="rId36">
              <w:r>
                <w:rPr>
                  <w:rFonts w:ascii="Arial" w:cs="Arial" w:eastAsia="Arial" w:hAnsi="Arial"/>
                  <w:sz w:val="13"/>
                  <w:szCs w:val="13"/>
                  <w:color w:val="0000FF"/>
                  <w:w w:val="99"/>
                </w:rPr>
                <w:t>Form of Restricted Stock Unit Award Agreement (Executives) under Winnebago Industries, Inc. 2014</w:t>
              </w:r>
            </w:hyperlink>
          </w:p>
        </w:tc>
        <w:tc>
          <w:tcPr>
            <w:tcW w:w="520" w:type="dxa"/>
            <w:vAlign w:val="bottom"/>
            <w:gridSpan w:val="12"/>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10-Q</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10.c</w:t>
            </w:r>
          </w:p>
        </w:tc>
        <w:tc>
          <w:tcPr>
            <w:tcW w:w="11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36">
              <w:r>
                <w:rPr>
                  <w:rFonts w:ascii="Arial" w:cs="Arial" w:eastAsia="Arial" w:hAnsi="Arial"/>
                  <w:sz w:val="13"/>
                  <w:szCs w:val="13"/>
                  <w:color w:val="0000FF"/>
                </w:rPr>
                <w:t>Omnibus Equity, Performance Award, and Incentive Compensation Plan (Fiscal 2019 awards).</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10n.</w:t>
            </w:r>
          </w:p>
        </w:tc>
        <w:tc>
          <w:tcPr>
            <w:tcW w:w="20" w:type="dxa"/>
            <w:vAlign w:val="bottom"/>
            <w:shd w:val="clear" w:color="auto" w:fill="CCEEFF"/>
          </w:tcPr>
          <w:p>
            <w:pPr>
              <w:spacing w:after="0"/>
              <w:rPr>
                <w:sz w:val="13"/>
                <w:szCs w:val="13"/>
                <w:color w:val="auto"/>
              </w:rPr>
            </w:pPr>
          </w:p>
        </w:tc>
        <w:tc>
          <w:tcPr>
            <w:tcW w:w="6280" w:type="dxa"/>
            <w:vAlign w:val="bottom"/>
            <w:gridSpan w:val="31"/>
            <w:shd w:val="clear" w:color="auto" w:fill="CCEEFF"/>
          </w:tcPr>
          <w:p>
            <w:pPr>
              <w:spacing w:after="0"/>
              <w:rPr>
                <w:rFonts w:ascii="Arial" w:cs="Arial" w:eastAsia="Arial" w:hAnsi="Arial"/>
                <w:sz w:val="13"/>
                <w:szCs w:val="13"/>
                <w:color w:val="0000FF"/>
              </w:rPr>
            </w:pPr>
            <w:hyperlink r:id="rId37">
              <w:r>
                <w:rPr>
                  <w:rFonts w:ascii="Arial" w:cs="Arial" w:eastAsia="Arial" w:hAnsi="Arial"/>
                  <w:sz w:val="13"/>
                  <w:szCs w:val="13"/>
                  <w:color w:val="0000FF"/>
                </w:rPr>
                <w:t>Form of Performance Stock Unit Agreement under Winnebago Industries, Inc. 2014 Omnibus Equity,</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10-Q</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10.d</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740" w:type="dxa"/>
            <w:vAlign w:val="bottom"/>
            <w:tcBorders>
              <w:top w:val="single" w:sz="8" w:color="0000FF"/>
            </w:tcBorders>
            <w:gridSpan w:val="18"/>
            <w:shd w:val="clear" w:color="auto" w:fill="CCEEFF"/>
          </w:tcPr>
          <w:p>
            <w:pPr>
              <w:spacing w:after="0" w:line="131" w:lineRule="exact"/>
              <w:rPr>
                <w:rFonts w:ascii="Arial" w:cs="Arial" w:eastAsia="Arial" w:hAnsi="Arial"/>
                <w:sz w:val="13"/>
                <w:szCs w:val="13"/>
                <w:color w:val="0000FF"/>
              </w:rPr>
            </w:pPr>
            <w:hyperlink r:id="rId37">
              <w:r>
                <w:rPr>
                  <w:rFonts w:ascii="Arial" w:cs="Arial" w:eastAsia="Arial" w:hAnsi="Arial"/>
                  <w:sz w:val="13"/>
                  <w:szCs w:val="13"/>
                  <w:color w:val="0000FF"/>
                </w:rPr>
                <w:t>Performance Award, and Incentive Compensation Plan (Fiscal 2019 awards).</w:t>
              </w:r>
            </w:hyperlink>
          </w:p>
        </w:tc>
        <w:tc>
          <w:tcPr>
            <w:tcW w:w="540" w:type="dxa"/>
            <w:vAlign w:val="bottom"/>
            <w:tcBorders>
              <w:top w:val="single" w:sz="8" w:color="CCEEFF"/>
            </w:tcBorders>
            <w:gridSpan w:val="13"/>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11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10o.</w:t>
            </w:r>
          </w:p>
        </w:tc>
        <w:tc>
          <w:tcPr>
            <w:tcW w:w="20" w:type="dxa"/>
            <w:vAlign w:val="bottom"/>
          </w:tcPr>
          <w:p>
            <w:pPr>
              <w:spacing w:after="0"/>
              <w:rPr>
                <w:sz w:val="13"/>
                <w:szCs w:val="13"/>
                <w:color w:val="auto"/>
              </w:rPr>
            </w:pPr>
          </w:p>
        </w:tc>
        <w:tc>
          <w:tcPr>
            <w:tcW w:w="6280" w:type="dxa"/>
            <w:vAlign w:val="bottom"/>
            <w:gridSpan w:val="31"/>
          </w:tcPr>
          <w:p>
            <w:pPr>
              <w:spacing w:after="0"/>
              <w:rPr>
                <w:rFonts w:ascii="Arial" w:cs="Arial" w:eastAsia="Arial" w:hAnsi="Arial"/>
                <w:sz w:val="13"/>
                <w:szCs w:val="13"/>
                <w:color w:val="0000FF"/>
              </w:rPr>
            </w:pPr>
            <w:hyperlink r:id="rId38">
              <w:r>
                <w:rPr>
                  <w:rFonts w:ascii="Arial" w:cs="Arial" w:eastAsia="Arial" w:hAnsi="Arial"/>
                  <w:sz w:val="13"/>
                  <w:szCs w:val="13"/>
                  <w:color w:val="0000FF"/>
                </w:rPr>
                <w:t>Form of Restricted Stock Unit Award Agreement (Non-Employee Director) under Winnebago Industries,</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10-Q</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10.e</w:t>
            </w:r>
          </w:p>
        </w:tc>
        <w:tc>
          <w:tcPr>
            <w:tcW w:w="11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38">
              <w:r>
                <w:rPr>
                  <w:rFonts w:ascii="Arial" w:cs="Arial" w:eastAsia="Arial" w:hAnsi="Arial"/>
                  <w:sz w:val="13"/>
                  <w:szCs w:val="13"/>
                  <w:color w:val="0000FF"/>
                </w:rPr>
                <w:t>Inc. 2014 Omnibus Equity, Performance Award, and Incentive Compensation Plan (Fiscal 2019 awards).</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10p.</w:t>
            </w:r>
          </w:p>
        </w:tc>
        <w:tc>
          <w:tcPr>
            <w:tcW w:w="20" w:type="dxa"/>
            <w:vAlign w:val="bottom"/>
            <w:shd w:val="clear" w:color="auto" w:fill="CCEEFF"/>
          </w:tcPr>
          <w:p>
            <w:pPr>
              <w:spacing w:after="0"/>
              <w:rPr>
                <w:sz w:val="13"/>
                <w:szCs w:val="13"/>
                <w:color w:val="auto"/>
              </w:rPr>
            </w:pPr>
          </w:p>
        </w:tc>
        <w:tc>
          <w:tcPr>
            <w:tcW w:w="6280" w:type="dxa"/>
            <w:vAlign w:val="bottom"/>
            <w:gridSpan w:val="31"/>
            <w:shd w:val="clear" w:color="auto" w:fill="CCEEFF"/>
          </w:tcPr>
          <w:p>
            <w:pPr>
              <w:spacing w:after="0"/>
              <w:rPr>
                <w:rFonts w:ascii="Arial" w:cs="Arial" w:eastAsia="Arial" w:hAnsi="Arial"/>
                <w:sz w:val="13"/>
                <w:szCs w:val="13"/>
                <w:color w:val="0000FF"/>
              </w:rPr>
            </w:pPr>
            <w:hyperlink w:anchor="page82">
              <w:r>
                <w:rPr>
                  <w:rFonts w:ascii="Arial" w:cs="Arial" w:eastAsia="Arial" w:hAnsi="Arial"/>
                  <w:sz w:val="13"/>
                  <w:szCs w:val="13"/>
                  <w:color w:val="0000FF"/>
                </w:rPr>
                <w:t>Executive Change of Control Agreement dated November 2018 between Winnebago Industries, Inc. and</w:t>
              </w:r>
            </w:hyperlink>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940" w:type="dxa"/>
            <w:vAlign w:val="bottom"/>
            <w:tcBorders>
              <w:top w:val="single" w:sz="8" w:color="0000FF"/>
              <w:right w:val="single" w:sz="8" w:color="CCEEFF"/>
            </w:tcBorders>
            <w:gridSpan w:val="23"/>
            <w:shd w:val="clear" w:color="auto" w:fill="CCEEFF"/>
          </w:tcPr>
          <w:p>
            <w:pPr>
              <w:spacing w:after="0" w:line="131" w:lineRule="exact"/>
              <w:rPr>
                <w:rFonts w:ascii="Arial" w:cs="Arial" w:eastAsia="Arial" w:hAnsi="Arial"/>
                <w:sz w:val="13"/>
                <w:szCs w:val="13"/>
                <w:color w:val="0000FF"/>
              </w:rPr>
            </w:pPr>
            <w:hyperlink w:anchor="page82">
              <w:r>
                <w:rPr>
                  <w:rFonts w:ascii="Arial" w:cs="Arial" w:eastAsia="Arial" w:hAnsi="Arial"/>
                  <w:sz w:val="13"/>
                  <w:szCs w:val="13"/>
                  <w:color w:val="0000FF"/>
                </w:rPr>
                <w:t>Michael J. Happe.*</w:t>
              </w:r>
            </w:hyperlink>
          </w:p>
        </w:tc>
        <w:tc>
          <w:tcPr>
            <w:tcW w:w="340" w:type="dxa"/>
            <w:vAlign w:val="bottom"/>
            <w:tcBorders>
              <w:top w:val="single" w:sz="8" w:color="CCEEFF"/>
              <w:left w:val="single" w:sz="8" w:color="CCEEFF"/>
            </w:tcBorders>
            <w:gridSpan w:val="8"/>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10q.</w:t>
            </w:r>
          </w:p>
        </w:tc>
        <w:tc>
          <w:tcPr>
            <w:tcW w:w="20" w:type="dxa"/>
            <w:vAlign w:val="bottom"/>
          </w:tcPr>
          <w:p>
            <w:pPr>
              <w:spacing w:after="0"/>
              <w:rPr>
                <w:sz w:val="13"/>
                <w:szCs w:val="13"/>
                <w:color w:val="auto"/>
              </w:rPr>
            </w:pPr>
          </w:p>
        </w:tc>
        <w:tc>
          <w:tcPr>
            <w:tcW w:w="6280" w:type="dxa"/>
            <w:vAlign w:val="bottom"/>
            <w:gridSpan w:val="31"/>
          </w:tcPr>
          <w:p>
            <w:pPr>
              <w:spacing w:after="0"/>
              <w:rPr>
                <w:rFonts w:ascii="Arial" w:cs="Arial" w:eastAsia="Arial" w:hAnsi="Arial"/>
                <w:sz w:val="13"/>
                <w:szCs w:val="13"/>
                <w:color w:val="0000FF"/>
              </w:rPr>
            </w:pPr>
            <w:hyperlink r:id="rId39">
              <w:r>
                <w:rPr>
                  <w:rFonts w:ascii="Arial" w:cs="Arial" w:eastAsia="Arial" w:hAnsi="Arial"/>
                  <w:sz w:val="13"/>
                  <w:szCs w:val="13"/>
                  <w:color w:val="0000FF"/>
                </w:rPr>
                <w:t>Form of Change in Control Agreement.</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10-Q</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10.f</w:t>
            </w:r>
          </w:p>
        </w:tc>
        <w:tc>
          <w:tcPr>
            <w:tcW w:w="11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10r.</w:t>
            </w:r>
          </w:p>
        </w:tc>
        <w:tc>
          <w:tcPr>
            <w:tcW w:w="20" w:type="dxa"/>
            <w:vAlign w:val="bottom"/>
            <w:shd w:val="clear" w:color="auto" w:fill="CCEEFF"/>
          </w:tcPr>
          <w:p>
            <w:pPr>
              <w:spacing w:after="0"/>
              <w:rPr>
                <w:sz w:val="13"/>
                <w:szCs w:val="13"/>
                <w:color w:val="auto"/>
              </w:rPr>
            </w:pPr>
          </w:p>
        </w:tc>
        <w:tc>
          <w:tcPr>
            <w:tcW w:w="6280" w:type="dxa"/>
            <w:vAlign w:val="bottom"/>
            <w:gridSpan w:val="31"/>
            <w:shd w:val="clear" w:color="auto" w:fill="CCEEFF"/>
          </w:tcPr>
          <w:p>
            <w:pPr>
              <w:spacing w:after="0"/>
              <w:rPr>
                <w:rFonts w:ascii="Arial" w:cs="Arial" w:eastAsia="Arial" w:hAnsi="Arial"/>
                <w:sz w:val="13"/>
                <w:szCs w:val="13"/>
                <w:color w:val="0000FF"/>
              </w:rPr>
            </w:pPr>
            <w:hyperlink r:id="rId40">
              <w:r>
                <w:rPr>
                  <w:rFonts w:ascii="Arial" w:cs="Arial" w:eastAsia="Arial" w:hAnsi="Arial"/>
                  <w:sz w:val="13"/>
                  <w:szCs w:val="13"/>
                  <w:color w:val="0000FF"/>
                </w:rPr>
                <w:t>Winnebago Industries, Inc. Supplemental Executive Retirement Plan.*</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10-K</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10.Z</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10/27/2009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11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10s.</w:t>
            </w:r>
          </w:p>
        </w:tc>
        <w:tc>
          <w:tcPr>
            <w:tcW w:w="20" w:type="dxa"/>
            <w:vAlign w:val="bottom"/>
          </w:tcPr>
          <w:p>
            <w:pPr>
              <w:spacing w:after="0"/>
              <w:rPr>
                <w:sz w:val="13"/>
                <w:szCs w:val="13"/>
                <w:color w:val="auto"/>
              </w:rPr>
            </w:pPr>
          </w:p>
        </w:tc>
        <w:tc>
          <w:tcPr>
            <w:tcW w:w="6280" w:type="dxa"/>
            <w:vAlign w:val="bottom"/>
            <w:gridSpan w:val="31"/>
          </w:tcPr>
          <w:p>
            <w:pPr>
              <w:spacing w:after="0"/>
              <w:rPr>
                <w:rFonts w:ascii="Arial" w:cs="Arial" w:eastAsia="Arial" w:hAnsi="Arial"/>
                <w:sz w:val="13"/>
                <w:szCs w:val="13"/>
                <w:color w:val="0000FF"/>
              </w:rPr>
            </w:pPr>
            <w:hyperlink w:anchor="page94">
              <w:r>
                <w:rPr>
                  <w:rFonts w:ascii="Arial" w:cs="Arial" w:eastAsia="Arial" w:hAnsi="Arial"/>
                  <w:sz w:val="13"/>
                  <w:szCs w:val="13"/>
                  <w:color w:val="0000FF"/>
                </w:rPr>
                <w:t>Winnebago Industries, Inc. Officers' Incentive Compensation Plan for Fiscal Period 2019.*</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10t.</w:t>
            </w:r>
          </w:p>
        </w:tc>
        <w:tc>
          <w:tcPr>
            <w:tcW w:w="20" w:type="dxa"/>
            <w:vAlign w:val="bottom"/>
            <w:tcBorders>
              <w:bottom w:val="single" w:sz="8" w:color="CCEEFF"/>
            </w:tcBorders>
            <w:shd w:val="clear" w:color="auto" w:fill="CCEEFF"/>
          </w:tcPr>
          <w:p>
            <w:pPr>
              <w:spacing w:after="0"/>
              <w:rPr>
                <w:sz w:val="13"/>
                <w:szCs w:val="13"/>
                <w:color w:val="auto"/>
              </w:rPr>
            </w:pPr>
          </w:p>
        </w:tc>
        <w:tc>
          <w:tcPr>
            <w:tcW w:w="5640" w:type="dxa"/>
            <w:vAlign w:val="bottom"/>
            <w:tcBorders>
              <w:bottom w:val="single" w:sz="8" w:color="0000FF"/>
            </w:tcBorders>
            <w:gridSpan w:val="15"/>
            <w:shd w:val="clear" w:color="auto" w:fill="CCEEFF"/>
          </w:tcPr>
          <w:p>
            <w:pPr>
              <w:spacing w:after="0"/>
              <w:rPr>
                <w:rFonts w:ascii="Arial" w:cs="Arial" w:eastAsia="Arial" w:hAnsi="Arial"/>
                <w:sz w:val="13"/>
                <w:szCs w:val="13"/>
                <w:color w:val="0000FF"/>
                <w:w w:val="99"/>
              </w:rPr>
            </w:pPr>
            <w:hyperlink r:id="rId41">
              <w:r>
                <w:rPr>
                  <w:rFonts w:ascii="Arial" w:cs="Arial" w:eastAsia="Arial" w:hAnsi="Arial"/>
                  <w:sz w:val="13"/>
                  <w:szCs w:val="13"/>
                  <w:color w:val="0000FF"/>
                  <w:w w:val="99"/>
                </w:rPr>
                <w:t>Winnebago Industries, Inc. Amended and Restated Credit Agreement with General Electric Capital</w:t>
              </w:r>
            </w:hyperlink>
          </w:p>
        </w:tc>
        <w:tc>
          <w:tcPr>
            <w:tcW w:w="640" w:type="dxa"/>
            <w:vAlign w:val="bottom"/>
            <w:tcBorders>
              <w:bottom w:val="single" w:sz="8" w:color="CCEEFF"/>
            </w:tcBorders>
            <w:gridSpan w:val="16"/>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05/30/2014</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1"/>
            <w:shd w:val="clear" w:color="auto" w:fill="CCEEFF"/>
          </w:tcPr>
          <w:p>
            <w:pPr>
              <w:spacing w:after="0" w:line="131" w:lineRule="exact"/>
              <w:rPr>
                <w:rFonts w:ascii="Arial" w:cs="Arial" w:eastAsia="Arial" w:hAnsi="Arial"/>
                <w:sz w:val="13"/>
                <w:szCs w:val="13"/>
                <w:color w:val="0000FF"/>
              </w:rPr>
            </w:pPr>
            <w:hyperlink r:id="rId41">
              <w:r>
                <w:rPr>
                  <w:rFonts w:ascii="Arial" w:cs="Arial" w:eastAsia="Arial" w:hAnsi="Arial"/>
                  <w:sz w:val="13"/>
                  <w:szCs w:val="13"/>
                  <w:color w:val="0000FF"/>
                </w:rPr>
                <w:t>Corporation (later acquired by Wells Fargo Capital Finance) previously filed as Exhibit 10.1 with the</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660" w:type="dxa"/>
            <w:vAlign w:val="bottom"/>
            <w:tcBorders>
              <w:top w:val="single" w:sz="8" w:color="0000FF"/>
            </w:tcBorders>
            <w:gridSpan w:val="16"/>
            <w:shd w:val="clear" w:color="auto" w:fill="CCEEFF"/>
          </w:tcPr>
          <w:p>
            <w:pPr>
              <w:spacing w:after="0" w:line="131" w:lineRule="exact"/>
              <w:rPr>
                <w:rFonts w:ascii="Arial" w:cs="Arial" w:eastAsia="Arial" w:hAnsi="Arial"/>
                <w:sz w:val="13"/>
                <w:szCs w:val="13"/>
                <w:color w:val="0000FF"/>
              </w:rPr>
            </w:pPr>
            <w:hyperlink r:id="rId41">
              <w:r>
                <w:rPr>
                  <w:rFonts w:ascii="Arial" w:cs="Arial" w:eastAsia="Arial" w:hAnsi="Arial"/>
                  <w:sz w:val="13"/>
                  <w:szCs w:val="13"/>
                  <w:color w:val="0000FF"/>
                </w:rPr>
                <w:t>Registrant's Current Report on Form 8-K dated October 31, 2012.</w:t>
              </w:r>
            </w:hyperlink>
          </w:p>
        </w:tc>
        <w:tc>
          <w:tcPr>
            <w:tcW w:w="620" w:type="dxa"/>
            <w:vAlign w:val="bottom"/>
            <w:tcBorders>
              <w:top w:val="single" w:sz="8" w:color="CCEEFF"/>
            </w:tcBorders>
            <w:gridSpan w:val="15"/>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11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10u.</w:t>
            </w:r>
          </w:p>
        </w:tc>
        <w:tc>
          <w:tcPr>
            <w:tcW w:w="20" w:type="dxa"/>
            <w:vAlign w:val="bottom"/>
          </w:tcPr>
          <w:p>
            <w:pPr>
              <w:spacing w:after="0"/>
              <w:rPr>
                <w:sz w:val="13"/>
                <w:szCs w:val="13"/>
                <w:color w:val="auto"/>
              </w:rPr>
            </w:pPr>
          </w:p>
        </w:tc>
        <w:tc>
          <w:tcPr>
            <w:tcW w:w="6280" w:type="dxa"/>
            <w:vAlign w:val="bottom"/>
            <w:gridSpan w:val="31"/>
          </w:tcPr>
          <w:p>
            <w:pPr>
              <w:spacing w:after="0"/>
              <w:rPr>
                <w:rFonts w:ascii="Arial" w:cs="Arial" w:eastAsia="Arial" w:hAnsi="Arial"/>
                <w:sz w:val="13"/>
                <w:szCs w:val="13"/>
                <w:color w:val="0000FF"/>
              </w:rPr>
            </w:pPr>
            <w:hyperlink r:id="rId42">
              <w:r>
                <w:rPr>
                  <w:rFonts w:ascii="Arial" w:cs="Arial" w:eastAsia="Arial" w:hAnsi="Arial"/>
                  <w:sz w:val="13"/>
                  <w:szCs w:val="13"/>
                  <w:color w:val="0000FF"/>
                </w:rPr>
                <w:t>Non-competition, Non-solicitation and Confidentiality Agreement by and among Octavius Corporation,</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340" w:type="dxa"/>
            <w:vAlign w:val="bottom"/>
            <w:gridSpan w:val="1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160" w:type="dxa"/>
            <w:vAlign w:val="bottom"/>
            <w:tcBorders>
              <w:bottom w:val="single" w:sz="8" w:color="0000FF"/>
            </w:tcBorders>
            <w:gridSpan w:val="29"/>
          </w:tcPr>
          <w:p>
            <w:pPr>
              <w:spacing w:after="0" w:line="131" w:lineRule="exact"/>
              <w:rPr>
                <w:rFonts w:ascii="Arial" w:cs="Arial" w:eastAsia="Arial" w:hAnsi="Arial"/>
                <w:sz w:val="13"/>
                <w:szCs w:val="13"/>
                <w:color w:val="0000FF"/>
                <w:w w:val="99"/>
              </w:rPr>
            </w:pPr>
            <w:hyperlink r:id="rId42">
              <w:r>
                <w:rPr>
                  <w:rFonts w:ascii="Arial" w:cs="Arial" w:eastAsia="Arial" w:hAnsi="Arial"/>
                  <w:sz w:val="13"/>
                  <w:szCs w:val="13"/>
                  <w:color w:val="0000FF"/>
                  <w:w w:val="99"/>
                </w:rPr>
                <w:t>Winnebago Industries, Inc., Grand Design RV, LLC, RDB III, Inc., Ronald Fenech, Donald Clark and William</w:t>
              </w:r>
            </w:hyperlink>
          </w:p>
        </w:tc>
        <w:tc>
          <w:tcPr>
            <w:tcW w:w="1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42">
              <w:r>
                <w:rPr>
                  <w:rFonts w:ascii="Arial" w:cs="Arial" w:eastAsia="Arial" w:hAnsi="Arial"/>
                  <w:sz w:val="13"/>
                  <w:szCs w:val="13"/>
                  <w:color w:val="0000FF"/>
                </w:rPr>
                <w:t>Fenech.</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80" w:type="dxa"/>
            <w:vAlign w:val="bottom"/>
            <w:gridSpan w:val="20"/>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10v.</w:t>
            </w:r>
          </w:p>
        </w:tc>
        <w:tc>
          <w:tcPr>
            <w:tcW w:w="20" w:type="dxa"/>
            <w:vAlign w:val="bottom"/>
          </w:tcPr>
          <w:p>
            <w:pPr>
              <w:spacing w:after="0"/>
              <w:rPr>
                <w:sz w:val="24"/>
                <w:szCs w:val="24"/>
                <w:color w:val="auto"/>
              </w:rPr>
            </w:pPr>
          </w:p>
        </w:tc>
        <w:tc>
          <w:tcPr>
            <w:tcW w:w="6140" w:type="dxa"/>
            <w:vAlign w:val="bottom"/>
            <w:tcBorders>
              <w:bottom w:val="single" w:sz="8" w:color="0000FF"/>
            </w:tcBorders>
            <w:gridSpan w:val="28"/>
          </w:tcPr>
          <w:p>
            <w:pPr>
              <w:spacing w:after="0"/>
              <w:rPr>
                <w:rFonts w:ascii="Arial" w:cs="Arial" w:eastAsia="Arial" w:hAnsi="Arial"/>
                <w:sz w:val="13"/>
                <w:szCs w:val="13"/>
                <w:color w:val="0000FF"/>
                <w:w w:val="99"/>
              </w:rPr>
            </w:pPr>
            <w:hyperlink r:id="rId43">
              <w:r>
                <w:rPr>
                  <w:rFonts w:ascii="Arial" w:cs="Arial" w:eastAsia="Arial" w:hAnsi="Arial"/>
                  <w:sz w:val="13"/>
                  <w:szCs w:val="13"/>
                  <w:color w:val="0000FF"/>
                  <w:w w:val="99"/>
                </w:rPr>
                <w:t>Non-Solicitation and Confidentiality Agreement by and among Octavius Corporation, Winnebago Industries,</w:t>
              </w:r>
            </w:hyperlink>
          </w:p>
        </w:tc>
        <w:tc>
          <w:tcPr>
            <w:tcW w:w="140" w:type="dxa"/>
            <w:vAlign w:val="bottom"/>
            <w:gridSpan w:val="3"/>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1"/>
          </w:tcPr>
          <w:p>
            <w:pPr>
              <w:spacing w:after="0" w:line="131" w:lineRule="exact"/>
              <w:rPr>
                <w:rFonts w:ascii="Arial" w:cs="Arial" w:eastAsia="Arial" w:hAnsi="Arial"/>
                <w:sz w:val="13"/>
                <w:szCs w:val="13"/>
                <w:color w:val="0000FF"/>
              </w:rPr>
            </w:pPr>
            <w:hyperlink r:id="rId43">
              <w:r>
                <w:rPr>
                  <w:rFonts w:ascii="Arial" w:cs="Arial" w:eastAsia="Arial" w:hAnsi="Arial"/>
                  <w:sz w:val="13"/>
                  <w:szCs w:val="13"/>
                  <w:color w:val="0000FF"/>
                </w:rPr>
                <w:t>Inc., Grand Design, RV, LLC, Summit Partners Growth Equity Fund VIII-B, L.P., Summit Partners Growth</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274560" cy="492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extLst>
                    </a:blip>
                    <a:srcRect/>
                    <a:stretch>
                      <a:fillRect/>
                    </a:stretch>
                  </pic:blipFill>
                  <pic:spPr bwMode="auto">
                    <a:xfrm>
                      <a:off x="0" y="0"/>
                      <a:ext cx="7274560" cy="492760"/>
                    </a:xfrm>
                    <a:prstGeom prst="rect">
                      <a:avLst/>
                    </a:prstGeom>
                    <a:noFill/>
                  </pic:spPr>
                </pic:pic>
              </a:graphicData>
            </a:graphic>
          </wp:anchor>
        </w:drawing>
      </w:r>
    </w:p>
    <w:p>
      <w:pPr>
        <w:ind w:left="840" w:right="4760"/>
        <w:spacing w:after="0" w:line="251" w:lineRule="auto"/>
        <w:rPr>
          <w:rFonts w:ascii="Arial" w:cs="Arial" w:eastAsia="Arial" w:hAnsi="Arial"/>
          <w:sz w:val="13"/>
          <w:szCs w:val="13"/>
          <w:u w:val="single" w:color="auto"/>
          <w:color w:val="0000FF"/>
        </w:rPr>
      </w:pPr>
      <w:hyperlink r:id="rId43">
        <w:r>
          <w:rPr>
            <w:rFonts w:ascii="Arial" w:cs="Arial" w:eastAsia="Arial" w:hAnsi="Arial"/>
            <w:sz w:val="13"/>
            <w:szCs w:val="13"/>
            <w:u w:val="single" w:color="auto"/>
            <w:color w:val="0000FF"/>
          </w:rPr>
          <w:t>Equity Fund VIII-A, L.P., Summit Partners Entrepreneur Advisors Fund I, L.P., Summit Investors I, LLC,</w:t>
        </w:r>
      </w:hyperlink>
      <w:r>
        <w:rPr>
          <w:rFonts w:ascii="Arial" w:cs="Arial" w:eastAsia="Arial" w:hAnsi="Arial"/>
          <w:sz w:val="13"/>
          <w:szCs w:val="13"/>
          <w:u w:val="single" w:color="auto"/>
          <w:color w:val="0000FF"/>
        </w:rPr>
        <w:t xml:space="preserve"> </w:t>
      </w:r>
      <w:hyperlink r:id="rId43">
        <w:r>
          <w:rPr>
            <w:rFonts w:ascii="Arial" w:cs="Arial" w:eastAsia="Arial" w:hAnsi="Arial"/>
            <w:sz w:val="13"/>
            <w:szCs w:val="13"/>
            <w:u w:val="single" w:color="auto"/>
            <w:color w:val="0000FF"/>
          </w:rPr>
          <w:t>Summit Investors I (UK), L.P., and SP GE VIII-B GD RV Holdings, L.P.</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460"/>
          </w:cols>
          <w:pgMar w:left="220" w:top="119"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7120" w:type="dxa"/>
            <w:vAlign w:val="bottom"/>
            <w:gridSpan w:val="38"/>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1"/>
        </w:trPr>
        <w:tc>
          <w:tcPr>
            <w:tcW w:w="820" w:type="dxa"/>
            <w:vAlign w:val="bottom"/>
            <w:tcBorders>
              <w:top w:val="single" w:sz="8" w:color="0000EE"/>
              <w:bottom w:val="single" w:sz="8" w:color="0000EE"/>
            </w:tcBorders>
            <w:gridSpan w:val="2"/>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Borders>
              <w:bottom w:val="single" w:sz="8" w:color="auto"/>
            </w:tcBorders>
            <w:gridSpan w:val="5"/>
          </w:tcPr>
          <w:p>
            <w:pPr>
              <w:jc w:val="right"/>
              <w:ind w:right="735"/>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No.</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gridSpan w:val="34"/>
          </w:tcPr>
          <w:p>
            <w:pPr>
              <w:spacing w:after="0"/>
              <w:rPr>
                <w:sz w:val="20"/>
                <w:szCs w:val="20"/>
                <w:color w:val="auto"/>
              </w:rPr>
            </w:pPr>
            <w:r>
              <w:rPr>
                <w:rFonts w:ascii="Arial" w:cs="Arial" w:eastAsia="Arial" w:hAnsi="Arial"/>
                <w:sz w:val="13"/>
                <w:szCs w:val="13"/>
                <w:b w:val="1"/>
                <w:bCs w:val="1"/>
                <w:color w:val="auto"/>
              </w:rPr>
              <w:t>Exhibit Description</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Filed Herewith</w:t>
            </w:r>
          </w:p>
        </w:tc>
        <w:tc>
          <w:tcPr>
            <w:tcW w:w="0" w:type="dxa"/>
            <w:vAlign w:val="bottom"/>
          </w:tcPr>
          <w:p>
            <w:pPr>
              <w:spacing w:after="0"/>
              <w:rPr>
                <w:sz w:val="1"/>
                <w:szCs w:val="1"/>
                <w:color w:val="auto"/>
              </w:rPr>
            </w:pPr>
          </w:p>
        </w:tc>
      </w:tr>
      <w:tr>
        <w:trPr>
          <w:trHeight w:val="150"/>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10w.</w:t>
            </w:r>
          </w:p>
        </w:tc>
        <w:tc>
          <w:tcPr>
            <w:tcW w:w="20" w:type="dxa"/>
            <w:vAlign w:val="bottom"/>
          </w:tcPr>
          <w:p>
            <w:pPr>
              <w:spacing w:after="0"/>
              <w:rPr>
                <w:sz w:val="13"/>
                <w:szCs w:val="13"/>
                <w:color w:val="auto"/>
              </w:rPr>
            </w:pPr>
          </w:p>
        </w:tc>
        <w:tc>
          <w:tcPr>
            <w:tcW w:w="6280" w:type="dxa"/>
            <w:vAlign w:val="bottom"/>
            <w:gridSpan w:val="35"/>
          </w:tcPr>
          <w:p>
            <w:pPr>
              <w:spacing w:after="0"/>
              <w:rPr>
                <w:rFonts w:ascii="Arial" w:cs="Arial" w:eastAsia="Arial" w:hAnsi="Arial"/>
                <w:sz w:val="13"/>
                <w:szCs w:val="13"/>
                <w:color w:val="0000FF"/>
              </w:rPr>
            </w:pPr>
            <w:hyperlink r:id="rId45">
              <w:r>
                <w:rPr>
                  <w:rFonts w:ascii="Arial" w:cs="Arial" w:eastAsia="Arial" w:hAnsi="Arial"/>
                  <w:sz w:val="13"/>
                  <w:szCs w:val="13"/>
                  <w:color w:val="0000FF"/>
                </w:rPr>
                <w:t>Registration Rights Agreement by and among Winnebago Industries, Inc., Summit Partners Growth Equity</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20" w:type="dxa"/>
            <w:vAlign w:val="bottom"/>
            <w:tcBorders>
              <w:top w:val="single" w:sz="8" w:color="0000FF"/>
              <w:bottom w:val="single" w:sz="8" w:color="0000FF"/>
            </w:tcBorders>
            <w:gridSpan w:val="17"/>
          </w:tcPr>
          <w:p>
            <w:pPr>
              <w:spacing w:after="0" w:line="131" w:lineRule="exact"/>
              <w:rPr>
                <w:rFonts w:ascii="Arial" w:cs="Arial" w:eastAsia="Arial" w:hAnsi="Arial"/>
                <w:sz w:val="13"/>
                <w:szCs w:val="13"/>
                <w:color w:val="0000FF"/>
                <w:w w:val="98"/>
              </w:rPr>
            </w:pPr>
            <w:hyperlink r:id="rId45">
              <w:r>
                <w:rPr>
                  <w:rFonts w:ascii="Arial" w:cs="Arial" w:eastAsia="Arial" w:hAnsi="Arial"/>
                  <w:sz w:val="13"/>
                  <w:szCs w:val="13"/>
                  <w:color w:val="0000FF"/>
                  <w:w w:val="98"/>
                </w:rPr>
                <w:t>Fund VIII-A, L.P., Summit Partners Growth Equity Fund VIII-B, L.P., Summit Partners Entrepreneur</w:t>
              </w:r>
            </w:hyperlink>
          </w:p>
        </w:tc>
        <w:tc>
          <w:tcPr>
            <w:tcW w:w="440" w:type="dxa"/>
            <w:vAlign w:val="bottom"/>
            <w:tcBorders>
              <w:top w:val="single" w:sz="8" w:color="0000FF"/>
            </w:tcBorders>
            <w:gridSpan w:val="11"/>
          </w:tcPr>
          <w:p>
            <w:pPr>
              <w:spacing w:after="0"/>
              <w:rPr>
                <w:sz w:val="11"/>
                <w:szCs w:val="11"/>
                <w:color w:val="auto"/>
              </w:rPr>
            </w:pPr>
          </w:p>
        </w:tc>
        <w:tc>
          <w:tcPr>
            <w:tcW w:w="220" w:type="dxa"/>
            <w:vAlign w:val="bottom"/>
            <w:gridSpan w:val="7"/>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5"/>
          </w:tcPr>
          <w:p>
            <w:pPr>
              <w:spacing w:after="0" w:line="131" w:lineRule="exact"/>
              <w:rPr>
                <w:rFonts w:ascii="Arial" w:cs="Arial" w:eastAsia="Arial" w:hAnsi="Arial"/>
                <w:sz w:val="13"/>
                <w:szCs w:val="13"/>
                <w:color w:val="0000FF"/>
              </w:rPr>
            </w:pPr>
            <w:hyperlink r:id="rId45">
              <w:r>
                <w:rPr>
                  <w:rFonts w:ascii="Arial" w:cs="Arial" w:eastAsia="Arial" w:hAnsi="Arial"/>
                  <w:sz w:val="13"/>
                  <w:szCs w:val="13"/>
                  <w:color w:val="0000FF"/>
                </w:rPr>
                <w:t>Advisors Fund I, L.P., Summit Investors I, LLC, Summit Investors I (UK), L.P. and SP GE VIII-B GD RV</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40" w:type="dxa"/>
            <w:vAlign w:val="bottom"/>
            <w:tcBorders>
              <w:top w:val="single" w:sz="8" w:color="0000FF"/>
            </w:tcBorders>
            <w:gridSpan w:val="21"/>
          </w:tcPr>
          <w:p>
            <w:pPr>
              <w:spacing w:after="0" w:line="131" w:lineRule="exact"/>
              <w:rPr>
                <w:rFonts w:ascii="Arial" w:cs="Arial" w:eastAsia="Arial" w:hAnsi="Arial"/>
                <w:sz w:val="13"/>
                <w:szCs w:val="13"/>
                <w:color w:val="0000FF"/>
              </w:rPr>
            </w:pPr>
            <w:hyperlink r:id="rId45">
              <w:r>
                <w:rPr>
                  <w:rFonts w:ascii="Arial" w:cs="Arial" w:eastAsia="Arial" w:hAnsi="Arial"/>
                  <w:sz w:val="13"/>
                  <w:szCs w:val="13"/>
                  <w:color w:val="0000FF"/>
                </w:rPr>
                <w:t>Holdings, L.P., Donald Clark, Ronald Fenech, and William Fenech.</w:t>
              </w:r>
            </w:hyperlink>
          </w:p>
        </w:tc>
        <w:tc>
          <w:tcPr>
            <w:tcW w:w="440" w:type="dxa"/>
            <w:vAlign w:val="bottom"/>
            <w:gridSpan w:val="14"/>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10x.</w:t>
            </w:r>
          </w:p>
        </w:tc>
        <w:tc>
          <w:tcPr>
            <w:tcW w:w="20" w:type="dxa"/>
            <w:vAlign w:val="bottom"/>
            <w:tcBorders>
              <w:bottom w:val="single" w:sz="8" w:color="CCEEFF"/>
            </w:tcBorders>
            <w:shd w:val="clear" w:color="auto" w:fill="CCEEFF"/>
          </w:tcPr>
          <w:p>
            <w:pPr>
              <w:spacing w:after="0"/>
              <w:rPr>
                <w:sz w:val="13"/>
                <w:szCs w:val="13"/>
                <w:color w:val="auto"/>
              </w:rPr>
            </w:pPr>
          </w:p>
        </w:tc>
        <w:tc>
          <w:tcPr>
            <w:tcW w:w="6080" w:type="dxa"/>
            <w:vAlign w:val="bottom"/>
            <w:tcBorders>
              <w:bottom w:val="single" w:sz="8" w:color="0000FF"/>
            </w:tcBorders>
            <w:gridSpan w:val="29"/>
            <w:shd w:val="clear" w:color="auto" w:fill="CCEEFF"/>
          </w:tcPr>
          <w:p>
            <w:pPr>
              <w:spacing w:after="0"/>
              <w:rPr>
                <w:rFonts w:ascii="Arial" w:cs="Arial" w:eastAsia="Arial" w:hAnsi="Arial"/>
                <w:sz w:val="13"/>
                <w:szCs w:val="13"/>
                <w:color w:val="0000FF"/>
                <w:w w:val="99"/>
              </w:rPr>
            </w:pPr>
            <w:hyperlink r:id="rId46">
              <w:r>
                <w:rPr>
                  <w:rFonts w:ascii="Arial" w:cs="Arial" w:eastAsia="Arial" w:hAnsi="Arial"/>
                  <w:sz w:val="13"/>
                  <w:szCs w:val="13"/>
                  <w:color w:val="0000FF"/>
                  <w:w w:val="99"/>
                </w:rPr>
                <w:t>Employment Agreement by and between Grand Design RV, LLC and Donald Clark dated October 2, 2016,</w:t>
              </w:r>
            </w:hyperlink>
          </w:p>
        </w:tc>
        <w:tc>
          <w:tcPr>
            <w:tcW w:w="200" w:type="dxa"/>
            <w:vAlign w:val="bottom"/>
            <w:tcBorders>
              <w:bottom w:val="single" w:sz="8" w:color="CCEEFF"/>
            </w:tcBorders>
            <w:gridSpan w:val="6"/>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5"/>
            <w:shd w:val="clear" w:color="auto" w:fill="CCEEFF"/>
          </w:tcPr>
          <w:p>
            <w:pPr>
              <w:spacing w:after="0" w:line="131" w:lineRule="exact"/>
              <w:rPr>
                <w:rFonts w:ascii="Arial" w:cs="Arial" w:eastAsia="Arial" w:hAnsi="Arial"/>
                <w:sz w:val="13"/>
                <w:szCs w:val="13"/>
                <w:color w:val="0000FF"/>
              </w:rPr>
            </w:pPr>
            <w:hyperlink r:id="rId46">
              <w:r>
                <w:rPr>
                  <w:rFonts w:ascii="Arial" w:cs="Arial" w:eastAsia="Arial" w:hAnsi="Arial"/>
                  <w:sz w:val="13"/>
                  <w:szCs w:val="13"/>
                  <w:color w:val="0000FF"/>
                </w:rPr>
                <w:t>including Exhibit A, Executive Change of Control Agreement between Winnebago Industries, Inc. and</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780" w:type="dxa"/>
            <w:vAlign w:val="bottom"/>
            <w:tcBorders>
              <w:top w:val="single" w:sz="8" w:color="0000FF"/>
            </w:tcBorders>
            <w:gridSpan w:val="19"/>
            <w:shd w:val="clear" w:color="auto" w:fill="CCEEFF"/>
          </w:tcPr>
          <w:p>
            <w:pPr>
              <w:spacing w:after="0" w:line="131" w:lineRule="exact"/>
              <w:rPr>
                <w:rFonts w:ascii="Arial" w:cs="Arial" w:eastAsia="Arial" w:hAnsi="Arial"/>
                <w:sz w:val="13"/>
                <w:szCs w:val="13"/>
                <w:color w:val="0000FF"/>
              </w:rPr>
            </w:pPr>
            <w:hyperlink r:id="rId46">
              <w:r>
                <w:rPr>
                  <w:rFonts w:ascii="Arial" w:cs="Arial" w:eastAsia="Arial" w:hAnsi="Arial"/>
                  <w:sz w:val="13"/>
                  <w:szCs w:val="13"/>
                  <w:color w:val="0000FF"/>
                </w:rPr>
                <w:t>Donald Clark.</w:t>
              </w:r>
              <w:r>
                <w:rPr>
                  <w:rFonts w:ascii="Arial" w:cs="Arial" w:eastAsia="Arial" w:hAnsi="Arial"/>
                  <w:sz w:val="13"/>
                  <w:szCs w:val="13"/>
                  <w:color w:val="000000"/>
                </w:rPr>
                <w:t>*</w:t>
              </w:r>
            </w:hyperlink>
          </w:p>
        </w:tc>
        <w:tc>
          <w:tcPr>
            <w:tcW w:w="500" w:type="dxa"/>
            <w:vAlign w:val="bottom"/>
            <w:tcBorders>
              <w:top w:val="single" w:sz="8" w:color="CCEEFF"/>
            </w:tcBorders>
            <w:gridSpan w:val="16"/>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10y.</w:t>
            </w:r>
          </w:p>
        </w:tc>
        <w:tc>
          <w:tcPr>
            <w:tcW w:w="20" w:type="dxa"/>
            <w:vAlign w:val="bottom"/>
          </w:tcPr>
          <w:p>
            <w:pPr>
              <w:spacing w:after="0"/>
              <w:rPr>
                <w:sz w:val="13"/>
                <w:szCs w:val="13"/>
                <w:color w:val="auto"/>
              </w:rPr>
            </w:pPr>
          </w:p>
        </w:tc>
        <w:tc>
          <w:tcPr>
            <w:tcW w:w="5960" w:type="dxa"/>
            <w:vAlign w:val="bottom"/>
            <w:tcBorders>
              <w:bottom w:val="single" w:sz="8" w:color="0000FF"/>
            </w:tcBorders>
            <w:gridSpan w:val="26"/>
          </w:tcPr>
          <w:p>
            <w:pPr>
              <w:spacing w:after="0"/>
              <w:rPr>
                <w:rFonts w:ascii="Arial" w:cs="Arial" w:eastAsia="Arial" w:hAnsi="Arial"/>
                <w:sz w:val="13"/>
                <w:szCs w:val="13"/>
                <w:color w:val="0000FF"/>
                <w:w w:val="99"/>
              </w:rPr>
            </w:pPr>
            <w:hyperlink r:id="rId47">
              <w:r>
                <w:rPr>
                  <w:rFonts w:ascii="Arial" w:cs="Arial" w:eastAsia="Arial" w:hAnsi="Arial"/>
                  <w:sz w:val="13"/>
                  <w:szCs w:val="13"/>
                  <w:color w:val="0000FF"/>
                  <w:w w:val="99"/>
                </w:rPr>
                <w:t>Loan Agreement by and among Winnebago Industries, Inc., Octavius Corporation and JPMorgan Chase</w:t>
              </w:r>
            </w:hyperlink>
          </w:p>
        </w:tc>
        <w:tc>
          <w:tcPr>
            <w:tcW w:w="320" w:type="dxa"/>
            <w:vAlign w:val="bottom"/>
            <w:gridSpan w:val="9"/>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11/14/2016</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5"/>
          </w:tcPr>
          <w:p>
            <w:pPr>
              <w:spacing w:after="0" w:line="131" w:lineRule="exact"/>
              <w:rPr>
                <w:rFonts w:ascii="Arial" w:cs="Arial" w:eastAsia="Arial" w:hAnsi="Arial"/>
                <w:sz w:val="13"/>
                <w:szCs w:val="13"/>
                <w:color w:val="0000FF"/>
              </w:rPr>
            </w:pPr>
            <w:hyperlink r:id="rId47">
              <w:r>
                <w:rPr>
                  <w:rFonts w:ascii="Arial" w:cs="Arial" w:eastAsia="Arial" w:hAnsi="Arial"/>
                  <w:sz w:val="13"/>
                  <w:szCs w:val="13"/>
                  <w:color w:val="0000FF"/>
                </w:rPr>
                <w:t>Bank, N.A.</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10z.</w:t>
            </w:r>
          </w:p>
        </w:tc>
        <w:tc>
          <w:tcPr>
            <w:tcW w:w="20" w:type="dxa"/>
            <w:vAlign w:val="bottom"/>
            <w:shd w:val="clear" w:color="auto" w:fill="CCEEFF"/>
          </w:tcPr>
          <w:p>
            <w:pPr>
              <w:spacing w:after="0"/>
              <w:rPr>
                <w:sz w:val="13"/>
                <w:szCs w:val="13"/>
                <w:color w:val="auto"/>
              </w:rPr>
            </w:pPr>
          </w:p>
        </w:tc>
        <w:tc>
          <w:tcPr>
            <w:tcW w:w="6280" w:type="dxa"/>
            <w:vAlign w:val="bottom"/>
            <w:gridSpan w:val="35"/>
            <w:shd w:val="clear" w:color="auto" w:fill="CCEEFF"/>
          </w:tcPr>
          <w:p>
            <w:pPr>
              <w:spacing w:after="0"/>
              <w:rPr>
                <w:rFonts w:ascii="Arial" w:cs="Arial" w:eastAsia="Arial" w:hAnsi="Arial"/>
                <w:sz w:val="13"/>
                <w:szCs w:val="13"/>
                <w:color w:val="0000FF"/>
              </w:rPr>
            </w:pPr>
            <w:hyperlink r:id="rId48">
              <w:r>
                <w:rPr>
                  <w:rFonts w:ascii="Arial" w:cs="Arial" w:eastAsia="Arial" w:hAnsi="Arial"/>
                  <w:sz w:val="13"/>
                  <w:szCs w:val="13"/>
                  <w:color w:val="0000FF"/>
                </w:rPr>
                <w:t>Amendment No. 1 to Loan Agreement dated as of December 8, 2017 among Octavius Corporation,</w:t>
              </w:r>
            </w:hyperlink>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12/12/2017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660" w:type="dxa"/>
            <w:vAlign w:val="bottom"/>
            <w:tcBorders>
              <w:top w:val="single" w:sz="8" w:color="0000FF"/>
            </w:tcBorders>
            <w:gridSpan w:val="18"/>
            <w:shd w:val="clear" w:color="auto" w:fill="CCEEFF"/>
          </w:tcPr>
          <w:p>
            <w:pPr>
              <w:spacing w:after="0" w:line="131" w:lineRule="exact"/>
              <w:rPr>
                <w:rFonts w:ascii="Arial" w:cs="Arial" w:eastAsia="Arial" w:hAnsi="Arial"/>
                <w:sz w:val="13"/>
                <w:szCs w:val="13"/>
                <w:color w:val="0000FF"/>
              </w:rPr>
            </w:pPr>
            <w:hyperlink r:id="rId48">
              <w:r>
                <w:rPr>
                  <w:rFonts w:ascii="Arial" w:cs="Arial" w:eastAsia="Arial" w:hAnsi="Arial"/>
                  <w:sz w:val="13"/>
                  <w:szCs w:val="13"/>
                  <w:color w:val="0000FF"/>
                </w:rPr>
                <w:t>JPMorgan Chase Bank, N.A. as Administrative Agent and the lender parties hereto.</w:t>
              </w:r>
            </w:hyperlink>
          </w:p>
        </w:tc>
        <w:tc>
          <w:tcPr>
            <w:tcW w:w="620" w:type="dxa"/>
            <w:vAlign w:val="bottom"/>
            <w:tcBorders>
              <w:top w:val="single" w:sz="8" w:color="CCEEFF"/>
            </w:tcBorders>
            <w:gridSpan w:val="17"/>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10aa.</w:t>
            </w:r>
          </w:p>
        </w:tc>
        <w:tc>
          <w:tcPr>
            <w:tcW w:w="20" w:type="dxa"/>
            <w:vAlign w:val="bottom"/>
          </w:tcPr>
          <w:p>
            <w:pPr>
              <w:spacing w:after="0"/>
              <w:rPr>
                <w:sz w:val="13"/>
                <w:szCs w:val="13"/>
                <w:color w:val="auto"/>
              </w:rPr>
            </w:pPr>
          </w:p>
        </w:tc>
        <w:tc>
          <w:tcPr>
            <w:tcW w:w="6280" w:type="dxa"/>
            <w:vAlign w:val="bottom"/>
            <w:gridSpan w:val="35"/>
          </w:tcPr>
          <w:p>
            <w:pPr>
              <w:spacing w:after="0"/>
              <w:rPr>
                <w:rFonts w:ascii="Arial" w:cs="Arial" w:eastAsia="Arial" w:hAnsi="Arial"/>
                <w:sz w:val="13"/>
                <w:szCs w:val="13"/>
                <w:color w:val="0000FF"/>
              </w:rPr>
            </w:pPr>
            <w:hyperlink w:anchor="page76">
              <w:r>
                <w:rPr>
                  <w:rFonts w:ascii="Arial" w:cs="Arial" w:eastAsia="Arial" w:hAnsi="Arial"/>
                  <w:sz w:val="13"/>
                  <w:szCs w:val="13"/>
                  <w:color w:val="0000FF"/>
                </w:rPr>
                <w:t>Amendment No. 2 to Loan Agreement dated as of August 22, 2019 among Octavius Corporation,</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40" w:type="dxa"/>
            <w:vAlign w:val="bottom"/>
            <w:tcBorders>
              <w:top w:val="single" w:sz="8" w:color="0000FF"/>
            </w:tcBorders>
            <w:gridSpan w:val="16"/>
          </w:tcPr>
          <w:p>
            <w:pPr>
              <w:spacing w:after="0" w:line="131" w:lineRule="exact"/>
              <w:rPr>
                <w:rFonts w:ascii="Arial" w:cs="Arial" w:eastAsia="Arial" w:hAnsi="Arial"/>
                <w:sz w:val="13"/>
                <w:szCs w:val="13"/>
                <w:color w:val="0000FF"/>
              </w:rPr>
            </w:pPr>
            <w:hyperlink w:anchor="page76">
              <w:r>
                <w:rPr>
                  <w:rFonts w:ascii="Arial" w:cs="Arial" w:eastAsia="Arial" w:hAnsi="Arial"/>
                  <w:sz w:val="13"/>
                  <w:szCs w:val="13"/>
                  <w:color w:val="0000FF"/>
                </w:rPr>
                <w:t>JPMorgan Chase Bank, N.A. as Administrative Agent and the lender parties hereto.</w:t>
              </w:r>
            </w:hyperlink>
          </w:p>
        </w:tc>
        <w:tc>
          <w:tcPr>
            <w:tcW w:w="740" w:type="dxa"/>
            <w:vAlign w:val="bottom"/>
            <w:gridSpan w:val="19"/>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10ab.</w:t>
            </w:r>
          </w:p>
        </w:tc>
        <w:tc>
          <w:tcPr>
            <w:tcW w:w="20" w:type="dxa"/>
            <w:vAlign w:val="bottom"/>
            <w:tcBorders>
              <w:bottom w:val="single" w:sz="8" w:color="CCEEFF"/>
            </w:tcBorders>
            <w:shd w:val="clear" w:color="auto" w:fill="CCEEFF"/>
          </w:tcPr>
          <w:p>
            <w:pPr>
              <w:spacing w:after="0"/>
              <w:rPr>
                <w:sz w:val="13"/>
                <w:szCs w:val="13"/>
                <w:color w:val="auto"/>
              </w:rPr>
            </w:pPr>
          </w:p>
        </w:tc>
        <w:tc>
          <w:tcPr>
            <w:tcW w:w="6160" w:type="dxa"/>
            <w:vAlign w:val="bottom"/>
            <w:tcBorders>
              <w:bottom w:val="single" w:sz="8" w:color="0000FF"/>
            </w:tcBorders>
            <w:gridSpan w:val="33"/>
            <w:shd w:val="clear" w:color="auto" w:fill="CCEEFF"/>
          </w:tcPr>
          <w:p>
            <w:pPr>
              <w:spacing w:after="0"/>
              <w:rPr>
                <w:rFonts w:ascii="Arial" w:cs="Arial" w:eastAsia="Arial" w:hAnsi="Arial"/>
                <w:sz w:val="13"/>
                <w:szCs w:val="13"/>
                <w:color w:val="0000FF"/>
                <w:w w:val="99"/>
              </w:rPr>
            </w:pPr>
            <w:hyperlink r:id="rId49">
              <w:r>
                <w:rPr>
                  <w:rFonts w:ascii="Arial" w:cs="Arial" w:eastAsia="Arial" w:hAnsi="Arial"/>
                  <w:sz w:val="13"/>
                  <w:szCs w:val="13"/>
                  <w:color w:val="0000FF"/>
                  <w:w w:val="99"/>
                </w:rPr>
                <w:t>Amended and Restated Credit Agreement dated as of October 22, 2019 among Winnebago Industries, Inc.,</w:t>
              </w:r>
            </w:hyperlink>
          </w:p>
        </w:tc>
        <w:tc>
          <w:tcPr>
            <w:tcW w:w="120" w:type="dxa"/>
            <w:vAlign w:val="bottom"/>
            <w:tcBorders>
              <w:bottom w:val="single" w:sz="8" w:color="CCEEFF"/>
            </w:tcBorders>
            <w:gridSpan w:val="2"/>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10/23/2019</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5"/>
            <w:shd w:val="clear" w:color="auto" w:fill="CCEEFF"/>
          </w:tcPr>
          <w:p>
            <w:pPr>
              <w:spacing w:after="0" w:line="131" w:lineRule="exact"/>
              <w:rPr>
                <w:rFonts w:ascii="Arial" w:cs="Arial" w:eastAsia="Arial" w:hAnsi="Arial"/>
                <w:sz w:val="13"/>
                <w:szCs w:val="13"/>
                <w:color w:val="0000FF"/>
              </w:rPr>
            </w:pPr>
            <w:hyperlink r:id="rId49">
              <w:r>
                <w:rPr>
                  <w:rFonts w:ascii="Arial" w:cs="Arial" w:eastAsia="Arial" w:hAnsi="Arial"/>
                  <w:sz w:val="13"/>
                  <w:szCs w:val="13"/>
                  <w:color w:val="0000FF"/>
                </w:rPr>
                <w:t>Winnebago of Indiana, LLC and Grand Design RV, LLC, the other loan parties party thereto from time to</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60" w:type="dxa"/>
            <w:vAlign w:val="bottom"/>
            <w:tcBorders>
              <w:top w:val="single" w:sz="8" w:color="0000FF"/>
              <w:bottom w:val="single" w:sz="8" w:color="0000FF"/>
            </w:tcBorders>
            <w:gridSpan w:val="14"/>
            <w:shd w:val="clear" w:color="auto" w:fill="CCEEFF"/>
          </w:tcPr>
          <w:p>
            <w:pPr>
              <w:spacing w:after="0" w:line="131" w:lineRule="exact"/>
              <w:rPr>
                <w:rFonts w:ascii="Arial" w:cs="Arial" w:eastAsia="Arial" w:hAnsi="Arial"/>
                <w:sz w:val="13"/>
                <w:szCs w:val="13"/>
                <w:color w:val="0000FF"/>
                <w:w w:val="99"/>
              </w:rPr>
            </w:pPr>
            <w:hyperlink r:id="rId49">
              <w:r>
                <w:rPr>
                  <w:rFonts w:ascii="Arial" w:cs="Arial" w:eastAsia="Arial" w:hAnsi="Arial"/>
                  <w:sz w:val="13"/>
                  <w:szCs w:val="13"/>
                  <w:color w:val="0000FF"/>
                  <w:w w:val="99"/>
                </w:rPr>
                <w:t>time, the lenders party thereto from time to time and JPMorgan Chase Bank, N.A.</w:t>
              </w:r>
            </w:hyperlink>
          </w:p>
        </w:tc>
        <w:tc>
          <w:tcPr>
            <w:tcW w:w="1260" w:type="dxa"/>
            <w:vAlign w:val="bottom"/>
            <w:tcBorders>
              <w:top w:val="single" w:sz="8" w:color="0000FF"/>
              <w:bottom w:val="single" w:sz="8" w:color="CCEEFF"/>
            </w:tcBorders>
            <w:gridSpan w:val="10"/>
            <w:shd w:val="clear" w:color="auto" w:fill="CCEEFF"/>
          </w:tcPr>
          <w:p>
            <w:pPr>
              <w:spacing w:after="0"/>
              <w:rPr>
                <w:sz w:val="13"/>
                <w:szCs w:val="13"/>
                <w:color w:val="auto"/>
              </w:rPr>
            </w:pPr>
          </w:p>
        </w:tc>
        <w:tc>
          <w:tcPr>
            <w:tcW w:w="360" w:type="dxa"/>
            <w:vAlign w:val="bottom"/>
            <w:tcBorders>
              <w:top w:val="single" w:sz="8" w:color="CCEEFF"/>
              <w:bottom w:val="single" w:sz="8" w:color="CCEEFF"/>
            </w:tcBorders>
            <w:gridSpan w:val="11"/>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10ac.</w:t>
            </w:r>
          </w:p>
        </w:tc>
        <w:tc>
          <w:tcPr>
            <w:tcW w:w="20" w:type="dxa"/>
            <w:vAlign w:val="bottom"/>
          </w:tcPr>
          <w:p>
            <w:pPr>
              <w:spacing w:after="0"/>
              <w:rPr>
                <w:sz w:val="13"/>
                <w:szCs w:val="13"/>
                <w:color w:val="auto"/>
              </w:rPr>
            </w:pPr>
          </w:p>
        </w:tc>
        <w:tc>
          <w:tcPr>
            <w:tcW w:w="6280" w:type="dxa"/>
            <w:vAlign w:val="bottom"/>
            <w:gridSpan w:val="35"/>
          </w:tcPr>
          <w:p>
            <w:pPr>
              <w:spacing w:after="0"/>
              <w:rPr>
                <w:rFonts w:ascii="Arial" w:cs="Arial" w:eastAsia="Arial" w:hAnsi="Arial"/>
                <w:sz w:val="13"/>
                <w:szCs w:val="13"/>
                <w:color w:val="0000FF"/>
              </w:rPr>
            </w:pPr>
            <w:hyperlink r:id="rId50">
              <w:r>
                <w:rPr>
                  <w:rFonts w:ascii="Arial" w:cs="Arial" w:eastAsia="Arial" w:hAnsi="Arial"/>
                  <w:sz w:val="13"/>
                  <w:szCs w:val="13"/>
                  <w:color w:val="0000FF"/>
                </w:rPr>
                <w:t>Intercreditor Agreement by and among Winnebago Industries, Inc., Winnebago of Indiana, LLC, Grand</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99.4</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11/14/2016</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40" w:type="dxa"/>
            <w:vAlign w:val="bottom"/>
            <w:tcBorders>
              <w:top w:val="single" w:sz="8" w:color="0000FF"/>
            </w:tcBorders>
            <w:gridSpan w:val="21"/>
          </w:tcPr>
          <w:p>
            <w:pPr>
              <w:spacing w:after="0" w:line="131" w:lineRule="exact"/>
              <w:rPr>
                <w:rFonts w:ascii="Arial" w:cs="Arial" w:eastAsia="Arial" w:hAnsi="Arial"/>
                <w:sz w:val="13"/>
                <w:szCs w:val="13"/>
                <w:color w:val="0000FF"/>
              </w:rPr>
            </w:pPr>
            <w:hyperlink r:id="rId50">
              <w:r>
                <w:rPr>
                  <w:rFonts w:ascii="Arial" w:cs="Arial" w:eastAsia="Arial" w:hAnsi="Arial"/>
                  <w:sz w:val="13"/>
                  <w:szCs w:val="13"/>
                  <w:color w:val="0000FF"/>
                </w:rPr>
                <w:t>Design RV, LLC, Octavius Corporation and JPMorgan Chase Bank, N.A.</w:t>
              </w:r>
            </w:hyperlink>
          </w:p>
        </w:tc>
        <w:tc>
          <w:tcPr>
            <w:tcW w:w="440" w:type="dxa"/>
            <w:vAlign w:val="bottom"/>
            <w:gridSpan w:val="14"/>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10ad.</w:t>
            </w:r>
          </w:p>
        </w:tc>
        <w:tc>
          <w:tcPr>
            <w:tcW w:w="20" w:type="dxa"/>
            <w:vAlign w:val="bottom"/>
            <w:tcBorders>
              <w:bottom w:val="single" w:sz="8" w:color="CCEEFF"/>
            </w:tcBorders>
            <w:shd w:val="clear" w:color="auto" w:fill="CCEEFF"/>
          </w:tcPr>
          <w:p>
            <w:pPr>
              <w:spacing w:after="0"/>
              <w:rPr>
                <w:sz w:val="13"/>
                <w:szCs w:val="13"/>
                <w:color w:val="auto"/>
              </w:rPr>
            </w:pPr>
          </w:p>
        </w:tc>
        <w:tc>
          <w:tcPr>
            <w:tcW w:w="5940" w:type="dxa"/>
            <w:vAlign w:val="bottom"/>
            <w:tcBorders>
              <w:bottom w:val="single" w:sz="8" w:color="0000FF"/>
            </w:tcBorders>
            <w:gridSpan w:val="25"/>
            <w:shd w:val="clear" w:color="auto" w:fill="CCEEFF"/>
          </w:tcPr>
          <w:p>
            <w:pPr>
              <w:spacing w:after="0"/>
              <w:rPr>
                <w:rFonts w:ascii="Arial" w:cs="Arial" w:eastAsia="Arial" w:hAnsi="Arial"/>
                <w:sz w:val="13"/>
                <w:szCs w:val="13"/>
                <w:color w:val="0000FF"/>
                <w:w w:val="99"/>
              </w:rPr>
            </w:pPr>
            <w:hyperlink r:id="rId51">
              <w:r>
                <w:rPr>
                  <w:rFonts w:ascii="Arial" w:cs="Arial" w:eastAsia="Arial" w:hAnsi="Arial"/>
                  <w:sz w:val="13"/>
                  <w:szCs w:val="13"/>
                  <w:color w:val="0000FF"/>
                  <w:w w:val="99"/>
                </w:rPr>
                <w:t>Lease Agreement (Main Facility) dated November 8, 2016 by and between Three Oaks, LLC and Grand</w:t>
              </w:r>
            </w:hyperlink>
          </w:p>
        </w:tc>
        <w:tc>
          <w:tcPr>
            <w:tcW w:w="340" w:type="dxa"/>
            <w:vAlign w:val="bottom"/>
            <w:tcBorders>
              <w:bottom w:val="single" w:sz="8" w:color="CCEEFF"/>
            </w:tcBorders>
            <w:gridSpan w:val="10"/>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10-Q</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12/29/2016</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5"/>
            <w:shd w:val="clear" w:color="auto" w:fill="CCEEFF"/>
          </w:tcPr>
          <w:p>
            <w:pPr>
              <w:spacing w:after="0" w:line="131" w:lineRule="exact"/>
              <w:rPr>
                <w:rFonts w:ascii="Arial" w:cs="Arial" w:eastAsia="Arial" w:hAnsi="Arial"/>
                <w:sz w:val="13"/>
                <w:szCs w:val="13"/>
                <w:color w:val="0000FF"/>
              </w:rPr>
            </w:pPr>
            <w:hyperlink r:id="rId51">
              <w:r>
                <w:rPr>
                  <w:rFonts w:ascii="Arial" w:cs="Arial" w:eastAsia="Arial" w:hAnsi="Arial"/>
                  <w:sz w:val="13"/>
                  <w:szCs w:val="13"/>
                  <w:color w:val="0000FF"/>
                </w:rPr>
                <w:t>Design RV, LLC.</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10ae.</w:t>
            </w:r>
          </w:p>
        </w:tc>
        <w:tc>
          <w:tcPr>
            <w:tcW w:w="20" w:type="dxa"/>
            <w:vAlign w:val="bottom"/>
          </w:tcPr>
          <w:p>
            <w:pPr>
              <w:spacing w:after="0"/>
              <w:rPr>
                <w:sz w:val="13"/>
                <w:szCs w:val="13"/>
                <w:color w:val="auto"/>
              </w:rPr>
            </w:pPr>
          </w:p>
        </w:tc>
        <w:tc>
          <w:tcPr>
            <w:tcW w:w="6280" w:type="dxa"/>
            <w:vAlign w:val="bottom"/>
            <w:gridSpan w:val="35"/>
          </w:tcPr>
          <w:p>
            <w:pPr>
              <w:spacing w:after="0"/>
              <w:rPr>
                <w:rFonts w:ascii="Arial" w:cs="Arial" w:eastAsia="Arial" w:hAnsi="Arial"/>
                <w:sz w:val="13"/>
                <w:szCs w:val="13"/>
                <w:color w:val="0000FF"/>
              </w:rPr>
            </w:pPr>
            <w:hyperlink r:id="rId52">
              <w:r>
                <w:rPr>
                  <w:rFonts w:ascii="Arial" w:cs="Arial" w:eastAsia="Arial" w:hAnsi="Arial"/>
                  <w:sz w:val="13"/>
                  <w:szCs w:val="13"/>
                  <w:color w:val="0000FF"/>
                </w:rPr>
                <w:t>Lease Agreement (Expansion Facility) dated November 8, 2016 by and between Three Oaks, LLC and</w:t>
              </w:r>
            </w:hyperlink>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10-Q</w:t>
            </w:r>
          </w:p>
        </w:tc>
        <w:tc>
          <w:tcPr>
            <w:tcW w:w="800" w:type="dxa"/>
            <w:vAlign w:val="bottom"/>
          </w:tcPr>
          <w:p>
            <w:pPr>
              <w:jc w:val="right"/>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12/29/2016</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60" w:type="dxa"/>
            <w:vAlign w:val="bottom"/>
            <w:tcBorders>
              <w:top w:val="single" w:sz="8" w:color="0000FF"/>
            </w:tcBorders>
            <w:gridSpan w:val="22"/>
          </w:tcPr>
          <w:p>
            <w:pPr>
              <w:spacing w:after="0" w:line="131" w:lineRule="exact"/>
              <w:rPr>
                <w:rFonts w:ascii="Arial" w:cs="Arial" w:eastAsia="Arial" w:hAnsi="Arial"/>
                <w:sz w:val="13"/>
                <w:szCs w:val="13"/>
                <w:color w:val="0000FF"/>
              </w:rPr>
            </w:pPr>
            <w:hyperlink r:id="rId52">
              <w:r>
                <w:rPr>
                  <w:rFonts w:ascii="Arial" w:cs="Arial" w:eastAsia="Arial" w:hAnsi="Arial"/>
                  <w:sz w:val="13"/>
                  <w:szCs w:val="13"/>
                  <w:color w:val="0000FF"/>
                </w:rPr>
                <w:t>Grand Design RV, LLC.</w:t>
              </w:r>
            </w:hyperlink>
          </w:p>
        </w:tc>
        <w:tc>
          <w:tcPr>
            <w:tcW w:w="420" w:type="dxa"/>
            <w:vAlign w:val="bottom"/>
            <w:gridSpan w:val="13"/>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10af.</w:t>
            </w:r>
          </w:p>
        </w:tc>
        <w:tc>
          <w:tcPr>
            <w:tcW w:w="20" w:type="dxa"/>
            <w:vAlign w:val="bottom"/>
            <w:tcBorders>
              <w:bottom w:val="single" w:sz="8" w:color="CCEEFF"/>
            </w:tcBorders>
            <w:shd w:val="clear" w:color="auto" w:fill="CCEEFF"/>
          </w:tcPr>
          <w:p>
            <w:pPr>
              <w:spacing w:after="0"/>
              <w:rPr>
                <w:sz w:val="13"/>
                <w:szCs w:val="13"/>
                <w:color w:val="auto"/>
              </w:rPr>
            </w:pPr>
          </w:p>
        </w:tc>
        <w:tc>
          <w:tcPr>
            <w:tcW w:w="5980" w:type="dxa"/>
            <w:vAlign w:val="bottom"/>
            <w:tcBorders>
              <w:bottom w:val="single" w:sz="8" w:color="0000FF"/>
            </w:tcBorders>
            <w:gridSpan w:val="27"/>
            <w:shd w:val="clear" w:color="auto" w:fill="CCEEFF"/>
          </w:tcPr>
          <w:p>
            <w:pPr>
              <w:spacing w:after="0"/>
              <w:rPr>
                <w:rFonts w:ascii="Arial" w:cs="Arial" w:eastAsia="Arial" w:hAnsi="Arial"/>
                <w:sz w:val="13"/>
                <w:szCs w:val="13"/>
                <w:color w:val="0000FF"/>
                <w:w w:val="98"/>
              </w:rPr>
            </w:pPr>
            <w:hyperlink r:id="rId53">
              <w:r>
                <w:rPr>
                  <w:rFonts w:ascii="Arial" w:cs="Arial" w:eastAsia="Arial" w:hAnsi="Arial"/>
                  <w:sz w:val="13"/>
                  <w:szCs w:val="13"/>
                  <w:color w:val="0000FF"/>
                  <w:w w:val="98"/>
                </w:rPr>
                <w:t>Amended and Restated Employment Agreement between Winnebago Industries, Inc., Grand Design RV,</w:t>
              </w:r>
            </w:hyperlink>
          </w:p>
        </w:tc>
        <w:tc>
          <w:tcPr>
            <w:tcW w:w="300" w:type="dxa"/>
            <w:vAlign w:val="bottom"/>
            <w:tcBorders>
              <w:bottom w:val="single" w:sz="8" w:color="CCEEFF"/>
            </w:tcBorders>
            <w:gridSpan w:val="8"/>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06/24/2019</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5"/>
            <w:shd w:val="clear" w:color="auto" w:fill="CCEEFF"/>
          </w:tcPr>
          <w:p>
            <w:pPr>
              <w:spacing w:after="0" w:line="131" w:lineRule="exact"/>
              <w:rPr>
                <w:rFonts w:ascii="Arial" w:cs="Arial" w:eastAsia="Arial" w:hAnsi="Arial"/>
                <w:sz w:val="13"/>
                <w:szCs w:val="13"/>
                <w:color w:val="0000FF"/>
              </w:rPr>
            </w:pPr>
            <w:hyperlink r:id="rId53">
              <w:r>
                <w:rPr>
                  <w:rFonts w:ascii="Arial" w:cs="Arial" w:eastAsia="Arial" w:hAnsi="Arial"/>
                  <w:sz w:val="13"/>
                  <w:szCs w:val="13"/>
                  <w:color w:val="0000FF"/>
                </w:rPr>
                <w:t>LLC, and Donald Clark effective September 1, 2019.*</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10ag.</w:t>
            </w:r>
          </w:p>
        </w:tc>
        <w:tc>
          <w:tcPr>
            <w:tcW w:w="20" w:type="dxa"/>
            <w:vAlign w:val="bottom"/>
          </w:tcPr>
          <w:p>
            <w:pPr>
              <w:spacing w:after="0"/>
              <w:rPr>
                <w:sz w:val="13"/>
                <w:szCs w:val="13"/>
                <w:color w:val="auto"/>
              </w:rPr>
            </w:pPr>
          </w:p>
        </w:tc>
        <w:tc>
          <w:tcPr>
            <w:tcW w:w="5900" w:type="dxa"/>
            <w:vAlign w:val="bottom"/>
            <w:tcBorders>
              <w:bottom w:val="single" w:sz="8" w:color="0000FF"/>
            </w:tcBorders>
            <w:gridSpan w:val="23"/>
          </w:tcPr>
          <w:p>
            <w:pPr>
              <w:spacing w:after="0"/>
              <w:rPr>
                <w:rFonts w:ascii="Arial" w:cs="Arial" w:eastAsia="Arial" w:hAnsi="Arial"/>
                <w:sz w:val="13"/>
                <w:szCs w:val="13"/>
                <w:color w:val="0000FF"/>
                <w:w w:val="99"/>
              </w:rPr>
            </w:pPr>
            <w:hyperlink r:id="rId54">
              <w:r>
                <w:rPr>
                  <w:rFonts w:ascii="Arial" w:cs="Arial" w:eastAsia="Arial" w:hAnsi="Arial"/>
                  <w:sz w:val="13"/>
                  <w:szCs w:val="13"/>
                  <w:color w:val="0000FF"/>
                  <w:w w:val="99"/>
                </w:rPr>
                <w:t>Amended and Restated Change of Control Agreement between Winnebago Industries, Inc. and Donald</w:t>
              </w:r>
            </w:hyperlink>
          </w:p>
        </w:tc>
        <w:tc>
          <w:tcPr>
            <w:tcW w:w="380" w:type="dxa"/>
            <w:vAlign w:val="bottom"/>
            <w:gridSpan w:val="12"/>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06/24/2019</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35"/>
          </w:tcPr>
          <w:p>
            <w:pPr>
              <w:spacing w:after="0" w:line="131" w:lineRule="exact"/>
              <w:rPr>
                <w:rFonts w:ascii="Arial" w:cs="Arial" w:eastAsia="Arial" w:hAnsi="Arial"/>
                <w:sz w:val="13"/>
                <w:szCs w:val="13"/>
                <w:color w:val="0000FF"/>
              </w:rPr>
            </w:pPr>
            <w:hyperlink r:id="rId54">
              <w:r>
                <w:rPr>
                  <w:rFonts w:ascii="Arial" w:cs="Arial" w:eastAsia="Arial" w:hAnsi="Arial"/>
                  <w:sz w:val="13"/>
                  <w:szCs w:val="13"/>
                  <w:color w:val="0000FF"/>
                </w:rPr>
                <w:t>Clark effective September 1, 2019.*</w:t>
              </w:r>
            </w:hyperlink>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10ah.</w:t>
            </w:r>
          </w:p>
        </w:tc>
        <w:tc>
          <w:tcPr>
            <w:tcW w:w="20" w:type="dxa"/>
            <w:vAlign w:val="bottom"/>
            <w:tcBorders>
              <w:bottom w:val="single" w:sz="8" w:color="CCEEFF"/>
            </w:tcBorders>
            <w:shd w:val="clear" w:color="auto" w:fill="CCEEFF"/>
          </w:tcPr>
          <w:p>
            <w:pPr>
              <w:spacing w:after="0"/>
              <w:rPr>
                <w:sz w:val="13"/>
                <w:szCs w:val="13"/>
                <w:color w:val="auto"/>
              </w:rPr>
            </w:pPr>
          </w:p>
        </w:tc>
        <w:tc>
          <w:tcPr>
            <w:tcW w:w="6120" w:type="dxa"/>
            <w:vAlign w:val="bottom"/>
            <w:tcBorders>
              <w:bottom w:val="single" w:sz="8" w:color="0000FF"/>
            </w:tcBorders>
            <w:gridSpan w:val="31"/>
            <w:shd w:val="clear" w:color="auto" w:fill="CCEEFF"/>
          </w:tcPr>
          <w:p>
            <w:pPr>
              <w:spacing w:after="0"/>
              <w:rPr>
                <w:rFonts w:ascii="Arial" w:cs="Arial" w:eastAsia="Arial" w:hAnsi="Arial"/>
                <w:sz w:val="13"/>
                <w:szCs w:val="13"/>
                <w:color w:val="0000FF"/>
                <w:w w:val="99"/>
              </w:rPr>
            </w:pPr>
            <w:hyperlink r:id="rId55">
              <w:r>
                <w:rPr>
                  <w:rFonts w:ascii="Arial" w:cs="Arial" w:eastAsia="Arial" w:hAnsi="Arial"/>
                  <w:sz w:val="13"/>
                  <w:szCs w:val="13"/>
                  <w:color w:val="0000FF"/>
                  <w:w w:val="99"/>
                </w:rPr>
                <w:t>Commitment Letter dated September 15, 2019, by and among Winnebago Industries, Inc., Goldman Sachs</w:t>
              </w:r>
            </w:hyperlink>
          </w:p>
        </w:tc>
        <w:tc>
          <w:tcPr>
            <w:tcW w:w="160" w:type="dxa"/>
            <w:vAlign w:val="bottom"/>
            <w:tcBorders>
              <w:bottom w:val="single" w:sz="8" w:color="CCEEFF"/>
            </w:tcBorders>
            <w:gridSpan w:val="4"/>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09/16/2019</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80" w:type="dxa"/>
            <w:vAlign w:val="bottom"/>
            <w:gridSpan w:val="35"/>
            <w:shd w:val="clear" w:color="auto" w:fill="CCEEFF"/>
          </w:tcPr>
          <w:p>
            <w:pPr>
              <w:spacing w:after="0" w:line="131" w:lineRule="exact"/>
              <w:rPr>
                <w:rFonts w:ascii="Arial" w:cs="Arial" w:eastAsia="Arial" w:hAnsi="Arial"/>
                <w:sz w:val="13"/>
                <w:szCs w:val="13"/>
                <w:color w:val="0000FF"/>
              </w:rPr>
            </w:pPr>
            <w:hyperlink r:id="rId55">
              <w:r>
                <w:rPr>
                  <w:rFonts w:ascii="Arial" w:cs="Arial" w:eastAsia="Arial" w:hAnsi="Arial"/>
                  <w:sz w:val="13"/>
                  <w:szCs w:val="13"/>
                  <w:color w:val="0000FF"/>
                </w:rPr>
                <w:t>Bank USA, Bank of Montreal, and BMO Capital Markets Corp.</w:t>
              </w:r>
            </w:hyperlink>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gridSpan w:val="35"/>
          </w:tcPr>
          <w:p>
            <w:pPr>
              <w:spacing w:after="0"/>
              <w:rPr>
                <w:rFonts w:ascii="Arial" w:cs="Arial" w:eastAsia="Arial" w:hAnsi="Arial"/>
                <w:sz w:val="13"/>
                <w:szCs w:val="13"/>
                <w:color w:val="0000FF"/>
              </w:rPr>
            </w:pPr>
            <w:hyperlink w:anchor="page101">
              <w:r>
                <w:rPr>
                  <w:rFonts w:ascii="Arial" w:cs="Arial" w:eastAsia="Arial" w:hAnsi="Arial"/>
                  <w:sz w:val="13"/>
                  <w:szCs w:val="13"/>
                  <w:color w:val="0000FF"/>
                </w:rPr>
                <w:t>List of Subsidiaries.</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80" w:type="dxa"/>
            <w:vAlign w:val="bottom"/>
            <w:gridSpan w:val="35"/>
            <w:shd w:val="clear" w:color="auto" w:fill="CCEEFF"/>
          </w:tcPr>
          <w:p>
            <w:pPr>
              <w:spacing w:after="0"/>
              <w:rPr>
                <w:rFonts w:ascii="Arial" w:cs="Arial" w:eastAsia="Arial" w:hAnsi="Arial"/>
                <w:sz w:val="13"/>
                <w:szCs w:val="13"/>
                <w:color w:val="0000FF"/>
              </w:rPr>
            </w:pPr>
            <w:hyperlink w:anchor="page102">
              <w:r>
                <w:rPr>
                  <w:rFonts w:ascii="Arial" w:cs="Arial" w:eastAsia="Arial" w:hAnsi="Arial"/>
                  <w:sz w:val="13"/>
                  <w:szCs w:val="13"/>
                  <w:color w:val="0000FF"/>
                </w:rPr>
                <w:t>Consent of Independent Registered Public Accounting Firm.</w:t>
              </w:r>
            </w:hyperlink>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gridSpan w:val="35"/>
          </w:tcPr>
          <w:p>
            <w:pPr>
              <w:spacing w:after="0"/>
              <w:rPr>
                <w:rFonts w:ascii="Arial" w:cs="Arial" w:eastAsia="Arial" w:hAnsi="Arial"/>
                <w:sz w:val="13"/>
                <w:szCs w:val="13"/>
                <w:color w:val="0000FF"/>
              </w:rPr>
            </w:pPr>
            <w:hyperlink w:anchor="page103">
              <w:r>
                <w:rPr>
                  <w:rFonts w:ascii="Arial" w:cs="Arial" w:eastAsia="Arial" w:hAnsi="Arial"/>
                  <w:sz w:val="13"/>
                  <w:szCs w:val="13"/>
                  <w:color w:val="0000FF"/>
                </w:rPr>
                <w:t>Certification by the Chief Executive Officer pursuant to Section 302 of the Sarbanes-Oxley Act of 2002.</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80" w:type="dxa"/>
            <w:vAlign w:val="bottom"/>
            <w:gridSpan w:val="35"/>
            <w:shd w:val="clear" w:color="auto" w:fill="CCEEFF"/>
          </w:tcPr>
          <w:p>
            <w:pPr>
              <w:spacing w:after="0"/>
              <w:rPr>
                <w:rFonts w:ascii="Arial" w:cs="Arial" w:eastAsia="Arial" w:hAnsi="Arial"/>
                <w:sz w:val="13"/>
                <w:szCs w:val="13"/>
                <w:color w:val="0000FF"/>
              </w:rPr>
            </w:pPr>
            <w:hyperlink w:anchor="page104">
              <w:r>
                <w:rPr>
                  <w:rFonts w:ascii="Arial" w:cs="Arial" w:eastAsia="Arial" w:hAnsi="Arial"/>
                  <w:sz w:val="13"/>
                  <w:szCs w:val="13"/>
                  <w:color w:val="0000FF"/>
                </w:rPr>
                <w:t>Certification by the Chief Financial Officer pursuant to Section 302 of the Sarbanes-Oxley Act of 2002.</w:t>
              </w:r>
            </w:hyperlink>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7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right"/>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gridSpan w:val="35"/>
          </w:tcPr>
          <w:p>
            <w:pPr>
              <w:spacing w:after="0"/>
              <w:rPr>
                <w:rFonts w:ascii="Arial" w:cs="Arial" w:eastAsia="Arial" w:hAnsi="Arial"/>
                <w:sz w:val="13"/>
                <w:szCs w:val="13"/>
                <w:color w:val="0000FF"/>
              </w:rPr>
            </w:pPr>
            <w:hyperlink w:anchor="page105">
              <w:r>
                <w:rPr>
                  <w:rFonts w:ascii="Arial" w:cs="Arial" w:eastAsia="Arial" w:hAnsi="Arial"/>
                  <w:sz w:val="13"/>
                  <w:szCs w:val="13"/>
                  <w:color w:val="0000FF"/>
                </w:rPr>
                <w:t>Certification by the Chief Executive Officer pursuant to Section 1350, as adopted pursuant to Section 906 of</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140" w:type="dxa"/>
            <w:vAlign w:val="bottom"/>
            <w:tcBorders>
              <w:top w:val="single" w:sz="8" w:color="0000FF"/>
            </w:tcBorders>
            <w:gridSpan w:val="32"/>
          </w:tcPr>
          <w:p>
            <w:pPr>
              <w:spacing w:after="0" w:line="131" w:lineRule="exact"/>
              <w:rPr>
                <w:rFonts w:ascii="Arial" w:cs="Arial" w:eastAsia="Arial" w:hAnsi="Arial"/>
                <w:sz w:val="13"/>
                <w:szCs w:val="13"/>
                <w:color w:val="0000FF"/>
              </w:rPr>
            </w:pPr>
            <w:hyperlink w:anchor="page105">
              <w:r>
                <w:rPr>
                  <w:rFonts w:ascii="Arial" w:cs="Arial" w:eastAsia="Arial" w:hAnsi="Arial"/>
                  <w:sz w:val="13"/>
                  <w:szCs w:val="13"/>
                  <w:color w:val="0000FF"/>
                </w:rPr>
                <w:t>the Sarbanes-Oxley Act of 2002.</w:t>
              </w:r>
            </w:hyperlink>
          </w:p>
        </w:tc>
        <w:tc>
          <w:tcPr>
            <w:tcW w:w="140" w:type="dxa"/>
            <w:vAlign w:val="bottom"/>
            <w:gridSpan w:val="3"/>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80" w:type="dxa"/>
            <w:vAlign w:val="bottom"/>
            <w:gridSpan w:val="35"/>
            <w:shd w:val="clear" w:color="auto" w:fill="CCEEFF"/>
          </w:tcPr>
          <w:p>
            <w:pPr>
              <w:spacing w:after="0"/>
              <w:rPr>
                <w:rFonts w:ascii="Arial" w:cs="Arial" w:eastAsia="Arial" w:hAnsi="Arial"/>
                <w:sz w:val="13"/>
                <w:szCs w:val="13"/>
                <w:color w:val="0000FF"/>
              </w:rPr>
            </w:pPr>
            <w:hyperlink w:anchor="page106">
              <w:r>
                <w:rPr>
                  <w:rFonts w:ascii="Arial" w:cs="Arial" w:eastAsia="Arial" w:hAnsi="Arial"/>
                  <w:sz w:val="13"/>
                  <w:szCs w:val="13"/>
                  <w:color w:val="0000FF"/>
                </w:rPr>
                <w:t>Certification by the Chief Financial Officer pursuant to Section 1350, as adopted pursuant to Section 906 of</w:t>
              </w:r>
            </w:hyperlink>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1"/>
        </w:trPr>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100" w:type="dxa"/>
            <w:vAlign w:val="bottom"/>
            <w:tcBorders>
              <w:top w:val="single" w:sz="8" w:color="0000FF"/>
            </w:tcBorders>
            <w:gridSpan w:val="30"/>
            <w:shd w:val="clear" w:color="auto" w:fill="CCEEFF"/>
          </w:tcPr>
          <w:p>
            <w:pPr>
              <w:spacing w:after="0" w:line="131" w:lineRule="exact"/>
              <w:rPr>
                <w:rFonts w:ascii="Arial" w:cs="Arial" w:eastAsia="Arial" w:hAnsi="Arial"/>
                <w:sz w:val="13"/>
                <w:szCs w:val="13"/>
                <w:color w:val="0000FF"/>
              </w:rPr>
            </w:pPr>
            <w:hyperlink w:anchor="page106">
              <w:r>
                <w:rPr>
                  <w:rFonts w:ascii="Arial" w:cs="Arial" w:eastAsia="Arial" w:hAnsi="Arial"/>
                  <w:sz w:val="13"/>
                  <w:szCs w:val="13"/>
                  <w:color w:val="0000FF"/>
                </w:rPr>
                <w:t>the Sarbanes-Oxley Act of 2002.</w:t>
              </w:r>
            </w:hyperlink>
          </w:p>
        </w:tc>
        <w:tc>
          <w:tcPr>
            <w:tcW w:w="180" w:type="dxa"/>
            <w:vAlign w:val="bottom"/>
            <w:tcBorders>
              <w:top w:val="single" w:sz="8" w:color="CCEEFF"/>
            </w:tcBorders>
            <w:gridSpan w:val="5"/>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101.INS XBRL Instance Document**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101.SCH XBRL Taxonomy Extension Schema Document**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101.CAL XBRL Taxonomy Extension Calculation Linkbase Document**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101.DEF XBRL Taxonomy Extension Definitions Linkbase Document**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101.LAB XBRL Taxonomy Extension Label Linkbase Document**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101.PRE XBRL Taxonomy Extension Presentation Linkbase Document**</w:t>
      </w:r>
    </w:p>
    <w:p>
      <w:pPr>
        <w:spacing w:after="0" w:line="44" w:lineRule="exact"/>
        <w:rPr>
          <w:sz w:val="20"/>
          <w:szCs w:val="20"/>
          <w:color w:val="auto"/>
        </w:rPr>
      </w:pPr>
    </w:p>
    <w:p>
      <w:pPr>
        <w:ind w:left="260" w:hanging="254"/>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Management contract or compensation plan or arrangement.</w:t>
      </w:r>
    </w:p>
    <w:p>
      <w:pPr>
        <w:spacing w:after="0" w:line="1" w:lineRule="exact"/>
        <w:rPr>
          <w:sz w:val="20"/>
          <w:szCs w:val="20"/>
          <w:color w:val="auto"/>
        </w:rPr>
      </w:pPr>
    </w:p>
    <w:p>
      <w:pPr>
        <w:ind w:left="260" w:right="360" w:hanging="254"/>
        <w:spacing w:after="0" w:line="251" w:lineRule="auto"/>
        <w:tabs>
          <w:tab w:leader="none" w:pos="2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Attached as Exhibit 101 to this report are the following financial statements from our Annual Report on Form 10-K for the year ended August 31, 2019 formatted in XBRL: (i) the Consolidated Balance Sheets, (ii) the Consolidated Statements of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460"/>
          </w:cols>
          <w:pgMar w:left="220" w:top="119" w:right="219"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ind w:left="260"/>
        <w:spacing w:after="0" w:line="337" w:lineRule="auto"/>
        <w:rPr>
          <w:sz w:val="20"/>
          <w:szCs w:val="20"/>
          <w:color w:val="auto"/>
        </w:rPr>
      </w:pPr>
      <w:r>
        <w:rPr>
          <w:rFonts w:ascii="Arial" w:cs="Arial" w:eastAsia="Arial" w:hAnsi="Arial"/>
          <w:sz w:val="13"/>
          <w:szCs w:val="13"/>
          <w:color w:val="auto"/>
        </w:rPr>
        <w:t>and Comprehensive Income, (iii) the Consolidated Statements of Cash Flows, (iv) the Consolidated Statements of Changes in Stockholders' Equity, and (v) related notes to these financial statements. Such exhibits are deemed furnished and not filed pursuant to Rule 406T of Regulation S-T.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Form 10-K Summary.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9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0920"/>
          </w:cols>
          <w:pgMar w:left="220" w:top="141" w:right="75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SIGNATURES</w:t>
      </w:r>
    </w:p>
    <w:p>
      <w:pPr>
        <w:spacing w:after="0" w:line="168"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WINNEBAGO INDUSTRIES, INC.</w:t>
      </w:r>
    </w:p>
    <w:p>
      <w:pPr>
        <w:spacing w:after="0" w:line="278"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22225</wp:posOffset>
            </wp:positionV>
            <wp:extent cx="370903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extLst>
                    </a:blip>
                    <a:srcRect/>
                    <a:stretch>
                      <a:fillRect/>
                    </a:stretch>
                  </pic:blipFill>
                  <pic:spPr bwMode="auto">
                    <a:xfrm>
                      <a:off x="0" y="0"/>
                      <a:ext cx="3709035" cy="6985"/>
                    </a:xfrm>
                    <a:prstGeom prst="rect">
                      <a:avLst/>
                    </a:prstGeom>
                    <a:noFill/>
                  </pic:spPr>
                </pic:pic>
              </a:graphicData>
            </a:graphic>
          </wp:anchor>
        </w:drawing>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Michael J. Happe</w:t>
      </w:r>
    </w:p>
    <w:p>
      <w:pPr>
        <w:spacing w:after="0" w:line="29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President, Chief Executive Officer</w:t>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(Principal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Date: October 23, 2019</w:t>
      </w:r>
    </w:p>
    <w:p>
      <w:pPr>
        <w:spacing w:after="0" w:line="303"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on October 23, 2019, by the following persons on behalf of the Registrant and in the capacities indicated.</w:t>
      </w:r>
    </w:p>
    <w:p>
      <w:pPr>
        <w:spacing w:after="0" w:line="124" w:lineRule="exact"/>
        <w:rPr>
          <w:sz w:val="20"/>
          <w:szCs w:val="20"/>
          <w:color w:val="auto"/>
        </w:rPr>
      </w:pPr>
    </w:p>
    <w:p>
      <w:pPr>
        <w:ind w:left="2120"/>
        <w:spacing w:after="0"/>
        <w:tabs>
          <w:tab w:leader="none" w:pos="56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Capacity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c>
          <w:tcPr>
            <w:tcW w:w="3300" w:type="dxa"/>
            <w:vAlign w:val="bottom"/>
          </w:tcPr>
          <w:p>
            <w:pPr>
              <w:spacing w:after="0"/>
              <w:rPr>
                <w:sz w:val="15"/>
                <w:szCs w:val="15"/>
                <w:color w:val="auto"/>
              </w:rPr>
            </w:pPr>
          </w:p>
        </w:tc>
      </w:tr>
      <w:tr>
        <w:trPr>
          <w:trHeight w:val="163"/>
        </w:trPr>
        <w:tc>
          <w:tcPr>
            <w:tcW w:w="4820" w:type="dxa"/>
            <w:vAlign w:val="bottom"/>
          </w:tcPr>
          <w:p>
            <w:pPr>
              <w:ind w:left="20"/>
              <w:spacing w:after="0"/>
              <w:rPr>
                <w:sz w:val="20"/>
                <w:szCs w:val="20"/>
                <w:color w:val="auto"/>
              </w:rPr>
            </w:pPr>
            <w:r>
              <w:rPr>
                <w:rFonts w:ascii="Arial" w:cs="Arial" w:eastAsia="Arial" w:hAnsi="Arial"/>
                <w:sz w:val="13"/>
                <w:szCs w:val="13"/>
                <w:color w:val="auto"/>
              </w:rPr>
              <w:t>Michael J. Happe</w:t>
            </w:r>
          </w:p>
        </w:tc>
        <w:tc>
          <w:tcPr>
            <w:tcW w:w="3300" w:type="dxa"/>
            <w:vAlign w:val="bottom"/>
          </w:tcPr>
          <w:p>
            <w:pPr>
              <w:ind w:left="820"/>
              <w:spacing w:after="0"/>
              <w:rPr>
                <w:sz w:val="20"/>
                <w:szCs w:val="20"/>
                <w:color w:val="auto"/>
              </w:rPr>
            </w:pPr>
            <w:r>
              <w:rPr>
                <w:rFonts w:ascii="Arial" w:cs="Arial" w:eastAsia="Arial" w:hAnsi="Arial"/>
                <w:sz w:val="13"/>
                <w:szCs w:val="13"/>
                <w:color w:val="auto"/>
              </w:rPr>
              <w:t>President, Chief Executive Officer</w:t>
            </w:r>
          </w:p>
        </w:tc>
      </w:tr>
      <w:tr>
        <w:trPr>
          <w:trHeight w:val="155"/>
        </w:trPr>
        <w:tc>
          <w:tcPr>
            <w:tcW w:w="4820" w:type="dxa"/>
            <w:vAlign w:val="bottom"/>
          </w:tcPr>
          <w:p>
            <w:pPr>
              <w:spacing w:after="0"/>
              <w:rPr>
                <w:sz w:val="13"/>
                <w:szCs w:val="13"/>
                <w:color w:val="auto"/>
              </w:rPr>
            </w:pPr>
          </w:p>
        </w:tc>
        <w:tc>
          <w:tcPr>
            <w:tcW w:w="3300" w:type="dxa"/>
            <w:vAlign w:val="bottom"/>
          </w:tcPr>
          <w:p>
            <w:pPr>
              <w:ind w:left="820"/>
              <w:spacing w:after="0"/>
              <w:rPr>
                <w:sz w:val="20"/>
                <w:szCs w:val="20"/>
                <w:color w:val="auto"/>
              </w:rPr>
            </w:pPr>
            <w:r>
              <w:rPr>
                <w:rFonts w:ascii="Arial" w:cs="Arial" w:eastAsia="Arial" w:hAnsi="Arial"/>
                <w:sz w:val="13"/>
                <w:szCs w:val="13"/>
                <w:color w:val="auto"/>
              </w:rPr>
              <w:t>(Principal Executive Officer)</w:t>
            </w:r>
          </w:p>
        </w:tc>
      </w:tr>
      <w:tr>
        <w:trPr>
          <w:trHeight w:val="44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c>
          <w:tcPr>
            <w:tcW w:w="3300" w:type="dxa"/>
            <w:vAlign w:val="bottom"/>
          </w:tcPr>
          <w:p>
            <w:pPr>
              <w:spacing w:after="0"/>
              <w:rPr>
                <w:sz w:val="24"/>
                <w:szCs w:val="24"/>
                <w:color w:val="auto"/>
              </w:rPr>
            </w:pPr>
          </w:p>
        </w:tc>
      </w:tr>
      <w:tr>
        <w:trPr>
          <w:trHeight w:val="163"/>
        </w:trPr>
        <w:tc>
          <w:tcPr>
            <w:tcW w:w="4820" w:type="dxa"/>
            <w:vAlign w:val="bottom"/>
          </w:tcPr>
          <w:p>
            <w:pPr>
              <w:ind w:left="20"/>
              <w:spacing w:after="0"/>
              <w:rPr>
                <w:sz w:val="20"/>
                <w:szCs w:val="20"/>
                <w:color w:val="auto"/>
              </w:rPr>
            </w:pPr>
            <w:r>
              <w:rPr>
                <w:rFonts w:ascii="Arial" w:cs="Arial" w:eastAsia="Arial" w:hAnsi="Arial"/>
                <w:sz w:val="13"/>
                <w:szCs w:val="13"/>
                <w:color w:val="auto"/>
              </w:rPr>
              <w:t>Bryan L. Hughes</w:t>
            </w:r>
          </w:p>
        </w:tc>
        <w:tc>
          <w:tcPr>
            <w:tcW w:w="3300" w:type="dxa"/>
            <w:vAlign w:val="bottom"/>
          </w:tcPr>
          <w:p>
            <w:pPr>
              <w:ind w:left="820"/>
              <w:spacing w:after="0"/>
              <w:rPr>
                <w:sz w:val="20"/>
                <w:szCs w:val="20"/>
                <w:color w:val="auto"/>
              </w:rPr>
            </w:pPr>
            <w:r>
              <w:rPr>
                <w:rFonts w:ascii="Arial" w:cs="Arial" w:eastAsia="Arial" w:hAnsi="Arial"/>
                <w:sz w:val="13"/>
                <w:szCs w:val="13"/>
                <w:color w:val="auto"/>
              </w:rPr>
              <w:t>Vice President, Chief Financial Officer</w:t>
            </w:r>
          </w:p>
        </w:tc>
      </w:tr>
      <w:tr>
        <w:trPr>
          <w:trHeight w:val="155"/>
        </w:trPr>
        <w:tc>
          <w:tcPr>
            <w:tcW w:w="4820" w:type="dxa"/>
            <w:vAlign w:val="bottom"/>
          </w:tcPr>
          <w:p>
            <w:pPr>
              <w:spacing w:after="0"/>
              <w:rPr>
                <w:sz w:val="13"/>
                <w:szCs w:val="13"/>
                <w:color w:val="auto"/>
              </w:rPr>
            </w:pPr>
          </w:p>
        </w:tc>
        <w:tc>
          <w:tcPr>
            <w:tcW w:w="3300" w:type="dxa"/>
            <w:vAlign w:val="bottom"/>
          </w:tcPr>
          <w:p>
            <w:pPr>
              <w:ind w:left="820"/>
              <w:spacing w:after="0"/>
              <w:rPr>
                <w:sz w:val="20"/>
                <w:szCs w:val="20"/>
                <w:color w:val="auto"/>
              </w:rPr>
            </w:pPr>
            <w:r>
              <w:rPr>
                <w:rFonts w:ascii="Arial" w:cs="Arial" w:eastAsia="Arial" w:hAnsi="Arial"/>
                <w:sz w:val="13"/>
                <w:szCs w:val="13"/>
                <w:color w:val="auto"/>
                <w:w w:val="98"/>
              </w:rPr>
              <w:t>(Principal Financial and Accounting Officer)</w:t>
            </w:r>
          </w:p>
        </w:tc>
      </w:tr>
      <w:tr>
        <w:trPr>
          <w:trHeight w:val="4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Maria F. Blase</w:t>
            </w:r>
          </w:p>
        </w:tc>
        <w:tc>
          <w:tcPr>
            <w:tcW w:w="3300" w:type="dxa"/>
            <w:vAlign w:val="bottom"/>
          </w:tcPr>
          <w:p>
            <w:pPr>
              <w:spacing w:after="0"/>
              <w:rPr>
                <w:sz w:val="24"/>
                <w:szCs w:val="24"/>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3"/>
                <w:szCs w:val="13"/>
                <w:color w:val="auto"/>
              </w:rPr>
              <w:t>Maria F. Blase</w:t>
            </w:r>
          </w:p>
        </w:tc>
        <w:tc>
          <w:tcPr>
            <w:tcW w:w="3300" w:type="dxa"/>
            <w:vAlign w:val="bottom"/>
          </w:tcPr>
          <w:p>
            <w:pPr>
              <w:ind w:left="820"/>
              <w:spacing w:after="0"/>
              <w:rPr>
                <w:sz w:val="20"/>
                <w:szCs w:val="20"/>
                <w:color w:val="auto"/>
              </w:rPr>
            </w:pPr>
            <w:r>
              <w:rPr>
                <w:rFonts w:ascii="Arial" w:cs="Arial" w:eastAsia="Arial" w:hAnsi="Arial"/>
                <w:sz w:val="13"/>
                <w:szCs w:val="13"/>
                <w:color w:val="auto"/>
              </w:rPr>
              <w:t>Director</w:t>
            </w:r>
          </w:p>
        </w:tc>
      </w:tr>
      <w:tr>
        <w:trPr>
          <w:trHeight w:val="4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Christopher J. Braun</w:t>
            </w:r>
          </w:p>
        </w:tc>
        <w:tc>
          <w:tcPr>
            <w:tcW w:w="3300" w:type="dxa"/>
            <w:vAlign w:val="bottom"/>
          </w:tcPr>
          <w:p>
            <w:pPr>
              <w:spacing w:after="0"/>
              <w:rPr>
                <w:sz w:val="24"/>
                <w:szCs w:val="24"/>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3"/>
                <w:szCs w:val="13"/>
                <w:color w:val="auto"/>
              </w:rPr>
              <w:t>Christopher J. Braun</w:t>
            </w:r>
          </w:p>
        </w:tc>
        <w:tc>
          <w:tcPr>
            <w:tcW w:w="3300" w:type="dxa"/>
            <w:vAlign w:val="bottom"/>
          </w:tcPr>
          <w:p>
            <w:pPr>
              <w:ind w:left="820"/>
              <w:spacing w:after="0"/>
              <w:rPr>
                <w:sz w:val="20"/>
                <w:szCs w:val="20"/>
                <w:color w:val="auto"/>
              </w:rPr>
            </w:pPr>
            <w:r>
              <w:rPr>
                <w:rFonts w:ascii="Arial" w:cs="Arial" w:eastAsia="Arial" w:hAnsi="Arial"/>
                <w:sz w:val="13"/>
                <w:szCs w:val="13"/>
                <w:color w:val="auto"/>
              </w:rPr>
              <w:t>Director</w:t>
            </w:r>
          </w:p>
        </w:tc>
      </w:tr>
      <w:tr>
        <w:trPr>
          <w:trHeight w:val="4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Robert M. Chiusano</w:t>
            </w:r>
          </w:p>
        </w:tc>
        <w:tc>
          <w:tcPr>
            <w:tcW w:w="3300" w:type="dxa"/>
            <w:vAlign w:val="bottom"/>
          </w:tcPr>
          <w:p>
            <w:pPr>
              <w:spacing w:after="0"/>
              <w:rPr>
                <w:sz w:val="24"/>
                <w:szCs w:val="24"/>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3"/>
                <w:szCs w:val="13"/>
                <w:color w:val="auto"/>
              </w:rPr>
              <w:t>Robert M. Chiusano</w:t>
            </w:r>
          </w:p>
        </w:tc>
        <w:tc>
          <w:tcPr>
            <w:tcW w:w="3300" w:type="dxa"/>
            <w:vAlign w:val="bottom"/>
          </w:tcPr>
          <w:p>
            <w:pPr>
              <w:ind w:left="820"/>
              <w:spacing w:after="0"/>
              <w:rPr>
                <w:sz w:val="20"/>
                <w:szCs w:val="20"/>
                <w:color w:val="auto"/>
              </w:rPr>
            </w:pPr>
            <w:r>
              <w:rPr>
                <w:rFonts w:ascii="Arial" w:cs="Arial" w:eastAsia="Arial" w:hAnsi="Arial"/>
                <w:sz w:val="13"/>
                <w:szCs w:val="13"/>
                <w:color w:val="auto"/>
              </w:rPr>
              <w:t>Director</w:t>
            </w:r>
          </w:p>
        </w:tc>
      </w:tr>
      <w:tr>
        <w:trPr>
          <w:trHeight w:val="450"/>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/s/ William C. Fisher</w:t>
            </w:r>
          </w:p>
        </w:tc>
        <w:tc>
          <w:tcPr>
            <w:tcW w:w="3300" w:type="dxa"/>
            <w:vAlign w:val="bottom"/>
          </w:tcPr>
          <w:p>
            <w:pPr>
              <w:spacing w:after="0"/>
              <w:rPr>
                <w:sz w:val="24"/>
                <w:szCs w:val="24"/>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3"/>
                <w:szCs w:val="13"/>
                <w:color w:val="auto"/>
              </w:rPr>
              <w:t>William C. Fisher</w:t>
            </w:r>
          </w:p>
        </w:tc>
        <w:tc>
          <w:tcPr>
            <w:tcW w:w="3300" w:type="dxa"/>
            <w:vAlign w:val="bottom"/>
          </w:tcPr>
          <w:p>
            <w:pPr>
              <w:ind w:left="820"/>
              <w:spacing w:after="0"/>
              <w:rPr>
                <w:sz w:val="20"/>
                <w:szCs w:val="20"/>
                <w:color w:val="auto"/>
              </w:rPr>
            </w:pPr>
            <w:r>
              <w:rPr>
                <w:rFonts w:ascii="Arial" w:cs="Arial" w:eastAsia="Arial" w:hAnsi="Arial"/>
                <w:sz w:val="13"/>
                <w:szCs w:val="13"/>
                <w:color w:val="auto"/>
              </w:rPr>
              <w:t>Director</w:t>
            </w:r>
          </w:p>
        </w:tc>
      </w:tr>
      <w:tr>
        <w:trPr>
          <w:trHeight w:val="4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David W. Miles</w:t>
            </w:r>
          </w:p>
        </w:tc>
        <w:tc>
          <w:tcPr>
            <w:tcW w:w="3300" w:type="dxa"/>
            <w:vAlign w:val="bottom"/>
          </w:tcPr>
          <w:p>
            <w:pPr>
              <w:spacing w:after="0"/>
              <w:rPr>
                <w:sz w:val="24"/>
                <w:szCs w:val="24"/>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3"/>
                <w:szCs w:val="13"/>
                <w:color w:val="auto"/>
              </w:rPr>
              <w:t>David W. Miles</w:t>
            </w:r>
          </w:p>
        </w:tc>
        <w:tc>
          <w:tcPr>
            <w:tcW w:w="3300" w:type="dxa"/>
            <w:vAlign w:val="bottom"/>
          </w:tcPr>
          <w:p>
            <w:pPr>
              <w:ind w:left="820"/>
              <w:spacing w:after="0"/>
              <w:rPr>
                <w:sz w:val="20"/>
                <w:szCs w:val="20"/>
                <w:color w:val="auto"/>
              </w:rPr>
            </w:pPr>
            <w:r>
              <w:rPr>
                <w:rFonts w:ascii="Arial" w:cs="Arial" w:eastAsia="Arial" w:hAnsi="Arial"/>
                <w:sz w:val="13"/>
                <w:szCs w:val="13"/>
                <w:color w:val="auto"/>
              </w:rPr>
              <w:t>Director</w:t>
            </w:r>
          </w:p>
        </w:tc>
      </w:tr>
      <w:tr>
        <w:trPr>
          <w:trHeight w:val="4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Richard D. Moss</w:t>
            </w:r>
          </w:p>
        </w:tc>
        <w:tc>
          <w:tcPr>
            <w:tcW w:w="3300" w:type="dxa"/>
            <w:vAlign w:val="bottom"/>
          </w:tcPr>
          <w:p>
            <w:pPr>
              <w:spacing w:after="0"/>
              <w:rPr>
                <w:sz w:val="24"/>
                <w:szCs w:val="24"/>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3"/>
                <w:szCs w:val="13"/>
                <w:color w:val="auto"/>
              </w:rPr>
              <w:t>Richard D. Moss</w:t>
            </w:r>
          </w:p>
        </w:tc>
        <w:tc>
          <w:tcPr>
            <w:tcW w:w="3300" w:type="dxa"/>
            <w:vAlign w:val="bottom"/>
          </w:tcPr>
          <w:p>
            <w:pPr>
              <w:ind w:left="820"/>
              <w:spacing w:after="0"/>
              <w:rPr>
                <w:sz w:val="20"/>
                <w:szCs w:val="20"/>
                <w:color w:val="auto"/>
              </w:rPr>
            </w:pPr>
            <w:r>
              <w:rPr>
                <w:rFonts w:ascii="Arial" w:cs="Arial" w:eastAsia="Arial" w:hAnsi="Arial"/>
                <w:sz w:val="13"/>
                <w:szCs w:val="13"/>
                <w:color w:val="auto"/>
              </w:rPr>
              <w:t>Director</w:t>
            </w:r>
          </w:p>
        </w:tc>
      </w:tr>
      <w:tr>
        <w:trPr>
          <w:trHeight w:val="4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John M. Murabito</w:t>
            </w:r>
          </w:p>
        </w:tc>
        <w:tc>
          <w:tcPr>
            <w:tcW w:w="3300" w:type="dxa"/>
            <w:vAlign w:val="bottom"/>
          </w:tcPr>
          <w:p>
            <w:pPr>
              <w:spacing w:after="0"/>
              <w:rPr>
                <w:sz w:val="24"/>
                <w:szCs w:val="24"/>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3"/>
                <w:szCs w:val="13"/>
                <w:color w:val="auto"/>
              </w:rPr>
              <w:t>John M. Murabito</w:t>
            </w:r>
          </w:p>
        </w:tc>
        <w:tc>
          <w:tcPr>
            <w:tcW w:w="3300" w:type="dxa"/>
            <w:vAlign w:val="bottom"/>
          </w:tcPr>
          <w:p>
            <w:pPr>
              <w:ind w:left="820"/>
              <w:spacing w:after="0"/>
              <w:rPr>
                <w:sz w:val="20"/>
                <w:szCs w:val="20"/>
                <w:color w:val="auto"/>
              </w:rPr>
            </w:pPr>
            <w:r>
              <w:rPr>
                <w:rFonts w:ascii="Arial" w:cs="Arial" w:eastAsia="Arial" w:hAnsi="Arial"/>
                <w:sz w:val="13"/>
                <w:szCs w:val="13"/>
                <w:color w:val="auto"/>
              </w:rPr>
              <w:t>Director</w:t>
            </w:r>
          </w:p>
        </w:tc>
      </w:tr>
      <w:tr>
        <w:trPr>
          <w:trHeight w:val="366"/>
        </w:trPr>
        <w:tc>
          <w:tcPr>
            <w:tcW w:w="4820" w:type="dxa"/>
            <w:vAlign w:val="bottom"/>
          </w:tcPr>
          <w:p>
            <w:pPr>
              <w:spacing w:after="0"/>
              <w:rPr>
                <w:sz w:val="24"/>
                <w:szCs w:val="24"/>
                <w:color w:val="auto"/>
              </w:rPr>
            </w:pPr>
          </w:p>
        </w:tc>
        <w:tc>
          <w:tcPr>
            <w:tcW w:w="3300" w:type="dxa"/>
            <w:vAlign w:val="bottom"/>
          </w:tcPr>
          <w:p>
            <w:pPr>
              <w:ind w:left="840"/>
              <w:spacing w:after="0"/>
              <w:rPr>
                <w:sz w:val="20"/>
                <w:szCs w:val="20"/>
                <w:color w:val="auto"/>
              </w:rPr>
            </w:pPr>
            <w:r>
              <w:rPr>
                <w:rFonts w:ascii="Arial" w:cs="Arial" w:eastAsia="Arial" w:hAnsi="Arial"/>
                <w:sz w:val="13"/>
                <w:szCs w:val="13"/>
                <w:color w:val="auto"/>
              </w:rPr>
              <w:t>72</w:t>
            </w:r>
          </w:p>
        </w:tc>
      </w:tr>
    </w:tbl>
    <w:p>
      <w:pPr>
        <w:sectPr>
          <w:pgSz w:w="11900" w:h="16838" w:orient="portrait"/>
          <w:cols w:equalWidth="0" w:num="1">
            <w:col w:w="11380"/>
          </w:cols>
          <w:pgMar w:left="220" w:top="141"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Exhibit 4a</w:t>
      </w:r>
    </w:p>
    <w:p>
      <w:pPr>
        <w:spacing w:after="0" w:line="152"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WINNEBAGO INDUSTRIES, INC.</w:t>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DESCRIPTION OF SECURITIES</w:t>
      </w:r>
    </w:p>
    <w:p>
      <w:pPr>
        <w:spacing w:after="0" w:line="152" w:lineRule="exact"/>
        <w:rPr>
          <w:sz w:val="20"/>
          <w:szCs w:val="20"/>
          <w:color w:val="auto"/>
        </w:rPr>
      </w:pPr>
    </w:p>
    <w:p>
      <w:pPr>
        <w:ind w:right="160"/>
        <w:spacing w:after="0" w:line="245" w:lineRule="auto"/>
        <w:rPr>
          <w:sz w:val="20"/>
          <w:szCs w:val="20"/>
          <w:color w:val="auto"/>
        </w:rPr>
      </w:pPr>
      <w:r>
        <w:rPr>
          <w:rFonts w:ascii="Arial" w:cs="Arial" w:eastAsia="Arial" w:hAnsi="Arial"/>
          <w:sz w:val="13"/>
          <w:szCs w:val="13"/>
          <w:color w:val="auto"/>
        </w:rPr>
        <w:t>The summary of the general terms and provisions of the capital stock of Winnebago Industries, Inc. (the “</w:t>
      </w:r>
      <w:r>
        <w:rPr>
          <w:rFonts w:ascii="Arial" w:cs="Arial" w:eastAsia="Arial" w:hAnsi="Arial"/>
          <w:sz w:val="13"/>
          <w:szCs w:val="13"/>
          <w:u w:val="single" w:color="auto"/>
          <w:color w:val="auto"/>
        </w:rPr>
        <w:t>Company</w:t>
      </w:r>
      <w:r>
        <w:rPr>
          <w:rFonts w:ascii="Arial" w:cs="Arial" w:eastAsia="Arial" w:hAnsi="Arial"/>
          <w:sz w:val="13"/>
          <w:szCs w:val="13"/>
          <w:color w:val="auto"/>
        </w:rPr>
        <w:t>”) set forth below does not purport to be complete and is subject to and qualified by reference to the Company’s Amended and Restated Articles of Incorporation (as amended, the “</w:t>
      </w:r>
      <w:r>
        <w:rPr>
          <w:rFonts w:ascii="Arial" w:cs="Arial" w:eastAsia="Arial" w:hAnsi="Arial"/>
          <w:sz w:val="13"/>
          <w:szCs w:val="13"/>
          <w:u w:val="single" w:color="auto"/>
          <w:color w:val="auto"/>
        </w:rPr>
        <w:t>Articles</w:t>
      </w:r>
      <w:r>
        <w:rPr>
          <w:rFonts w:ascii="Arial" w:cs="Arial" w:eastAsia="Arial" w:hAnsi="Arial"/>
          <w:sz w:val="13"/>
          <w:szCs w:val="13"/>
          <w:color w:val="auto"/>
        </w:rPr>
        <w:t>”) and By-Laws (“</w:t>
      </w:r>
      <w:r>
        <w:rPr>
          <w:rFonts w:ascii="Arial" w:cs="Arial" w:eastAsia="Arial" w:hAnsi="Arial"/>
          <w:sz w:val="13"/>
          <w:szCs w:val="13"/>
          <w:u w:val="single" w:color="auto"/>
          <w:color w:val="auto"/>
        </w:rPr>
        <w:t>By-Laws</w:t>
      </w:r>
      <w:r>
        <w:rPr>
          <w:rFonts w:ascii="Arial" w:cs="Arial" w:eastAsia="Arial" w:hAnsi="Arial"/>
          <w:sz w:val="13"/>
          <w:szCs w:val="13"/>
          <w:color w:val="auto"/>
        </w:rPr>
        <w:t>,” and together with the Articles, the “</w:t>
      </w:r>
      <w:r>
        <w:rPr>
          <w:rFonts w:ascii="Arial" w:cs="Arial" w:eastAsia="Arial" w:hAnsi="Arial"/>
          <w:sz w:val="13"/>
          <w:szCs w:val="13"/>
          <w:u w:val="single" w:color="auto"/>
          <w:color w:val="auto"/>
        </w:rPr>
        <w:t>Charter Documents</w:t>
      </w:r>
      <w:r>
        <w:rPr>
          <w:rFonts w:ascii="Arial" w:cs="Arial" w:eastAsia="Arial" w:hAnsi="Arial"/>
          <w:sz w:val="13"/>
          <w:szCs w:val="13"/>
          <w:color w:val="auto"/>
        </w:rPr>
        <w:t>”), each of which is incorporated herein by reference and attached as an exhibit to the Company’s most recent Annual Report on Form 10-K filed with the Securities and Exchange Commission. For additional information, please read the Company’s Charter Documents and the applicable provisions of the Iowa Business Corporation Act (the “</w:t>
      </w:r>
      <w:r>
        <w:rPr>
          <w:rFonts w:ascii="Arial" w:cs="Arial" w:eastAsia="Arial" w:hAnsi="Arial"/>
          <w:sz w:val="13"/>
          <w:szCs w:val="13"/>
          <w:u w:val="single" w:color="auto"/>
          <w:color w:val="auto"/>
        </w:rPr>
        <w:t>IBCA</w:t>
      </w:r>
      <w:r>
        <w:rPr>
          <w:rFonts w:ascii="Arial" w:cs="Arial" w:eastAsia="Arial" w:hAnsi="Arial"/>
          <w:sz w:val="13"/>
          <w:szCs w:val="13"/>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Authorized Shares</w:t>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Under the Articles, the Company is authorized to issue (i) 60,000,000 shares of common stock, par value $.50 per share and (ii) 10,000,000 shares of preferred stock, par value $.01 per share. In 2000, the Company created a series of preferred stock designated as “Series A Preferred Stock” in connection with a shareholder rights plan. The number of shares constituting such series is 300,000. The shareholder rights plan expired in 2010, and no shares of such Series A Preferred Stock and no shares of any other preferred stock are currently outstanding. Without shareholder approval, the Company may issue preferred stock in the future in such series as may be designated by the Company’s board of directors (the “</w:t>
      </w:r>
      <w:r>
        <w:rPr>
          <w:rFonts w:ascii="Arial" w:cs="Arial" w:eastAsia="Arial" w:hAnsi="Arial"/>
          <w:sz w:val="13"/>
          <w:szCs w:val="13"/>
          <w:u w:val="single" w:color="auto"/>
          <w:color w:val="auto"/>
        </w:rPr>
        <w:t>Board</w:t>
      </w:r>
      <w:r>
        <w:rPr>
          <w:rFonts w:ascii="Arial" w:cs="Arial" w:eastAsia="Arial" w:hAnsi="Arial"/>
          <w:sz w:val="13"/>
          <w:szCs w:val="13"/>
          <w:color w:val="auto"/>
        </w:rPr>
        <w:t>”). In creating any such series, the Board has the authority to fix the rights and preferences of each series with respect to, among other things, the dividend rate, redemption provisions, liquidation preferences, sinking fund provisions, conversion rights and voting rights. The terms of any series of preferred stock that the Company may issue in the future may provide the holders of such preferred stock with rights that are senior to the rights of the holders of the Company’s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Rights</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Each outstanding share of the Company’s common stock is entitled to one vote per share held of record on all matters submitted to a vote of shareholders and, except as otherwise required by law or in any certificate of designation creating a series of preferred stock, will vote together as a single class with the holders of any outstanding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 by shareholders opposing the action, unless the matter is one upon which a different vote is required by express provision of Iowa law, the New York Stock Exchange or the Charter Documents. Directors will be elected by a plurality of the votes of the shares present at a meeting at which a quorum is present. The Board has adopted a policy that, in any uncontested election of directors, if a nominee receives less than a majority of the votes cast for such nominee, then the nominee shall still be elected; provided, however, that the nominee must tender his or her resignation to the Board and the Board shall only not accept such resignation for, in its judgment, a compelling reason. Holders of shares of common stock do not have cumulative voting rights with respect to the election of directors or any other matter.</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Rights</w:t>
      </w:r>
    </w:p>
    <w:p>
      <w:pPr>
        <w:spacing w:after="0" w:line="168"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Holders of the Company’s common stock are entitled to receive dividends or other distributions when, as and if declared by the Board. The right of the Board to declare dividends, however, is subject to the possible prior rights of holders of preferred stock that may be issued in the future, and the availability of sufficient funds under Iowa law to pay dividends. Whenever any dividends or other distributions payable on any outstanding preferred stock are in arrears, no dividends or other distributions may be declared or paid on the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Preemptive Rights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the Company’s common stock do not have preemptive rights to purchase or subscribe for any of the Company’s capital stock or other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Liquidation Rights</w:t>
      </w:r>
    </w:p>
    <w:p>
      <w:pPr>
        <w:spacing w:after="0" w:line="168" w:lineRule="exact"/>
        <w:rPr>
          <w:sz w:val="20"/>
          <w:szCs w:val="20"/>
          <w:color w:val="auto"/>
        </w:rPr>
      </w:pPr>
    </w:p>
    <w:p>
      <w:pPr>
        <w:jc w:val="both"/>
        <w:ind w:right="120"/>
        <w:spacing w:after="0" w:line="292" w:lineRule="auto"/>
        <w:rPr>
          <w:sz w:val="20"/>
          <w:szCs w:val="20"/>
          <w:color w:val="auto"/>
        </w:rPr>
      </w:pPr>
      <w:r>
        <w:rPr>
          <w:rFonts w:ascii="Arial" w:cs="Arial" w:eastAsia="Arial" w:hAnsi="Arial"/>
          <w:sz w:val="12"/>
          <w:szCs w:val="12"/>
          <w:color w:val="auto"/>
        </w:rPr>
        <w:t>In the event of any liquidation, dissolution or winding up of the Company, subject to the rights of the holders of preferred stock that may be issued in the future, the holders of shares of the Company’s common stock are entitled to receive any of its remaining assets available for distribution to the Company’s shareholders ratably in proportion to the number of shares of common stock held by them.</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Listing</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Company’s common stock is listed on the New York Stock Exchange under the symbol “WGO.”</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Anti-takeover Measures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60"/>
          </w:cols>
          <w:pgMar w:left="220" w:top="470" w:right="219" w:bottom="1440" w:gutter="0" w:footer="0" w:header="0"/>
        </w:sectPr>
      </w:pPr>
    </w:p>
    <w:bookmarkStart w:id="73" w:name="page74"/>
    <w:bookmarkEnd w:id="73"/>
    <w:p>
      <w:pPr>
        <w:ind w:right="340"/>
        <w:spacing w:after="0" w:line="251" w:lineRule="auto"/>
        <w:rPr>
          <w:sz w:val="20"/>
          <w:szCs w:val="20"/>
          <w:color w:val="auto"/>
        </w:rPr>
      </w:pPr>
      <w:r>
        <w:rPr>
          <w:rFonts w:ascii="Arial" w:cs="Arial" w:eastAsia="Arial" w:hAnsi="Arial"/>
          <w:sz w:val="13"/>
          <w:szCs w:val="13"/>
          <w:color w:val="auto"/>
        </w:rPr>
        <w:t>Certain provisions of the Charter Documents and Iowa law, as well as other actions that the Company has taken, could make the Company’s acquisition by a third party, a change in its incumbent management or a similar change in control more difficult, including:</w:t>
      </w:r>
    </w:p>
    <w:p>
      <w:pPr>
        <w:spacing w:after="0" w:line="140"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 acquisition of the Company by means of a tender or exchange offer;</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 acquisition of the Company by means of a proxy contest or otherwise; or</w:t>
      </w:r>
    </w:p>
    <w:p>
      <w:pPr>
        <w:spacing w:after="0" w:line="1" w:lineRule="exact"/>
        <w:rPr>
          <w:rFonts w:ascii="Arial" w:cs="Arial" w:eastAsia="Arial" w:hAnsi="Arial"/>
          <w:sz w:val="13"/>
          <w:szCs w:val="13"/>
          <w:color w:val="auto"/>
        </w:rPr>
      </w:pPr>
    </w:p>
    <w:p>
      <w:pPr>
        <w:ind w:left="520" w:hanging="25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removal of a majority or all of the Company’s incumbent officers and directors.</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These provisions, which are summarized below, are likely to discourage certain types of coercive takeover practices and inadequate takeover bids. These provisions are also designed to encourage persons seeking to acquire control of the Company to first negotiate with the Board. The Company believes that these provisions help to protect its potential ability to negotiate with the proponent of an unfriendly or unsolicited proposal to acquire or restructure the Company, and that this benefit outweighs the potential disadvantages of discouraging such a proposal because the Company’s ability to negotiate with the proponent could result in an improvement of the terms of the proposal. The existence of these provisions which are described below could limit the price that investors might otherwise pay in the future for the Company’s common stock. The description below is intended as a summary only and is qualified in its entirety by reference to Iowa law and the Charter Documents.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Articles of Incorporation, By-laws and Iowa Law</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Authorized But Unissued Capital Stock</w:t>
      </w:r>
    </w:p>
    <w:p>
      <w:pPr>
        <w:spacing w:after="0" w:line="166"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Company has shares of common stock, including treasury shares, and preferred stock available for future issuance without shareholder approval, subject to any limitations imposed by the listing standards of the New York Stock Exchange. The Company may utilize these additional shares for a variety of corporate purposes, including for future public offerings to raise additional capital or facilitate corporate acquisitions or for payment as a dividend on its capital stock. The existence of unissued and unreserved common stock and preferred stock may enable the Board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 contest or otherwise. In addition, if the Company issues preferred stock, the issuance could adversely affect the likelihood that common shareholders will receive dividend payments and payments upon liquidation.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Blank Check Preferred Stock</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The Board, without shareholder approval, has the authority under the Articles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Number of Directors; Removal; Filling Vacancies</w:t>
      </w:r>
    </w:p>
    <w:p>
      <w:pPr>
        <w:spacing w:after="0" w:line="166"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The Articles provide that (i) the number of directors shall be not more than 15 and not less than three, the precise number to be determined by resolution of the Board from time to time and (ii) shareholders may remove directors only for cause. Iowa law provides that a director cannot be removed by written consent of shareholders unless written consents are obtained from the holders of all the outstanding shares entitled to vote on the removal of the director. Iowa law further provides that vacancies on the Board may be filled by the remaining directors, even if there is less than a quorum of director votes to fill such vacancy. These provisions may make it more difficult for shareholders to remove a director or fill a director vacancy.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Shareholder Action</w:t>
      </w:r>
    </w:p>
    <w:p>
      <w:pPr>
        <w:spacing w:after="0" w:line="166" w:lineRule="exact"/>
        <w:rPr>
          <w:sz w:val="20"/>
          <w:szCs w:val="20"/>
          <w:color w:val="auto"/>
        </w:rPr>
      </w:pPr>
    </w:p>
    <w:p>
      <w:pPr>
        <w:ind w:right="200"/>
        <w:spacing w:after="0" w:line="244" w:lineRule="auto"/>
        <w:rPr>
          <w:sz w:val="20"/>
          <w:szCs w:val="20"/>
          <w:color w:val="auto"/>
        </w:rPr>
      </w:pPr>
      <w:r>
        <w:rPr>
          <w:rFonts w:ascii="Arial" w:cs="Arial" w:eastAsia="Arial" w:hAnsi="Arial"/>
          <w:sz w:val="13"/>
          <w:szCs w:val="13"/>
          <w:color w:val="auto"/>
        </w:rPr>
        <w:t>Iowa law provides that shareholders may act outside of a meeting by written consent only if one or more written consents describing the action taken are signed by the holders of outstanding shares having not less than 90% of the votes entitled to be cast at a meeting at which all shares entitled to vote on the action were present and voted. The Company’s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of the ownership threshold required to call a shareholder meeting or act by written consent.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Requirements for Advance Notification of Shareholder Nominations and Proposals</w:t>
      </w:r>
    </w:p>
    <w:p>
      <w:pPr>
        <w:spacing w:after="0" w:line="166"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The Company’s By-Laws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the Corporate Secretary at the Company’s principal executive offices not less than 90 days and not more than 120 days prior to the first anniversary of the preceding year’s annual meeting, subject to certain exceptions. The By-Laws also specify requirements as to the form and content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40"/>
          </w:cols>
          <w:pgMar w:left="220" w:top="637" w:right="239" w:bottom="1440" w:gutter="0" w:footer="0" w:header="0"/>
        </w:sectPr>
      </w:pPr>
    </w:p>
    <w:bookmarkStart w:id="74" w:name="page75"/>
    <w:bookmarkEnd w:id="74"/>
    <w:p>
      <w:pPr>
        <w:spacing w:after="0"/>
        <w:rPr>
          <w:sz w:val="20"/>
          <w:szCs w:val="20"/>
          <w:color w:val="auto"/>
        </w:rPr>
      </w:pPr>
      <w:r>
        <w:rPr>
          <w:rFonts w:ascii="Arial" w:cs="Arial" w:eastAsia="Arial" w:hAnsi="Arial"/>
          <w:sz w:val="13"/>
          <w:szCs w:val="13"/>
          <w:color w:val="auto"/>
        </w:rPr>
        <w:t>shareholder’s notice. These provisions could delay shareholder actions that are favored by the holders of a majority of the Company’s outstanding shares until the next annual shareholders’ meeting.</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Classified Board of Directors</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The Company’s Board is divided into three classes, as nearly equal in number as is reasonably possible, serving staggered terms. One class of directors is elected at each annual meeting to serve a term of three years.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Under the Articles, amendments to the staggered board provisions require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Iowa Business Combination Statute</w:t>
      </w:r>
    </w:p>
    <w:p>
      <w:pPr>
        <w:spacing w:after="0" w:line="166"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Company is subject to the provisions of Section 490.1110 of the IBCA (the “Business Combination Statute”). Under the Business Combination Statute, certain “business combinations” between an Iowa corporation whose stock is publicly traded and an “interested shareholder” (as defined in the IBCA) are prohibited for a three-year period following the date that such a shareholder became an interested shareholder, 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(which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The term “business combination” is defined broadly to include mergers or consolidations between an Iowa corporation and an “interested shareholder,” asset sales and other transactions with an “interested shareholder” involving the assets or stock of the corporation or its majority-owned subsidiaries, and transactions which increase an interested shareholder’s percentage ownership of stock.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40"/>
          </w:cols>
          <w:pgMar w:left="220" w:top="486" w:right="239" w:bottom="1440"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4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SUBSIDIARIES OF THE REGISTRANT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at August 31,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Jurisdiction of</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rPr>
              <w:t>Percent of</w:t>
            </w: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of Corporation</w:t>
            </w: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2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Ownership</w:t>
            </w:r>
          </w:p>
        </w:tc>
      </w:tr>
      <w:tr>
        <w:trPr>
          <w:trHeight w:val="20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Winnebago Industries, Inc.</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Iowa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Parent</w:t>
            </w:r>
          </w:p>
        </w:tc>
      </w:tr>
      <w:tr>
        <w:trPr>
          <w:trHeight w:val="208"/>
        </w:trPr>
        <w:tc>
          <w:tcPr>
            <w:tcW w:w="7000" w:type="dxa"/>
            <w:vAlign w:val="bottom"/>
            <w:gridSpan w:val="2"/>
          </w:tcPr>
          <w:p>
            <w:pPr>
              <w:ind w:left="20"/>
              <w:spacing w:after="0"/>
              <w:rPr>
                <w:sz w:val="20"/>
                <w:szCs w:val="20"/>
                <w:color w:val="auto"/>
              </w:rPr>
            </w:pPr>
            <w:r>
              <w:rPr>
                <w:rFonts w:ascii="Arial" w:cs="Arial" w:eastAsia="Arial" w:hAnsi="Arial"/>
                <w:sz w:val="13"/>
                <w:szCs w:val="13"/>
                <w:color w:val="auto"/>
              </w:rPr>
              <w:t>Winnebago of Indiana, LLC</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Iowa</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Grand Design RV, LLC</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Indiana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208"/>
        </w:trPr>
        <w:tc>
          <w:tcPr>
            <w:tcW w:w="7000" w:type="dxa"/>
            <w:vAlign w:val="bottom"/>
            <w:gridSpan w:val="2"/>
          </w:tcPr>
          <w:p>
            <w:pPr>
              <w:ind w:left="20"/>
              <w:spacing w:after="0"/>
              <w:rPr>
                <w:sz w:val="20"/>
                <w:szCs w:val="20"/>
                <w:color w:val="auto"/>
              </w:rPr>
            </w:pPr>
            <w:r>
              <w:rPr>
                <w:rFonts w:ascii="Arial" w:cs="Arial" w:eastAsia="Arial" w:hAnsi="Arial"/>
                <w:sz w:val="13"/>
                <w:szCs w:val="13"/>
                <w:color w:val="auto"/>
              </w:rPr>
              <w:t>Winnebago Industries Holdco, LLC</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Octavius Corporation</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208"/>
        </w:trPr>
        <w:tc>
          <w:tcPr>
            <w:tcW w:w="7000" w:type="dxa"/>
            <w:vAlign w:val="bottom"/>
            <w:gridSpan w:val="2"/>
          </w:tcPr>
          <w:p>
            <w:pPr>
              <w:ind w:left="20"/>
              <w:spacing w:after="0"/>
              <w:rPr>
                <w:sz w:val="20"/>
                <w:szCs w:val="20"/>
                <w:color w:val="auto"/>
              </w:rPr>
            </w:pPr>
            <w:r>
              <w:rPr>
                <w:rFonts w:ascii="Arial" w:cs="Arial" w:eastAsia="Arial" w:hAnsi="Arial"/>
                <w:sz w:val="13"/>
                <w:szCs w:val="13"/>
                <w:color w:val="auto"/>
              </w:rPr>
              <w:t>Chris-Craft Limited Jersey, Channel Islands Holding Company LLC</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Jersey Channel Islands</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Chris-Craft USA, Inc.</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208"/>
        </w:trPr>
        <w:tc>
          <w:tcPr>
            <w:tcW w:w="7000" w:type="dxa"/>
            <w:vAlign w:val="bottom"/>
            <w:gridSpan w:val="2"/>
          </w:tcPr>
          <w:p>
            <w:pPr>
              <w:ind w:left="20"/>
              <w:spacing w:after="0"/>
              <w:rPr>
                <w:sz w:val="20"/>
                <w:szCs w:val="20"/>
                <w:color w:val="auto"/>
              </w:rPr>
            </w:pPr>
            <w:r>
              <w:rPr>
                <w:rFonts w:ascii="Arial" w:cs="Arial" w:eastAsia="Arial" w:hAnsi="Arial"/>
                <w:sz w:val="13"/>
                <w:szCs w:val="13"/>
                <w:color w:val="auto"/>
              </w:rPr>
              <w:t>CC Marine Brand Acquisition LLC</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Chris Craft Corporation</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200"/>
        </w:trPr>
        <w:tc>
          <w:tcPr>
            <w:tcW w:w="7000" w:type="dxa"/>
            <w:vAlign w:val="bottom"/>
            <w:gridSpan w:val="2"/>
          </w:tcPr>
          <w:p>
            <w:pPr>
              <w:ind w:left="20"/>
              <w:spacing w:after="0"/>
              <w:rPr>
                <w:sz w:val="20"/>
                <w:szCs w:val="20"/>
                <w:color w:val="auto"/>
              </w:rPr>
            </w:pPr>
            <w:r>
              <w:rPr>
                <w:rFonts w:ascii="Arial" w:cs="Arial" w:eastAsia="Arial" w:hAnsi="Arial"/>
                <w:sz w:val="13"/>
                <w:szCs w:val="13"/>
                <w:color w:val="auto"/>
              </w:rPr>
              <w:t>CC Property Acquisition LLC</w:t>
            </w:r>
          </w:p>
        </w:tc>
        <w:tc>
          <w:tcPr>
            <w:tcW w:w="230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bl>
    <w:p>
      <w:pPr>
        <w:sectPr>
          <w:pgSz w:w="11900" w:h="16838" w:orient="portrait"/>
          <w:cols w:equalWidth="0" w:num="1">
            <w:col w:w="11460"/>
          </w:cols>
          <w:pgMar w:left="220" w:top="491"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Exhibit 23</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68"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We consent to the incorporation by reference in Registration Statements No. 333-31595, No. 333-47123, No. 333-113246, No. 333-194854, No. 333-222261 and No. 333-232220 on Form S-8 and No. 333-215641 on Form S-3 of our reports dated October 23, 2019, relating to the consolidated financial statements of Winnebago Industries, Inc. and subsidiaries and the effectiveness of Winnebago Industries, Inc. and subsidiaries’ internal control over financial reporting, appearing in this Annual Report on Form 10-K of Winnebago Industries, Inc. for the year ended August 31, 2019.</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October 23, 2019</w:t>
      </w:r>
    </w:p>
    <w:p>
      <w:pPr>
        <w:sectPr>
          <w:pgSz w:w="11900" w:h="16838" w:orient="portrait"/>
          <w:cols w:equalWidth="0" w:num="1">
            <w:col w:w="11460"/>
          </w:cols>
          <w:pgMar w:left="220" w:top="491"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31.1</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CERTIFICATION BY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I, Michael J. Happe, Chief Executive Officer of Winnebago Industries, Inc., certify that:</w:t>
      </w:r>
    </w:p>
    <w:p>
      <w:pPr>
        <w:spacing w:after="0" w:line="66" w:lineRule="exact"/>
        <w:rPr>
          <w:sz w:val="20"/>
          <w:szCs w:val="20"/>
          <w:color w:val="auto"/>
        </w:rPr>
      </w:pPr>
    </w:p>
    <w:p>
      <w:pPr>
        <w:ind w:left="260" w:hanging="254"/>
        <w:spacing w:after="0"/>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Winnebago Industries, Inc. (the "Registrant");</w:t>
      </w:r>
    </w:p>
    <w:p>
      <w:pPr>
        <w:spacing w:after="0" w:line="184" w:lineRule="exact"/>
        <w:rPr>
          <w:rFonts w:ascii="Arial" w:cs="Arial" w:eastAsia="Arial" w:hAnsi="Arial"/>
          <w:sz w:val="13"/>
          <w:szCs w:val="13"/>
          <w:color w:val="auto"/>
        </w:rPr>
      </w:pPr>
    </w:p>
    <w:p>
      <w:pPr>
        <w:ind w:left="260" w:right="520" w:hanging="254"/>
        <w:spacing w:after="0" w:line="251" w:lineRule="auto"/>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9" w:lineRule="exact"/>
        <w:rPr>
          <w:rFonts w:ascii="Arial" w:cs="Arial" w:eastAsia="Arial" w:hAnsi="Arial"/>
          <w:sz w:val="13"/>
          <w:szCs w:val="13"/>
          <w:color w:val="auto"/>
        </w:rPr>
      </w:pPr>
    </w:p>
    <w:p>
      <w:pPr>
        <w:ind w:left="260" w:right="220" w:hanging="254"/>
        <w:spacing w:after="0" w:line="251" w:lineRule="auto"/>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3"/>
          <w:szCs w:val="13"/>
          <w:color w:val="auto"/>
        </w:rPr>
      </w:pPr>
    </w:p>
    <w:p>
      <w:pPr>
        <w:ind w:left="260" w:right="100" w:hanging="254"/>
        <w:spacing w:after="0" w:line="251" w:lineRule="auto"/>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3"/>
          <w:szCs w:val="13"/>
          <w:color w:val="auto"/>
        </w:rPr>
      </w:pPr>
    </w:p>
    <w:p>
      <w:pPr>
        <w:ind w:left="520" w:right="60" w:hanging="255"/>
        <w:spacing w:after="0" w:line="251"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3"/>
          <w:szCs w:val="13"/>
          <w:color w:val="auto"/>
        </w:rPr>
      </w:pPr>
    </w:p>
    <w:p>
      <w:pPr>
        <w:ind w:left="520" w:right="20" w:hanging="255"/>
        <w:spacing w:after="0" w:line="251"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3"/>
          <w:szCs w:val="13"/>
          <w:color w:val="auto"/>
        </w:rPr>
      </w:pPr>
    </w:p>
    <w:p>
      <w:pPr>
        <w:ind w:left="520" w:right="120" w:hanging="255"/>
        <w:spacing w:after="0" w:line="251"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39" w:lineRule="exact"/>
        <w:rPr>
          <w:rFonts w:ascii="Arial" w:cs="Arial" w:eastAsia="Arial" w:hAnsi="Arial"/>
          <w:sz w:val="13"/>
          <w:szCs w:val="13"/>
          <w:color w:val="auto"/>
        </w:rPr>
      </w:pPr>
    </w:p>
    <w:p>
      <w:pPr>
        <w:ind w:left="520" w:right="200" w:hanging="255"/>
        <w:spacing w:after="0" w:line="251"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39" w:lineRule="exact"/>
        <w:rPr>
          <w:rFonts w:ascii="Arial" w:cs="Arial" w:eastAsia="Arial" w:hAnsi="Arial"/>
          <w:sz w:val="13"/>
          <w:szCs w:val="13"/>
          <w:color w:val="auto"/>
        </w:rPr>
      </w:pPr>
    </w:p>
    <w:p>
      <w:pPr>
        <w:ind w:left="260" w:right="80" w:hanging="254"/>
        <w:spacing w:after="0" w:line="251" w:lineRule="auto"/>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3"/>
          <w:szCs w:val="13"/>
          <w:color w:val="auto"/>
        </w:rPr>
      </w:pPr>
    </w:p>
    <w:p>
      <w:pPr>
        <w:ind w:left="520" w:hanging="255"/>
        <w:spacing w:after="0" w:line="251"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3"/>
          <w:szCs w:val="13"/>
          <w:color w:val="auto"/>
        </w:rPr>
      </w:pPr>
    </w:p>
    <w:p>
      <w:pPr>
        <w:ind w:left="520" w:hanging="255"/>
        <w:spacing w:after="0"/>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ind w:left="20"/>
        <w:spacing w:after="0"/>
        <w:tabs>
          <w:tab w:leader="none" w:pos="940" w:val="left"/>
          <w:tab w:leader="none" w:pos="6200" w:val="left"/>
          <w:tab w:leader="none" w:pos="71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October 23, 2019</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22225</wp:posOffset>
            </wp:positionV>
            <wp:extent cx="275780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2757805" cy="6985"/>
                    </a:xfrm>
                    <a:prstGeom prst="rect">
                      <a:avLst/>
                    </a:prstGeom>
                    <a:noFill/>
                  </pic:spPr>
                </pic:pic>
              </a:graphicData>
            </a:graphic>
          </wp:anchor>
        </w:drawing>
      </w:r>
    </w:p>
    <w:p>
      <w:pPr>
        <w:spacing w:after="0" w:line="60"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Michael J. Happe</w:t>
      </w:r>
    </w:p>
    <w:p>
      <w:pPr>
        <w:spacing w:after="0" w:line="66"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President, Chief Executive Officer</w:t>
      </w:r>
    </w:p>
    <w:p>
      <w:pPr>
        <w:sectPr>
          <w:pgSz w:w="11900" w:h="16838" w:orient="portrait"/>
          <w:cols w:equalWidth="0" w:num="1">
            <w:col w:w="11460"/>
          </w:cols>
          <w:pgMar w:left="220" w:top="524"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BY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I, Bryan L. Hughes, Chief Financial Officer of Winnebago Industries, Inc., certify that:</w:t>
      </w:r>
    </w:p>
    <w:p>
      <w:pPr>
        <w:spacing w:after="0" w:line="66" w:lineRule="exact"/>
        <w:rPr>
          <w:sz w:val="20"/>
          <w:szCs w:val="20"/>
          <w:color w:val="auto"/>
        </w:rPr>
      </w:pPr>
    </w:p>
    <w:p>
      <w:pPr>
        <w:ind w:left="260" w:hanging="254"/>
        <w:spacing w:after="0"/>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Winnebago Industries, Inc. (the "Registrant");</w:t>
      </w:r>
    </w:p>
    <w:p>
      <w:pPr>
        <w:spacing w:after="0" w:line="184" w:lineRule="exact"/>
        <w:rPr>
          <w:rFonts w:ascii="Arial" w:cs="Arial" w:eastAsia="Arial" w:hAnsi="Arial"/>
          <w:sz w:val="13"/>
          <w:szCs w:val="13"/>
          <w:color w:val="auto"/>
        </w:rPr>
      </w:pPr>
    </w:p>
    <w:p>
      <w:pPr>
        <w:ind w:left="260" w:right="520" w:hanging="254"/>
        <w:spacing w:after="0" w:line="251" w:lineRule="auto"/>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9" w:lineRule="exact"/>
        <w:rPr>
          <w:rFonts w:ascii="Arial" w:cs="Arial" w:eastAsia="Arial" w:hAnsi="Arial"/>
          <w:sz w:val="13"/>
          <w:szCs w:val="13"/>
          <w:color w:val="auto"/>
        </w:rPr>
      </w:pPr>
    </w:p>
    <w:p>
      <w:pPr>
        <w:ind w:left="260" w:right="220" w:hanging="254"/>
        <w:spacing w:after="0" w:line="251" w:lineRule="auto"/>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3"/>
          <w:szCs w:val="13"/>
          <w:color w:val="auto"/>
        </w:rPr>
      </w:pPr>
    </w:p>
    <w:p>
      <w:pPr>
        <w:ind w:left="260" w:right="100" w:hanging="254"/>
        <w:spacing w:after="0" w:line="251" w:lineRule="auto"/>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3"/>
          <w:szCs w:val="13"/>
          <w:color w:val="auto"/>
        </w:rPr>
      </w:pPr>
    </w:p>
    <w:p>
      <w:pPr>
        <w:ind w:left="520" w:right="60" w:hanging="255"/>
        <w:spacing w:after="0" w:line="251" w:lineRule="auto"/>
        <w:tabs>
          <w:tab w:leader="none" w:pos="520"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3"/>
          <w:szCs w:val="13"/>
          <w:color w:val="auto"/>
        </w:rPr>
      </w:pPr>
    </w:p>
    <w:p>
      <w:pPr>
        <w:ind w:left="520" w:right="20" w:hanging="255"/>
        <w:spacing w:after="0" w:line="251" w:lineRule="auto"/>
        <w:tabs>
          <w:tab w:leader="none" w:pos="520"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3"/>
          <w:szCs w:val="13"/>
          <w:color w:val="auto"/>
        </w:rPr>
      </w:pPr>
    </w:p>
    <w:p>
      <w:pPr>
        <w:ind w:left="520" w:right="120" w:hanging="255"/>
        <w:spacing w:after="0" w:line="251" w:lineRule="auto"/>
        <w:tabs>
          <w:tab w:leader="none" w:pos="520" w:val="left"/>
        </w:tabs>
        <w:numPr>
          <w:ilvl w:val="1"/>
          <w:numId w:val="3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39" w:lineRule="exact"/>
        <w:rPr>
          <w:rFonts w:ascii="Arial" w:cs="Arial" w:eastAsia="Arial" w:hAnsi="Arial"/>
          <w:sz w:val="13"/>
          <w:szCs w:val="13"/>
          <w:color w:val="auto"/>
        </w:rPr>
      </w:pPr>
    </w:p>
    <w:p>
      <w:pPr>
        <w:ind w:left="520" w:right="200" w:hanging="255"/>
        <w:spacing w:after="0" w:line="251" w:lineRule="auto"/>
        <w:tabs>
          <w:tab w:leader="none" w:pos="520" w:val="left"/>
        </w:tabs>
        <w:numPr>
          <w:ilvl w:val="1"/>
          <w:numId w:val="39"/>
        </w:numPr>
        <w:rPr>
          <w:rFonts w:ascii="Arial" w:cs="Arial" w:eastAsia="Arial" w:hAnsi="Arial"/>
          <w:sz w:val="13"/>
          <w:szCs w:val="13"/>
          <w:color w:val="auto"/>
        </w:rPr>
      </w:pPr>
      <w:r>
        <w:rPr>
          <w:rFonts w:ascii="Arial" w:cs="Arial" w:eastAsia="Arial" w:hAnsi="Arial"/>
          <w:sz w:val="13"/>
          <w:szCs w:val="13"/>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39" w:lineRule="exact"/>
        <w:rPr>
          <w:rFonts w:ascii="Arial" w:cs="Arial" w:eastAsia="Arial" w:hAnsi="Arial"/>
          <w:sz w:val="13"/>
          <w:szCs w:val="13"/>
          <w:color w:val="auto"/>
        </w:rPr>
      </w:pPr>
    </w:p>
    <w:p>
      <w:pPr>
        <w:ind w:left="260" w:right="80" w:hanging="254"/>
        <w:spacing w:after="0" w:line="251" w:lineRule="auto"/>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3"/>
          <w:szCs w:val="13"/>
          <w:color w:val="auto"/>
        </w:rPr>
      </w:pPr>
    </w:p>
    <w:p>
      <w:pPr>
        <w:ind w:left="520" w:hanging="255"/>
        <w:spacing w:after="0" w:line="251" w:lineRule="auto"/>
        <w:tabs>
          <w:tab w:leader="none" w:pos="52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3"/>
          <w:szCs w:val="13"/>
          <w:color w:val="auto"/>
        </w:rPr>
      </w:pPr>
    </w:p>
    <w:p>
      <w:pPr>
        <w:ind w:left="520" w:hanging="255"/>
        <w:spacing w:after="0"/>
        <w:tabs>
          <w:tab w:leader="none" w:pos="52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ind w:left="20"/>
        <w:spacing w:after="0"/>
        <w:tabs>
          <w:tab w:leader="none" w:pos="820" w:val="left"/>
          <w:tab w:leader="none" w:pos="6440" w:val="left"/>
          <w:tab w:leader="none" w:pos="72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October 23, 2019</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22225</wp:posOffset>
            </wp:positionV>
            <wp:extent cx="26892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2689225" cy="6985"/>
                    </a:xfrm>
                    <a:prstGeom prst="rect">
                      <a:avLst/>
                    </a:prstGeom>
                    <a:noFill/>
                  </pic:spPr>
                </pic:pic>
              </a:graphicData>
            </a:graphic>
          </wp:anchor>
        </w:drawing>
      </w:r>
    </w:p>
    <w:p>
      <w:pPr>
        <w:spacing w:after="0" w:line="60"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Bryan L. Hughes</w:t>
      </w:r>
    </w:p>
    <w:p>
      <w:pPr>
        <w:spacing w:after="0" w:line="66"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Vice President, Chief Financial Officer</w:t>
      </w:r>
    </w:p>
    <w:p>
      <w:pPr>
        <w:sectPr>
          <w:pgSz w:w="11900" w:h="16838" w:orient="portrait"/>
          <w:cols w:equalWidth="0" w:num="1">
            <w:col w:w="11460"/>
          </w:cols>
          <w:pgMar w:left="220" w:top="491"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3"/>
          <w:szCs w:val="13"/>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17" w:lineRule="exact"/>
        <w:rPr>
          <w:sz w:val="20"/>
          <w:szCs w:val="20"/>
          <w:color w:val="auto"/>
        </w:rPr>
      </w:pPr>
    </w:p>
    <w:p>
      <w:pPr>
        <w:ind w:right="740"/>
        <w:spacing w:after="0" w:line="251"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Michael J. Happe, Chief Executive Officer of Winnebago Industries, Inc. (the "Company"), hereby certify that to my knowledge:</w:t>
      </w:r>
    </w:p>
    <w:p>
      <w:pPr>
        <w:spacing w:after="0" w:line="205" w:lineRule="exact"/>
        <w:rPr>
          <w:sz w:val="20"/>
          <w:szCs w:val="20"/>
          <w:color w:val="auto"/>
        </w:rPr>
      </w:pPr>
    </w:p>
    <w:p>
      <w:pPr>
        <w:ind w:left="520" w:right="100" w:hanging="255"/>
        <w:spacing w:after="0" w:line="251" w:lineRule="auto"/>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Annual Report on Form 10-K for the year ended August 31, 2019 (the "Report") of the Company fully complies with the requirements of Section 13(a) or 15(d) of the Securities Exchange Act of 1934, and</w:t>
      </w:r>
    </w:p>
    <w:p>
      <w:pPr>
        <w:spacing w:after="0" w:line="139" w:lineRule="exact"/>
        <w:rPr>
          <w:rFonts w:ascii="Arial" w:cs="Arial" w:eastAsia="Arial" w:hAnsi="Arial"/>
          <w:sz w:val="13"/>
          <w:szCs w:val="13"/>
          <w:color w:val="auto"/>
        </w:rPr>
      </w:pPr>
    </w:p>
    <w:p>
      <w:pPr>
        <w:ind w:left="520" w:hanging="255"/>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20" w:type="dxa"/>
            <w:vAlign w:val="bottom"/>
          </w:tcPr>
          <w:p>
            <w:pPr>
              <w:spacing w:after="0"/>
              <w:rPr>
                <w:sz w:val="20"/>
                <w:szCs w:val="20"/>
                <w:color w:val="auto"/>
              </w:rPr>
            </w:pPr>
            <w:r>
              <w:rPr>
                <w:rFonts w:ascii="Arial" w:cs="Arial" w:eastAsia="Arial" w:hAnsi="Arial"/>
                <w:sz w:val="13"/>
                <w:szCs w:val="13"/>
                <w:color w:val="auto"/>
              </w:rPr>
              <w:t>Date:</w:t>
            </w:r>
          </w:p>
        </w:tc>
        <w:tc>
          <w:tcPr>
            <w:tcW w:w="3440" w:type="dxa"/>
            <w:vAlign w:val="bottom"/>
          </w:tcPr>
          <w:p>
            <w:pPr>
              <w:ind w:left="320"/>
              <w:spacing w:after="0"/>
              <w:rPr>
                <w:sz w:val="20"/>
                <w:szCs w:val="20"/>
                <w:color w:val="auto"/>
              </w:rPr>
            </w:pPr>
            <w:r>
              <w:rPr>
                <w:rFonts w:ascii="Arial" w:cs="Arial" w:eastAsia="Arial" w:hAnsi="Arial"/>
                <w:sz w:val="13"/>
                <w:szCs w:val="13"/>
                <w:color w:val="auto"/>
              </w:rPr>
              <w:t>October 23, 2019</w:t>
            </w:r>
          </w:p>
        </w:tc>
        <w:tc>
          <w:tcPr>
            <w:tcW w:w="3040" w:type="dxa"/>
            <w:vAlign w:val="bottom"/>
          </w:tcPr>
          <w:p>
            <w:pPr>
              <w:ind w:left="2140"/>
              <w:spacing w:after="0"/>
              <w:rPr>
                <w:sz w:val="20"/>
                <w:szCs w:val="20"/>
                <w:color w:val="auto"/>
              </w:rPr>
            </w:pPr>
            <w:r>
              <w:rPr>
                <w:rFonts w:ascii="Arial" w:cs="Arial" w:eastAsia="Arial" w:hAnsi="Arial"/>
                <w:sz w:val="13"/>
                <w:szCs w:val="13"/>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r>
      <w:tr>
        <w:trPr>
          <w:trHeight w:val="188"/>
        </w:trPr>
        <w:tc>
          <w:tcPr>
            <w:tcW w:w="6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340" w:type="dxa"/>
            <w:vAlign w:val="bottom"/>
          </w:tcPr>
          <w:p>
            <w:pPr>
              <w:ind w:left="20"/>
              <w:spacing w:after="0"/>
              <w:rPr>
                <w:sz w:val="20"/>
                <w:szCs w:val="20"/>
                <w:color w:val="auto"/>
              </w:rPr>
            </w:pPr>
            <w:r>
              <w:rPr>
                <w:rFonts w:ascii="Arial" w:cs="Arial" w:eastAsia="Arial" w:hAnsi="Arial"/>
                <w:sz w:val="13"/>
                <w:szCs w:val="13"/>
                <w:color w:val="auto"/>
              </w:rPr>
              <w:t>Michael J. Happe</w:t>
            </w:r>
          </w:p>
        </w:tc>
      </w:tr>
      <w:tr>
        <w:trPr>
          <w:trHeight w:val="216"/>
        </w:trPr>
        <w:tc>
          <w:tcPr>
            <w:tcW w:w="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Arial" w:cs="Arial" w:eastAsia="Arial" w:hAnsi="Arial"/>
                <w:sz w:val="13"/>
                <w:szCs w:val="13"/>
                <w:color w:val="auto"/>
              </w:rPr>
              <w:t>President, Chief Executive Officer</w:t>
            </w:r>
          </w:p>
        </w:tc>
      </w:tr>
    </w:tbl>
    <w:p>
      <w:pPr>
        <w:sectPr>
          <w:pgSz w:w="11900" w:h="16838" w:orient="portrait"/>
          <w:cols w:equalWidth="0" w:num="1">
            <w:col w:w="11460"/>
          </w:cols>
          <w:pgMar w:left="220" w:top="524"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17"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Bryan L. Hughes, Chief Financial Officer of Winnebago Industries, Inc. (the "Company"), hereby certify that to my knowledge:</w:t>
      </w:r>
    </w:p>
    <w:p>
      <w:pPr>
        <w:spacing w:after="0" w:line="205" w:lineRule="exact"/>
        <w:rPr>
          <w:sz w:val="20"/>
          <w:szCs w:val="20"/>
          <w:color w:val="auto"/>
        </w:rPr>
      </w:pPr>
    </w:p>
    <w:p>
      <w:pPr>
        <w:ind w:left="520" w:right="100" w:hanging="255"/>
        <w:spacing w:after="0" w:line="251" w:lineRule="auto"/>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Annual Report on Form 10-K for the year ended August 31, 2019 (the "Report") of the Company fully complies with the requirements of Section 13(a) or 15(d) of the Securities Exchange Act of 1934, and</w:t>
      </w:r>
    </w:p>
    <w:p>
      <w:pPr>
        <w:spacing w:after="0" w:line="139" w:lineRule="exact"/>
        <w:rPr>
          <w:rFonts w:ascii="Arial" w:cs="Arial" w:eastAsia="Arial" w:hAnsi="Arial"/>
          <w:sz w:val="13"/>
          <w:szCs w:val="13"/>
          <w:color w:val="auto"/>
        </w:rPr>
      </w:pPr>
    </w:p>
    <w:p>
      <w:pPr>
        <w:ind w:left="520" w:hanging="255"/>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20" w:type="dxa"/>
            <w:vAlign w:val="bottom"/>
          </w:tcPr>
          <w:p>
            <w:pPr>
              <w:spacing w:after="0"/>
              <w:rPr>
                <w:sz w:val="20"/>
                <w:szCs w:val="20"/>
                <w:color w:val="auto"/>
              </w:rPr>
            </w:pPr>
            <w:r>
              <w:rPr>
                <w:rFonts w:ascii="Arial" w:cs="Arial" w:eastAsia="Arial" w:hAnsi="Arial"/>
                <w:sz w:val="13"/>
                <w:szCs w:val="13"/>
                <w:color w:val="auto"/>
              </w:rPr>
              <w:t>Date:</w:t>
            </w:r>
          </w:p>
        </w:tc>
        <w:tc>
          <w:tcPr>
            <w:tcW w:w="3440" w:type="dxa"/>
            <w:vAlign w:val="bottom"/>
          </w:tcPr>
          <w:p>
            <w:pPr>
              <w:ind w:left="320"/>
              <w:spacing w:after="0"/>
              <w:rPr>
                <w:sz w:val="20"/>
                <w:szCs w:val="20"/>
                <w:color w:val="auto"/>
              </w:rPr>
            </w:pPr>
            <w:r>
              <w:rPr>
                <w:rFonts w:ascii="Arial" w:cs="Arial" w:eastAsia="Arial" w:hAnsi="Arial"/>
                <w:sz w:val="13"/>
                <w:szCs w:val="13"/>
                <w:color w:val="auto"/>
              </w:rPr>
              <w:t>October 23, 2019</w:t>
            </w:r>
          </w:p>
        </w:tc>
        <w:tc>
          <w:tcPr>
            <w:tcW w:w="3040" w:type="dxa"/>
            <w:vAlign w:val="bottom"/>
          </w:tcPr>
          <w:p>
            <w:pPr>
              <w:ind w:left="2140"/>
              <w:spacing w:after="0"/>
              <w:rPr>
                <w:sz w:val="20"/>
                <w:szCs w:val="20"/>
                <w:color w:val="auto"/>
              </w:rPr>
            </w:pPr>
            <w:r>
              <w:rPr>
                <w:rFonts w:ascii="Arial" w:cs="Arial" w:eastAsia="Arial" w:hAnsi="Arial"/>
                <w:sz w:val="13"/>
                <w:szCs w:val="13"/>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88"/>
        </w:trPr>
        <w:tc>
          <w:tcPr>
            <w:tcW w:w="6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34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216"/>
        </w:trPr>
        <w:tc>
          <w:tcPr>
            <w:tcW w:w="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Arial" w:cs="Arial" w:eastAsia="Arial" w:hAnsi="Arial"/>
                <w:sz w:val="13"/>
                <w:szCs w:val="13"/>
                <w:color w:val="auto"/>
              </w:rPr>
              <w:t>Vice President, Chief Financial Officer</w:t>
            </w:r>
          </w:p>
        </w:tc>
      </w:tr>
    </w:tbl>
    <w:p>
      <w:pPr>
        <w:spacing w:after="0" w:line="1" w:lineRule="exact"/>
        <w:rPr>
          <w:sz w:val="20"/>
          <w:szCs w:val="20"/>
          <w:color w:val="auto"/>
        </w:rPr>
      </w:pPr>
    </w:p>
    <w:sectPr>
      <w:pgSz w:w="11900" w:h="16838" w:orient="portrait"/>
      <w:cols w:equalWidth="0" w:num="1">
        <w:col w:w="11460"/>
      </w:cols>
      <w:pgMar w:left="220" w:top="5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Letter"/>
      <w:start w:val="2"/>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4" Type="http://schemas.openxmlformats.org/officeDocument/2006/relationships/image" Target="media/image14.png"/><Relationship Id="rId56"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png"/><Relationship Id="rId60" Type="http://schemas.openxmlformats.org/officeDocument/2006/relationships/image" Target="media/image19.png"/><Relationship Id="rId61" Type="http://schemas.openxmlformats.org/officeDocument/2006/relationships/image" Target="media/image20.png"/><Relationship Id="rId62" Type="http://schemas.openxmlformats.org/officeDocument/2006/relationships/image" Target="media/image21.png"/><Relationship Id="rId63"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68" Type="http://schemas.openxmlformats.org/officeDocument/2006/relationships/image" Target="media/image27.png"/><Relationship Id="rId69"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3" Type="http://schemas.openxmlformats.org/officeDocument/2006/relationships/image" Target="media/image32.png"/><Relationship Id="rId74" Type="http://schemas.openxmlformats.org/officeDocument/2006/relationships/image" Target="media/image33.png"/><Relationship Id="rId75" Type="http://schemas.openxmlformats.org/officeDocument/2006/relationships/image" Target="media/image34.png"/><Relationship Id="rId76" Type="http://schemas.openxmlformats.org/officeDocument/2006/relationships/image" Target="media/image35.png"/><Relationship Id="rId77" Type="http://schemas.openxmlformats.org/officeDocument/2006/relationships/image" Target="media/image36.png"/><Relationship Id="rId78"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21" Type="http://schemas.openxmlformats.org/officeDocument/2006/relationships/hyperlink" Target="http://www.sec.gov/Archives/edgar/data/107687/000010768716000120/exh21securitiespurchaseagr.htm" TargetMode="External"/><Relationship Id="rId22" Type="http://schemas.openxmlformats.org/officeDocument/2006/relationships/hyperlink" Target="http://www.sec.gov/Archives/edgar/data/107687/000010768719000017/ex2120198-k0916.htm" TargetMode="External"/><Relationship Id="rId23" Type="http://schemas.openxmlformats.org/officeDocument/2006/relationships/hyperlink" Target="http://www.sec.gov/Archives/edgar/data/107687/000010768718000026/exhibit3aarticlesofincor.htm" TargetMode="External"/><Relationship Id="rId24" Type="http://schemas.openxmlformats.org/officeDocument/2006/relationships/hyperlink" Target="http://www.sec.gov/Archives/edgar/data/107687/000010768716000075/exh31by-lawsasamended3x16x.htm" TargetMode="External"/><Relationship Id="rId25" Type="http://schemas.openxmlformats.org/officeDocument/2006/relationships/hyperlink" Target="http://www.sec.gov/Archives/edgar/data/107687/0000897101-95-000449.txt" TargetMode="External"/><Relationship Id="rId26" Type="http://schemas.openxmlformats.org/officeDocument/2006/relationships/hyperlink" Target="http://www.sec.gov/Archives/edgar/data/107687/000089710101500122/winnebago010807_ex10-i.txt" TargetMode="External"/><Relationship Id="rId27" Type="http://schemas.openxmlformats.org/officeDocument/2006/relationships/hyperlink" Target="http://www.sec.gov/Archives/edgar/data/107687/000010768711000049/exh10bbexecdefcompplan.htm" TargetMode="External"/><Relationship Id="rId28" Type="http://schemas.openxmlformats.org/officeDocument/2006/relationships/hyperlink" Target="http://www.sec.gov/Archives/edgar/data/107687/000010768711000029/exh1012004incentivecompens.htm" TargetMode="External"/><Relationship Id="rId29" Type="http://schemas.openxmlformats.org/officeDocument/2006/relationships/hyperlink" Target="http://www.sec.gov/Archives/edgar/data/107687/000010768713000055/exh1012014omnibusequityper.htm" TargetMode="External"/><Relationship Id="rId30" Type="http://schemas.openxmlformats.org/officeDocument/2006/relationships/hyperlink" Target="http://www.sec.gov/Archives/edgar/data/107687/000010768718000029/wgo2018proxy.htm" TargetMode="External"/><Relationship Id="rId31" Type="http://schemas.openxmlformats.org/officeDocument/2006/relationships/hyperlink" Target="http://www.sec.gov/Archives/edgar/data/107687/000010768713000040/wgo2013q3exh101.htm" TargetMode="External"/><Relationship Id="rId32" Type="http://schemas.openxmlformats.org/officeDocument/2006/relationships/hyperlink" Target="http://www.sec.gov/Archives/edgar/data/107687/000010768715000018/ex9922016-2018officersltin.htm" TargetMode="External"/><Relationship Id="rId33" Type="http://schemas.openxmlformats.org/officeDocument/2006/relationships/hyperlink" Target="http://www.sec.gov/Archives/edgar/data/107687/000010768716000124/ex9922017-2019officersltin.htm" TargetMode="External"/><Relationship Id="rId34" Type="http://schemas.openxmlformats.org/officeDocument/2006/relationships/hyperlink" Target="http://www.sec.gov/Archives/edgar/data/107687/000010768717000091/ex9922018-2020officersltin.htm" TargetMode="External"/><Relationship Id="rId35" Type="http://schemas.openxmlformats.org/officeDocument/2006/relationships/hyperlink" Target="http://www.sec.gov/Archives/edgar/data/107687/000010768718000038/a2019q1exh10boptions.htm" TargetMode="External"/><Relationship Id="rId36" Type="http://schemas.openxmlformats.org/officeDocument/2006/relationships/hyperlink" Target="http://www.sec.gov/Archives/edgar/data/107687/000010768718000038/a2019q1exh10crsuexecutives.htm" TargetMode="External"/><Relationship Id="rId37" Type="http://schemas.openxmlformats.org/officeDocument/2006/relationships/hyperlink" Target="http://www.sec.gov/Archives/edgar/data/107687/000010768718000038/a2019q1exh10dpsu.htm" TargetMode="External"/><Relationship Id="rId38" Type="http://schemas.openxmlformats.org/officeDocument/2006/relationships/hyperlink" Target="http://www.sec.gov/Archives/edgar/data/107687/000010768718000038/a2019q1exh10ersudirector.htm" TargetMode="External"/><Relationship Id="rId39" Type="http://schemas.openxmlformats.org/officeDocument/2006/relationships/hyperlink" Target="http://www.sec.gov/Archives/edgar/data/107687/000010768718000038/a2019q1exh10fcic.htm" TargetMode="External"/><Relationship Id="rId40" Type="http://schemas.openxmlformats.org/officeDocument/2006/relationships/hyperlink" Target="http://www.sec.gov/Archives/edgar/data/107687/000089710109002143/wgo094796_ex10z.htm" TargetMode="External"/><Relationship Id="rId41" Type="http://schemas.openxmlformats.org/officeDocument/2006/relationships/hyperlink" Target="http://www.sec.gov/Archives/edgar/data/107687/000010768714000019/exh1012014amendcreditagreeme.htm" TargetMode="External"/><Relationship Id="rId42" Type="http://schemas.openxmlformats.org/officeDocument/2006/relationships/hyperlink" Target="http://www.sec.gov/Archives/edgar/data/107687/000010768716000120/exh101non-compnonxsolicita.htm" TargetMode="External"/><Relationship Id="rId43" Type="http://schemas.openxmlformats.org/officeDocument/2006/relationships/hyperlink" Target="http://www.sec.gov/Archives/edgar/data/107687/000010768716000120/exh102non-solicitationandc.htm" TargetMode="External"/><Relationship Id="rId45" Type="http://schemas.openxmlformats.org/officeDocument/2006/relationships/hyperlink" Target="http://www.sec.gov/Archives/edgar/data/107687/000010768716000120/exh103registrationrights.htm" TargetMode="External"/><Relationship Id="rId46" Type="http://schemas.openxmlformats.org/officeDocument/2006/relationships/hyperlink" Target="http://www.sec.gov/Archives/edgar/data/107687/000010768716000120/exh109clarkemploymentagree.htm" TargetMode="External"/><Relationship Id="rId47" Type="http://schemas.openxmlformats.org/officeDocument/2006/relationships/hyperlink" Target="http://www.sec.gov/Archives/edgar/data/107687/000010768716000138/exh992loanagreement2016.htm" TargetMode="External"/><Relationship Id="rId48" Type="http://schemas.openxmlformats.org/officeDocument/2006/relationships/hyperlink" Target="http://www.sec.gov/Archives/edgar/data/107687/000010768717000118/exh101amendmentno1toloanag.htm" TargetMode="External"/><Relationship Id="rId49" Type="http://schemas.openxmlformats.org/officeDocument/2006/relationships/hyperlink" Target="http://www.sec.gov/Archives/edgar/data/107687/000010768719000022/wgoamendedandrestatedcre.htm" TargetMode="External"/><Relationship Id="rId50" Type="http://schemas.openxmlformats.org/officeDocument/2006/relationships/hyperlink" Target="http://www.sec.gov/Archives/edgar/data/107687/000010768716000138/exh994intercreditoragreeme.htm" TargetMode="External"/><Relationship Id="rId51" Type="http://schemas.openxmlformats.org/officeDocument/2006/relationships/hyperlink" Target="http://www.sec.gov/Archives/edgar/data/107687/000010768716000160/exh994leaseagreementmainfa.htm" TargetMode="External"/><Relationship Id="rId52" Type="http://schemas.openxmlformats.org/officeDocument/2006/relationships/hyperlink" Target="http://www.sec.gov/Archives/edgar/data/107687/000010768716000160/exh995leaseagreementexpans.htm" TargetMode="External"/><Relationship Id="rId53" Type="http://schemas.openxmlformats.org/officeDocument/2006/relationships/hyperlink" Target="http://www.sec.gov/Archives/edgar/data/107687/000010768719000015/employmentagreementdclar.htm" TargetMode="External"/><Relationship Id="rId54" Type="http://schemas.openxmlformats.org/officeDocument/2006/relationships/hyperlink" Target="http://www.sec.gov/Archives/edgar/data/107687/000010768719000015/changeincontrolagreement.htm" TargetMode="External"/><Relationship Id="rId55" Type="http://schemas.openxmlformats.org/officeDocument/2006/relationships/hyperlink" Target="http://www.sec.gov/Archives/edgar/data/107687/000010768719000017/ex10120198-k09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2019-12-28T04:52:39Z</dcterms:created>
  <dcterms:modified xsi:type="dcterms:W3CDTF">2019-12-28T04:52:39Z</dcterms:modified>
</cp:coreProperties>
</file>