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9" w:right="239" w:bottom="1440" w:gutter="0" w:footer="0" w:header="0"/>
        </w:sectPr>
      </w:pPr>
    </w:p>
    <w:bookmarkStart w:id="1" w:name="page2"/>
    <w:bookmarkEnd w:id="1"/>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right="60" w:firstLine="656"/>
        <w:spacing w:after="0" w:line="219" w:lineRule="exact"/>
        <w:tabs>
          <w:tab w:leader="none" w:pos="106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On June 18, 2014,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upon the recommendation of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approved effective August 31, 2014, the beginning of the Company's 2015 fiscal year, (i) the Officers Incentive Compensation Plan-Fiscal Period 2015 (the </w:t>
      </w:r>
      <w:r>
        <w:rPr>
          <w:rFonts w:ascii="Arial" w:cs="Arial" w:eastAsia="Arial" w:hAnsi="Arial"/>
          <w:sz w:val="18"/>
          <w:szCs w:val="18"/>
          <w:i w:val="1"/>
          <w:iCs w:val="1"/>
          <w:color w:val="auto"/>
        </w:rPr>
        <w:t>“2015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2015, 2016 and 2017 (the </w:t>
      </w:r>
      <w:r>
        <w:rPr>
          <w:rFonts w:ascii="Arial" w:cs="Arial" w:eastAsia="Arial" w:hAnsi="Arial"/>
          <w:sz w:val="18"/>
          <w:szCs w:val="18"/>
          <w:i w:val="1"/>
          <w:iCs w:val="1"/>
          <w:color w:val="auto"/>
        </w:rPr>
        <w:t>“LTIP 2015</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2017”</w:t>
      </w:r>
      <w:r>
        <w:rPr>
          <w:rFonts w:ascii="Arial" w:cs="Arial" w:eastAsia="Arial" w:hAnsi="Arial"/>
          <w:sz w:val="18"/>
          <w:szCs w:val="18"/>
          <w:color w:val="auto"/>
        </w:rPr>
        <w:t xml:space="preserve">). Randy J. Potts (Chairman of the Board, Chief Executive Officer and President), Sarah N. Nielsen (Vice President, Chief Financial Officer), Robert L. Gossett (Vice President, Administration), S. Scott Degnan (Vice President, Sales and Product Management) and William J. O'Leary (Vice President, Product Development), each currently employed by the Company and a “named executive officer” as determined by Securities and Exchange Commission reporting rules (collectively, the </w:t>
      </w:r>
      <w:r>
        <w:rPr>
          <w:rFonts w:ascii="Arial" w:cs="Arial" w:eastAsia="Arial" w:hAnsi="Arial"/>
          <w:sz w:val="18"/>
          <w:szCs w:val="18"/>
          <w:i w:val="1"/>
          <w:iCs w:val="1"/>
          <w:color w:val="auto"/>
        </w:rPr>
        <w:t>“Named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 will participate in both the 2015 Incentive Compensation Plan and the LTIP 2015</w:t>
      </w:r>
      <w:r>
        <w:rPr>
          <w:rFonts w:ascii="MS PGothic" w:cs="MS PGothic" w:eastAsia="MS PGothic" w:hAnsi="MS PGothic"/>
          <w:sz w:val="18"/>
          <w:szCs w:val="18"/>
          <w:color w:val="auto"/>
        </w:rPr>
        <w:t>‑</w:t>
      </w:r>
      <w:r>
        <w:rPr>
          <w:rFonts w:ascii="Arial" w:cs="Arial" w:eastAsia="Arial" w:hAnsi="Arial"/>
          <w:sz w:val="18"/>
          <w:szCs w:val="18"/>
          <w:color w:val="auto"/>
        </w:rPr>
        <w:t>2017.</w:t>
      </w:r>
    </w:p>
    <w:p>
      <w:pPr>
        <w:spacing w:after="0" w:line="2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2015 Incentive Compensation Plan provides for an annual incentive award based upon financial performance of the Company. The purpose of the 2015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2015 Incentive Compensation Plan is an annual program that provides for annual measurements of financial performance and an opportunity for an annual incentive payment based on financial results measured against predetermined financial performance targets established by the Board of Directors (such as earnings, return on equity, return on invested capital or other applicable measures). Under the 2015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9" w:lineRule="exact"/>
        <w:rPr>
          <w:sz w:val="20"/>
          <w:szCs w:val="20"/>
          <w:color w:val="auto"/>
        </w:rPr>
      </w:pPr>
    </w:p>
    <w:p>
      <w:pPr>
        <w:jc w:val="both"/>
        <w:ind w:right="160" w:firstLine="648"/>
        <w:spacing w:after="0" w:line="274" w:lineRule="auto"/>
        <w:rPr>
          <w:sz w:val="20"/>
          <w:szCs w:val="20"/>
          <w:color w:val="auto"/>
        </w:rPr>
      </w:pPr>
      <w:r>
        <w:rPr>
          <w:rFonts w:ascii="Arial" w:cs="Arial" w:eastAsia="Arial" w:hAnsi="Arial"/>
          <w:sz w:val="17"/>
          <w:szCs w:val="17"/>
          <w:color w:val="auto"/>
        </w:rPr>
        <w:t>The 2015 Incentive Compensation Plan provides for a bonus (Target) of 90% (for the Chief Executive Officer) and 60% (in the case of the other Named Executive Officers) of base salary, respectively,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215" w:lineRule="exact"/>
        <w:rPr>
          <w:sz w:val="20"/>
          <w:szCs w:val="20"/>
          <w:color w:val="auto"/>
        </w:rPr>
      </w:pPr>
    </w:p>
    <w:p>
      <w:pPr>
        <w:ind w:right="40" w:firstLine="648"/>
        <w:spacing w:after="0" w:line="216" w:lineRule="exact"/>
        <w:rPr>
          <w:sz w:val="20"/>
          <w:szCs w:val="20"/>
          <w:color w:val="auto"/>
        </w:rPr>
      </w:pPr>
      <w:r>
        <w:rPr>
          <w:rFonts w:ascii="Arial" w:cs="Arial" w:eastAsia="Arial" w:hAnsi="Arial"/>
          <w:sz w:val="18"/>
          <w:szCs w:val="18"/>
          <w:color w:val="auto"/>
        </w:rPr>
        <w:t>Pursuant to the Officers' Incentive Compensation Plan for Fiscal 2015, the Committee may modify the Financial Factor used in determining the incentive compensation by plus or minus 20% based upon strategic organizational goals and priorities established by the Board of Directors. The specific strategic performance measurements based upon those organizational goals and priorities are determined annually by the Committee. The financial performance measurement or measurements, the threshold, target and maximum performance levels for which bonuses will be paid pursuant to the 2015 Incentive Compensation Plan have not yet been established by the Committee.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2015 Incentive Compensation Plan.</w:t>
      </w:r>
    </w:p>
    <w:p>
      <w:pPr>
        <w:spacing w:after="0" w:line="247"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In the event of a “Change in Control” (as defined in the 2015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29" w:lineRule="exact"/>
        <w:rPr>
          <w:sz w:val="20"/>
          <w:szCs w:val="20"/>
          <w:color w:val="auto"/>
        </w:rPr>
      </w:pPr>
    </w:p>
    <w:p>
      <w:pPr>
        <w:ind w:right="120" w:firstLine="648"/>
        <w:spacing w:after="0" w:line="216" w:lineRule="exact"/>
        <w:rPr>
          <w:sz w:val="20"/>
          <w:szCs w:val="20"/>
          <w:color w:val="auto"/>
        </w:rPr>
      </w:pPr>
      <w:r>
        <w:rPr>
          <w:rFonts w:ascii="Arial" w:cs="Arial" w:eastAsia="Arial" w:hAnsi="Arial"/>
          <w:sz w:val="18"/>
          <w:szCs w:val="18"/>
          <w:color w:val="auto"/>
        </w:rPr>
        <w:t>The Named Executive Officers are also eligible for incentive awards under the LTIP 2015</w:t>
      </w:r>
      <w:r>
        <w:rPr>
          <w:rFonts w:ascii="MS PGothic" w:cs="MS PGothic" w:eastAsia="MS PGothic" w:hAnsi="MS PGothic"/>
          <w:sz w:val="18"/>
          <w:szCs w:val="18"/>
          <w:color w:val="auto"/>
        </w:rPr>
        <w:t>‑</w:t>
      </w:r>
      <w:r>
        <w:rPr>
          <w:rFonts w:ascii="Arial" w:cs="Arial" w:eastAsia="Arial" w:hAnsi="Arial"/>
          <w:sz w:val="18"/>
          <w:szCs w:val="18"/>
          <w:color w:val="auto"/>
        </w:rPr>
        <w:t>2017. The purpose of the LTIP 2015</w:t>
      </w:r>
      <w:r>
        <w:rPr>
          <w:rFonts w:ascii="MS PGothic" w:cs="MS PGothic" w:eastAsia="MS PGothic" w:hAnsi="MS PGothic"/>
          <w:sz w:val="18"/>
          <w:szCs w:val="18"/>
          <w:color w:val="auto"/>
        </w:rPr>
        <w:t>‑</w:t>
      </w:r>
      <w:r>
        <w:rPr>
          <w:rFonts w:ascii="Arial" w:cs="Arial" w:eastAsia="Arial" w:hAnsi="Arial"/>
          <w:sz w:val="18"/>
          <w:szCs w:val="18"/>
          <w:color w:val="auto"/>
        </w:rPr>
        <w:t>2017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right="60"/>
        <w:spacing w:after="0" w:line="216" w:lineRule="exact"/>
        <w:rPr>
          <w:sz w:val="20"/>
          <w:szCs w:val="20"/>
          <w:color w:val="auto"/>
        </w:rPr>
      </w:pPr>
      <w:r>
        <w:rPr>
          <w:rFonts w:ascii="Arial" w:cs="Arial" w:eastAsia="Arial" w:hAnsi="Arial"/>
          <w:sz w:val="18"/>
          <w:szCs w:val="18"/>
          <w:color w:val="auto"/>
        </w:rPr>
        <w:t>2015</w:t>
      </w:r>
      <w:r>
        <w:rPr>
          <w:rFonts w:ascii="MS PGothic" w:cs="MS PGothic" w:eastAsia="MS PGothic" w:hAnsi="MS PGothic"/>
          <w:sz w:val="18"/>
          <w:szCs w:val="18"/>
          <w:color w:val="auto"/>
        </w:rPr>
        <w:t>‑</w:t>
      </w:r>
      <w:r>
        <w:rPr>
          <w:rFonts w:ascii="Arial" w:cs="Arial" w:eastAsia="Arial" w:hAnsi="Arial"/>
          <w:sz w:val="18"/>
          <w:szCs w:val="18"/>
          <w:color w:val="auto"/>
        </w:rPr>
        <w:t>2017 provides for incentive awards consisting of performance stock grants made in restricted shares of the Company's Common Stock. The awards under the LTIP 2015</w:t>
      </w:r>
      <w:r>
        <w:rPr>
          <w:rFonts w:ascii="MS PGothic" w:cs="MS PGothic" w:eastAsia="MS PGothic" w:hAnsi="MS PGothic"/>
          <w:sz w:val="18"/>
          <w:szCs w:val="18"/>
          <w:color w:val="auto"/>
        </w:rPr>
        <w:t>‑</w:t>
      </w:r>
      <w:r>
        <w:rPr>
          <w:rFonts w:ascii="Arial" w:cs="Arial" w:eastAsia="Arial" w:hAnsi="Arial"/>
          <w:sz w:val="18"/>
          <w:szCs w:val="18"/>
          <w:color w:val="auto"/>
        </w:rPr>
        <w:t>2017 are based upon the Company's financial performance as measured against the Company's financial results at the end of the three year fiscal period. The Named Executive Officers must be employed by the Company at the end of fiscal 2017 to be eligible for an incentive award under the LTIP 2015</w:t>
      </w:r>
      <w:r>
        <w:rPr>
          <w:rFonts w:ascii="MS PGothic" w:cs="MS PGothic" w:eastAsia="MS PGothic" w:hAnsi="MS PGothic"/>
          <w:sz w:val="18"/>
          <w:szCs w:val="18"/>
          <w:color w:val="auto"/>
        </w:rPr>
        <w:t>‑</w:t>
      </w:r>
      <w:r>
        <w:rPr>
          <w:rFonts w:ascii="Arial" w:cs="Arial" w:eastAsia="Arial" w:hAnsi="Arial"/>
          <w:sz w:val="18"/>
          <w:szCs w:val="18"/>
          <w:color w:val="auto"/>
        </w:rPr>
        <w:t>2017, except upon a Change in Control as described below.</w:t>
      </w:r>
    </w:p>
    <w:p>
      <w:pPr>
        <w:spacing w:after="0" w:line="245" w:lineRule="exact"/>
        <w:rPr>
          <w:sz w:val="20"/>
          <w:szCs w:val="20"/>
          <w:color w:val="auto"/>
        </w:rPr>
      </w:pPr>
    </w:p>
    <w:p>
      <w:pPr>
        <w:ind w:firstLine="648"/>
        <w:spacing w:after="0" w:line="216" w:lineRule="exact"/>
        <w:rPr>
          <w:sz w:val="20"/>
          <w:szCs w:val="20"/>
          <w:color w:val="auto"/>
        </w:rPr>
      </w:pPr>
      <w:r>
        <w:rPr>
          <w:rFonts w:ascii="Arial" w:cs="Arial" w:eastAsia="Arial" w:hAnsi="Arial"/>
          <w:sz w:val="18"/>
          <w:szCs w:val="18"/>
          <w:color w:val="auto"/>
        </w:rPr>
        <w:t>Under the LTIP 2015-2017, the amount of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Board of Directors (such as earnings, return on equity, return on invested capital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Restricted stock earned under the LTIP 2015-2017 and approved by the Committee will be awarded as soon as practical after the Company's year-end accounting following the 2017 fiscal year end. The price of any restricted stock award will be the closing market price of the Company's Common Stock on the date on which the grant is approved by the Committee. The stock award restriction will be removed one year after the grant date.</w:t>
      </w:r>
    </w:p>
    <w:p>
      <w:pPr>
        <w:spacing w:after="0" w:line="247" w:lineRule="exact"/>
        <w:rPr>
          <w:sz w:val="20"/>
          <w:szCs w:val="20"/>
          <w:color w:val="auto"/>
        </w:rPr>
      </w:pPr>
    </w:p>
    <w:p>
      <w:pPr>
        <w:ind w:right="100" w:firstLine="648"/>
        <w:spacing w:after="0" w:line="216" w:lineRule="exact"/>
        <w:rPr>
          <w:sz w:val="20"/>
          <w:szCs w:val="20"/>
          <w:color w:val="auto"/>
        </w:rPr>
      </w:pPr>
      <w:r>
        <w:rPr>
          <w:rFonts w:ascii="Arial" w:cs="Arial" w:eastAsia="Arial" w:hAnsi="Arial"/>
          <w:sz w:val="18"/>
          <w:szCs w:val="18"/>
          <w:color w:val="auto"/>
        </w:rPr>
        <w:t>The long</w:t>
      </w:r>
      <w:r>
        <w:rPr>
          <w:rFonts w:ascii="MS PGothic" w:cs="MS PGothic" w:eastAsia="MS PGothic" w:hAnsi="MS PGothic"/>
          <w:sz w:val="18"/>
          <w:szCs w:val="18"/>
          <w:color w:val="auto"/>
        </w:rPr>
        <w:t>‑</w:t>
      </w:r>
      <w:r>
        <w:rPr>
          <w:rFonts w:ascii="Arial" w:cs="Arial" w:eastAsia="Arial" w:hAnsi="Arial"/>
          <w:sz w:val="18"/>
          <w:szCs w:val="18"/>
          <w:color w:val="auto"/>
        </w:rPr>
        <w:t>term incentive for the Named Executive Officers provides for an opportunity of 25% of the annualized base salary (Target) to be awarded in restricted stock at 100% achievement of the financial long-term objectives. The annualized base salary figure used is the salary in place for each participant as of September 2014. The resultant incentive award (at 100% of the three</w:t>
      </w:r>
      <w:r>
        <w:rPr>
          <w:rFonts w:ascii="MS PGothic" w:cs="MS PGothic" w:eastAsia="MS PGothic" w:hAnsi="MS PGothic"/>
          <w:sz w:val="18"/>
          <w:szCs w:val="18"/>
          <w:color w:val="auto"/>
        </w:rPr>
        <w:t>‑</w:t>
      </w:r>
      <w:r>
        <w:rPr>
          <w:rFonts w:ascii="Arial" w:cs="Arial" w:eastAsia="Arial" w:hAnsi="Arial"/>
          <w:sz w:val="18"/>
          <w:szCs w:val="18"/>
          <w:color w:val="auto"/>
        </w:rPr>
        <w:t>year fiscal management plan) will be adjusted up or down as determined by actual financial performance expressed as a percentage (Financial Factor)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540" w:firstLine="648"/>
        <w:spacing w:after="0" w:line="216" w:lineRule="exact"/>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2015-2017 have not yet been established by the Committee.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LTIP 2015</w:t>
      </w:r>
      <w:r>
        <w:rPr>
          <w:rFonts w:ascii="MS PGothic" w:cs="MS PGothic" w:eastAsia="MS PGothic" w:hAnsi="MS PGothic"/>
          <w:sz w:val="18"/>
          <w:szCs w:val="18"/>
          <w:color w:val="auto"/>
        </w:rPr>
        <w:t>‑</w:t>
      </w:r>
      <w:r>
        <w:rPr>
          <w:rFonts w:ascii="Arial" w:cs="Arial" w:eastAsia="Arial" w:hAnsi="Arial"/>
          <w:sz w:val="18"/>
          <w:szCs w:val="18"/>
          <w:color w:val="auto"/>
        </w:rPr>
        <w:t>2017.</w:t>
      </w:r>
    </w:p>
    <w:p>
      <w:pPr>
        <w:spacing w:after="0" w:line="245" w:lineRule="exact"/>
        <w:rPr>
          <w:sz w:val="20"/>
          <w:szCs w:val="20"/>
          <w:color w:val="auto"/>
        </w:rPr>
      </w:pPr>
    </w:p>
    <w:p>
      <w:pPr>
        <w:ind w:right="40" w:firstLine="648"/>
        <w:spacing w:after="0" w:line="216" w:lineRule="exact"/>
        <w:rPr>
          <w:sz w:val="20"/>
          <w:szCs w:val="20"/>
          <w:color w:val="auto"/>
        </w:rPr>
      </w:pPr>
      <w:r>
        <w:rPr>
          <w:rFonts w:ascii="Arial" w:cs="Arial" w:eastAsia="Arial" w:hAnsi="Arial"/>
          <w:sz w:val="18"/>
          <w:szCs w:val="18"/>
          <w:color w:val="auto"/>
        </w:rPr>
        <w:t>In the event of a “Change in Control” (as defined in the LTIP 2015-2017)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2015-2017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2015 Incentive Compensation Plan or the LTIP 2015-2017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40" w:lineRule="exact"/>
        <w:rPr>
          <w:sz w:val="20"/>
          <w:szCs w:val="20"/>
          <w:color w:val="auto"/>
        </w:rPr>
      </w:pPr>
    </w:p>
    <w:p>
      <w:pPr>
        <w:ind w:right="780" w:firstLine="648"/>
        <w:spacing w:after="0" w:line="217" w:lineRule="exact"/>
        <w:rPr>
          <w:sz w:val="20"/>
          <w:szCs w:val="20"/>
          <w:color w:val="auto"/>
        </w:rPr>
      </w:pPr>
      <w:r>
        <w:rPr>
          <w:rFonts w:ascii="Arial" w:cs="Arial" w:eastAsia="Arial" w:hAnsi="Arial"/>
          <w:sz w:val="18"/>
          <w:szCs w:val="18"/>
          <w:color w:val="auto"/>
        </w:rPr>
        <w:t>Reference is made to each of the 2015 Incentive Compensation Plan and the LTIP 2015</w:t>
      </w:r>
      <w:r>
        <w:rPr>
          <w:rFonts w:ascii="MS PGothic" w:cs="MS PGothic" w:eastAsia="MS PGothic" w:hAnsi="MS PGothic"/>
          <w:sz w:val="18"/>
          <w:szCs w:val="18"/>
          <w:color w:val="auto"/>
        </w:rPr>
        <w:t>‑</w:t>
      </w:r>
      <w:r>
        <w:rPr>
          <w:rFonts w:ascii="Arial" w:cs="Arial" w:eastAsia="Arial" w:hAnsi="Arial"/>
          <w:sz w:val="18"/>
          <w:szCs w:val="18"/>
          <w:color w:val="auto"/>
        </w:rPr>
        <w:t>2017 filed as Exhibits 99.1 and 99.2, respectively, to this Report and are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841" w:right="259" w:bottom="1440" w:gutter="0" w:footer="0" w:header="0"/>
        </w:sectPr>
      </w:pPr>
    </w:p>
    <w:bookmarkStart w:id="3" w:name="page4"/>
    <w:bookmarkEnd w:id="3"/>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65" w:lineRule="exact"/>
        <w:rPr>
          <w:sz w:val="20"/>
          <w:szCs w:val="20"/>
          <w:color w:val="auto"/>
        </w:rPr>
      </w:pPr>
    </w:p>
    <w:p>
      <w:pPr>
        <w:ind w:left="1520" w:hanging="864"/>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Officers Incentive Compensation Plan Fiscal Period 2015</w:t>
      </w:r>
    </w:p>
    <w:p>
      <w:pPr>
        <w:spacing w:after="0" w:line="374"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2015, 2016 and 2017</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40"/>
        <w:spacing w:after="0"/>
        <w:tabs>
          <w:tab w:leader="none" w:pos="700" w:val="left"/>
          <w:tab w:leader="none" w:pos="4560" w:val="left"/>
        </w:tabs>
        <w:rPr>
          <w:sz w:val="20"/>
          <w:szCs w:val="20"/>
          <w:color w:val="auto"/>
        </w:rPr>
      </w:pPr>
      <w:r>
        <w:rPr>
          <w:rFonts w:ascii="Arial" w:cs="Arial" w:eastAsia="Arial" w:hAnsi="Arial"/>
          <w:sz w:val="18"/>
          <w:szCs w:val="18"/>
          <w:color w:val="auto"/>
        </w:rPr>
        <w:t>Date:</w:t>
        <w:tab/>
        <w:t>June 24, 2014</w:t>
      </w:r>
      <w:r>
        <w:rPr>
          <w:sz w:val="20"/>
          <w:szCs w:val="20"/>
          <w:color w:val="auto"/>
        </w:rPr>
        <w:tab/>
      </w: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62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434"/>
        </w:trPr>
        <w:tc>
          <w:tcPr>
            <w:tcW w:w="880" w:type="dxa"/>
            <w:vAlign w:val="bottom"/>
          </w:tcPr>
          <w:p>
            <w:pPr>
              <w:spacing w:after="0"/>
              <w:rPr>
                <w:sz w:val="24"/>
                <w:szCs w:val="24"/>
                <w:color w:val="auto"/>
              </w:rPr>
            </w:pPr>
          </w:p>
        </w:tc>
        <w:tc>
          <w:tcPr>
            <w:tcW w:w="5360" w:type="dxa"/>
            <w:vAlign w:val="bottom"/>
          </w:tcPr>
          <w:p>
            <w:pPr>
              <w:jc w:val="right"/>
              <w:ind w:right="5014"/>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00"/>
          </w:cols>
          <w:pgMar w:left="240" w:top="580" w:right="2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Officers Incentive Compensation Plan Fiscal Period 2015</w:t>
      </w:r>
    </w:p>
    <w:p>
      <w:pPr>
        <w:spacing w:after="0" w:line="374"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2015, 2016 and 2017</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576"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35"/>
          <w:szCs w:val="35"/>
          <w:b w:val="1"/>
          <w:bCs w:val="1"/>
          <w:color w:val="auto"/>
        </w:rPr>
        <w:t>GROUP A - OFFICERS</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36"/>
          <w:szCs w:val="36"/>
          <w:b w:val="1"/>
          <w:bCs w:val="1"/>
          <w:color w:val="auto"/>
        </w:rPr>
        <w:t>FISCAL PERIOD 2015</w:t>
      </w:r>
    </w:p>
    <w:p>
      <w:pPr>
        <w:sectPr>
          <w:pgSz w:w="11900" w:h="16838" w:orient="portrait"/>
          <w:cols w:equalWidth="0" w:num="1">
            <w:col w:w="9019"/>
          </w:cols>
          <w:pgMar w:left="1440" w:top="1440" w:right="1440" w:bottom="1440" w:gutter="0" w:footer="0" w:header="0"/>
          <w:type w:val="continuous"/>
        </w:sectPr>
      </w:pPr>
    </w:p>
    <w:bookmarkStart w:id="6" w:name="page7"/>
    <w:bookmarkEnd w:id="6"/>
    <w:p>
      <w:pPr>
        <w:jc w:val="center"/>
        <w:ind w:right="-5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279"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Fiscal Period 2015</w:t>
      </w:r>
    </w:p>
    <w:p>
      <w:pPr>
        <w:spacing w:after="0" w:line="316" w:lineRule="exact"/>
        <w:rPr>
          <w:sz w:val="20"/>
          <w:szCs w:val="20"/>
          <w:color w:val="auto"/>
        </w:rPr>
      </w:pPr>
    </w:p>
    <w:p>
      <w:pPr>
        <w:jc w:val="both"/>
        <w:ind w:left="652" w:right="180" w:hanging="652"/>
        <w:spacing w:after="0" w:line="252" w:lineRule="auto"/>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w:t>
      </w:r>
      <w:r>
        <w:rPr>
          <w:rFonts w:ascii="Arial" w:cs="Arial" w:eastAsia="Arial" w:hAnsi="Arial"/>
          <w:sz w:val="22"/>
          <w:szCs w:val="22"/>
          <w:b w:val="1"/>
          <w:bCs w:val="1"/>
          <w:color w:val="auto"/>
        </w:rPr>
        <w:t xml:space="preserve"> </w:t>
      </w:r>
      <w:r>
        <w:rPr>
          <w:rFonts w:ascii="Arial" w:cs="Arial" w:eastAsia="Arial" w:hAnsi="Arial"/>
          <w:sz w:val="22"/>
          <w:szCs w:val="22"/>
          <w:color w:val="auto"/>
        </w:rPr>
        <w:t>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20" w:hanging="644"/>
        <w:spacing w:after="0" w:line="298" w:lineRule="auto"/>
        <w:tabs>
          <w:tab w:leader="none" w:pos="1292" w:val="left"/>
        </w:tabs>
        <w:numPr>
          <w:ilvl w:val="1"/>
          <w:numId w:val="4"/>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color w:val="auto"/>
        </w:rPr>
        <w:t>. 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40" w:hanging="644"/>
        <w:spacing w:after="0" w:line="267" w:lineRule="auto"/>
        <w:tabs>
          <w:tab w:leader="none" w:pos="1292" w:val="left"/>
        </w:tabs>
        <w:numPr>
          <w:ilvl w:val="1"/>
          <w:numId w:val="4"/>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40" w:hanging="644"/>
        <w:spacing w:after="0" w:line="252"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380" w:hanging="644"/>
        <w:spacing w:after="0" w:line="269"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color w:val="auto"/>
        </w:rPr>
        <w:t>. The Board must approve the Plan, without metrics, prior to the beginning of each new fiscal</w:t>
      </w:r>
      <w:r>
        <w:rPr>
          <w:rFonts w:ascii="Arial" w:cs="Arial" w:eastAsia="Arial" w:hAnsi="Arial"/>
          <w:sz w:val="22"/>
          <w:szCs w:val="22"/>
          <w:b w:val="1"/>
          <w:bCs w:val="1"/>
          <w:color w:val="auto"/>
        </w:rPr>
        <w:t xml:space="preserve"> </w:t>
      </w:r>
      <w:r>
        <w:rPr>
          <w:rFonts w:ascii="Arial" w:cs="Arial" w:eastAsia="Arial" w:hAnsi="Arial"/>
          <w:sz w:val="22"/>
          <w:szCs w:val="22"/>
          <w:color w:val="auto"/>
        </w:rPr>
        <w:t>year.</w:t>
      </w:r>
    </w:p>
    <w:p>
      <w:pPr>
        <w:spacing w:after="0" w:line="162" w:lineRule="exact"/>
        <w:rPr>
          <w:rFonts w:ascii="Arial" w:cs="Arial" w:eastAsia="Arial" w:hAnsi="Arial"/>
          <w:sz w:val="22"/>
          <w:szCs w:val="22"/>
          <w:color w:val="auto"/>
        </w:rPr>
      </w:pPr>
    </w:p>
    <w:p>
      <w:pPr>
        <w:ind w:left="652" w:hanging="652"/>
        <w:spacing w:after="0"/>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fiscal year.</w:t>
      </w:r>
    </w:p>
    <w:p>
      <w:pPr>
        <w:spacing w:after="0" w:line="219" w:lineRule="exact"/>
        <w:rPr>
          <w:rFonts w:ascii="Arial" w:cs="Arial" w:eastAsia="Arial" w:hAnsi="Arial"/>
          <w:sz w:val="22"/>
          <w:szCs w:val="22"/>
          <w:color w:val="auto"/>
        </w:rPr>
      </w:pPr>
    </w:p>
    <w:p>
      <w:pPr>
        <w:jc w:val="both"/>
        <w:ind w:left="1292" w:right="100" w:hanging="644"/>
        <w:spacing w:after="0" w:line="253" w:lineRule="auto"/>
        <w:tabs>
          <w:tab w:leader="none" w:pos="129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 death. Unless otherwise specified, participants must be employed as of the end of the fiscal year to be eligible for any incentive payment.</w:t>
      </w:r>
    </w:p>
    <w:p>
      <w:pPr>
        <w:spacing w:after="0" w:line="200" w:lineRule="exact"/>
        <w:rPr>
          <w:sz w:val="20"/>
          <w:szCs w:val="20"/>
          <w:color w:val="auto"/>
        </w:rPr>
      </w:pPr>
    </w:p>
    <w:p>
      <w:pPr>
        <w:spacing w:after="0" w:line="22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52"/>
          </w:cols>
          <w:pgMar w:left="248" w:top="1008" w:right="299" w:bottom="1440" w:gutter="0" w:footer="0" w:header="0"/>
        </w:sectPr>
      </w:pPr>
    </w:p>
    <w:bookmarkStart w:id="7" w:name="page8"/>
    <w:bookmarkEnd w:id="7"/>
    <w:p>
      <w:pPr>
        <w:ind w:left="652" w:hanging="652"/>
        <w:spacing w:after="0" w:line="315" w:lineRule="auto"/>
        <w:tabs>
          <w:tab w:leader="none" w:pos="652" w:val="left"/>
        </w:tabs>
        <w:numPr>
          <w:ilvl w:val="0"/>
          <w:numId w:val="5"/>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incentive award is based upon fiscal year financial performance of the Corporation and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measurable strategic performance factors. The Plan is an annual program that provides for annual measurements of financial and/or strategic performance and an opportunity for an annual incentive payment based on performance results.</w:t>
      </w:r>
    </w:p>
    <w:p>
      <w:pPr>
        <w:spacing w:after="0" w:line="131" w:lineRule="exact"/>
        <w:rPr>
          <w:rFonts w:ascii="Arial" w:cs="Arial" w:eastAsia="Arial" w:hAnsi="Arial"/>
          <w:sz w:val="19"/>
          <w:szCs w:val="19"/>
          <w:color w:val="auto"/>
        </w:rPr>
      </w:pPr>
    </w:p>
    <w:p>
      <w:pPr>
        <w:ind w:left="652" w:right="60"/>
        <w:spacing w:after="0" w:line="292" w:lineRule="auto"/>
        <w:rPr>
          <w:rFonts w:ascii="Arial" w:cs="Arial" w:eastAsia="Arial" w:hAnsi="Arial"/>
          <w:sz w:val="19"/>
          <w:szCs w:val="19"/>
          <w:color w:val="auto"/>
        </w:rPr>
      </w:pPr>
      <w:r>
        <w:rPr>
          <w:rFonts w:ascii="Arial" w:cs="Arial" w:eastAsia="Arial" w:hAnsi="Arial"/>
          <w:sz w:val="19"/>
          <w:szCs w:val="19"/>
          <w:color w:val="auto"/>
        </w:rPr>
        <w:t>The performance measurements for this Plan will be based upon one or more pre-established financial and strategic criteria. These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fiscal year.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Plan.</w:t>
      </w:r>
    </w:p>
    <w:p>
      <w:pPr>
        <w:spacing w:after="0" w:line="151" w:lineRule="exact"/>
        <w:rPr>
          <w:rFonts w:ascii="Arial" w:cs="Arial" w:eastAsia="Arial" w:hAnsi="Arial"/>
          <w:sz w:val="19"/>
          <w:szCs w:val="19"/>
          <w:color w:val="auto"/>
        </w:rPr>
      </w:pPr>
    </w:p>
    <w:p>
      <w:pPr>
        <w:ind w:left="652" w:right="380"/>
        <w:spacing w:after="0" w:line="253" w:lineRule="auto"/>
        <w:rPr>
          <w:rFonts w:ascii="Arial" w:cs="Arial" w:eastAsia="Arial" w:hAnsi="Arial"/>
          <w:sz w:val="19"/>
          <w:szCs w:val="19"/>
          <w:color w:val="auto"/>
        </w:rPr>
      </w:pPr>
      <w:r>
        <w:rPr>
          <w:rFonts w:ascii="Arial" w:cs="Arial" w:eastAsia="Arial" w:hAnsi="Arial"/>
          <w:sz w:val="22"/>
          <w:szCs w:val="22"/>
          <w:color w:val="auto"/>
        </w:rPr>
        <w:t>The Board of Directors has determined that the following strategic goals and priorities may be taken into account by the Committee, along with other measurable strategic goals and priorities that they identify, when they are determining the strategic performance measurements for this Plan:</w:t>
      </w:r>
    </w:p>
    <w:p>
      <w:pPr>
        <w:sectPr>
          <w:pgSz w:w="11900" w:h="16838" w:orient="portrait"/>
          <w:cols w:equalWidth="0" w:num="1">
            <w:col w:w="11412"/>
          </w:cols>
          <w:pgMar w:left="248" w:top="585" w:right="239" w:bottom="1440" w:gutter="0" w:footer="0" w:header="0"/>
        </w:sectPr>
      </w:pPr>
    </w:p>
    <w:p>
      <w:pPr>
        <w:spacing w:after="0" w:line="118" w:lineRule="exact"/>
        <w:rPr>
          <w:sz w:val="20"/>
          <w:szCs w:val="20"/>
          <w:color w:val="auto"/>
        </w:rPr>
      </w:pPr>
    </w:p>
    <w:p>
      <w:pPr>
        <w:ind w:left="2232"/>
        <w:spacing w:after="0"/>
        <w:rPr>
          <w:sz w:val="20"/>
          <w:szCs w:val="20"/>
          <w:color w:val="auto"/>
        </w:rPr>
      </w:pPr>
      <w:r>
        <w:rPr>
          <w:rFonts w:ascii="Arial" w:cs="Arial" w:eastAsia="Arial" w:hAnsi="Arial"/>
          <w:sz w:val="19"/>
          <w:szCs w:val="19"/>
          <w:color w:val="auto"/>
        </w:rPr>
        <w:t>Revenue Growth</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Customer Satisfaction</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jc w:val="center"/>
        <w:ind w:left="772"/>
        <w:spacing w:after="0"/>
        <w:rPr>
          <w:sz w:val="20"/>
          <w:szCs w:val="20"/>
          <w:color w:val="auto"/>
        </w:rPr>
      </w:pPr>
      <w:r>
        <w:rPr>
          <w:rFonts w:ascii="Arial" w:cs="Arial" w:eastAsia="Arial" w:hAnsi="Arial"/>
          <w:sz w:val="19"/>
          <w:szCs w:val="19"/>
          <w:color w:val="auto"/>
        </w:rPr>
        <w:t>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Inventory Management</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2232"/>
        <w:spacing w:after="0"/>
        <w:rPr>
          <w:sz w:val="20"/>
          <w:szCs w:val="20"/>
          <w:color w:val="auto"/>
        </w:rPr>
      </w:pPr>
      <w:r>
        <w:rPr>
          <w:rFonts w:ascii="Arial" w:cs="Arial" w:eastAsia="Arial" w:hAnsi="Arial"/>
          <w:sz w:val="19"/>
          <w:szCs w:val="19"/>
          <w:color w:val="auto"/>
        </w:rPr>
        <w:t>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Technical Innovation</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2232"/>
        <w:spacing w:after="0"/>
        <w:rPr>
          <w:sz w:val="20"/>
          <w:szCs w:val="20"/>
          <w:color w:val="auto"/>
        </w:rPr>
      </w:pPr>
      <w:r>
        <w:rPr>
          <w:rFonts w:ascii="Arial" w:cs="Arial" w:eastAsia="Arial" w:hAnsi="Arial"/>
          <w:sz w:val="19"/>
          <w:szCs w:val="19"/>
          <w:color w:val="auto"/>
        </w:rPr>
        <w:t>Product Introduction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Ethical Business Practices</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2232"/>
        <w:spacing w:after="0"/>
        <w:rPr>
          <w:sz w:val="20"/>
          <w:szCs w:val="20"/>
          <w:color w:val="auto"/>
        </w:rPr>
      </w:pPr>
      <w:r>
        <w:rPr>
          <w:rFonts w:ascii="Arial" w:cs="Arial" w:eastAsia="Arial" w:hAnsi="Arial"/>
          <w:sz w:val="19"/>
          <w:szCs w:val="19"/>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Business Diversity Initiatives</w:t>
      </w:r>
    </w:p>
    <w:p>
      <w:pPr>
        <w:spacing w:after="0" w:line="11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652"/>
        <w:spacing w:after="0" w:line="312" w:lineRule="auto"/>
        <w:rPr>
          <w:sz w:val="20"/>
          <w:szCs w:val="20"/>
          <w:color w:val="auto"/>
        </w:rPr>
      </w:pPr>
      <w:r>
        <w:rPr>
          <w:rFonts w:ascii="Arial" w:cs="Arial" w:eastAsia="Arial" w:hAnsi="Arial"/>
          <w:sz w:val="19"/>
          <w:szCs w:val="19"/>
          <w:color w:val="auto"/>
        </w:rPr>
        <w:t>The Committee must identify objective measurements for each of the strategic performance factors it chooses to include and they must be established within the first 90 days of the fiscal year. Based upon achieving or not achieving the strategic performance measurements, the Committee may adjust the financial incentive compensation by plus or minus 20%.</w:t>
      </w:r>
    </w:p>
    <w:p>
      <w:pPr>
        <w:spacing w:after="0" w:line="128" w:lineRule="exact"/>
        <w:rPr>
          <w:sz w:val="20"/>
          <w:szCs w:val="20"/>
          <w:color w:val="auto"/>
        </w:rPr>
      </w:pPr>
    </w:p>
    <w:p>
      <w:pPr>
        <w:ind w:left="652" w:right="20" w:hanging="652"/>
        <w:spacing w:after="0" w:line="295" w:lineRule="auto"/>
        <w:tabs>
          <w:tab w:leader="none" w:pos="652" w:val="left"/>
        </w:tabs>
        <w:numPr>
          <w:ilvl w:val="0"/>
          <w:numId w:val="6"/>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amount of the participants' incentive compensation for the fiscal year shall be in direct proportion</w:t>
      </w:r>
      <w:r>
        <w:rPr>
          <w:rFonts w:ascii="Arial" w:cs="Arial" w:eastAsia="Arial" w:hAnsi="Arial"/>
          <w:sz w:val="19"/>
          <w:szCs w:val="19"/>
          <w:b w:val="1"/>
          <w:bCs w:val="1"/>
          <w:color w:val="auto"/>
        </w:rPr>
        <w:t xml:space="preserve"> </w:t>
      </w:r>
      <w:r>
        <w:rPr>
          <w:rFonts w:ascii="Arial" w:cs="Arial" w:eastAsia="Arial" w:hAnsi="Arial"/>
          <w:sz w:val="19"/>
          <w:szCs w:val="19"/>
          <w:color w:val="auto"/>
        </w:rPr>
        <w:t>to the financial performance expressed as a percentage (Financial Factor) against predetermined compensation targets for each participant. The results for the fiscal year will be used in identifying the Financial Factor to be used when calculating the participants' incentive compensation. The cash payment and stock grant, if any, shall be awarded as soon as practical after the final measurement of financial and strategic criteria has been approved by the Committee in October following fiscal year end, but in no event later than 2 ½ months after the end of the fiscal year.</w:t>
      </w:r>
    </w:p>
    <w:p>
      <w:pPr>
        <w:spacing w:after="0" w:line="150" w:lineRule="exact"/>
        <w:rPr>
          <w:rFonts w:ascii="Arial" w:cs="Arial" w:eastAsia="Arial" w:hAnsi="Arial"/>
          <w:sz w:val="19"/>
          <w:szCs w:val="19"/>
          <w:color w:val="auto"/>
        </w:rPr>
      </w:pPr>
    </w:p>
    <w:p>
      <w:pPr>
        <w:ind w:left="652" w:right="100"/>
        <w:spacing w:after="0" w:line="292" w:lineRule="auto"/>
        <w:rPr>
          <w:rFonts w:ascii="Arial" w:cs="Arial" w:eastAsia="Arial" w:hAnsi="Arial"/>
          <w:sz w:val="19"/>
          <w:szCs w:val="19"/>
          <w:color w:val="auto"/>
        </w:rPr>
      </w:pPr>
      <w:r>
        <w:rPr>
          <w:rFonts w:ascii="Arial" w:cs="Arial" w:eastAsia="Arial" w:hAnsi="Arial"/>
          <w:sz w:val="19"/>
          <w:szCs w:val="19"/>
          <w:color w:val="auto"/>
        </w:rPr>
        <w:t>The incentive for the executive officers except for the Chief Executive Officer, provides for a 60% incentive (Target) opportunity of base pay, comprised of a mix of 2/3 cash and 1/3 restricted stock at 100% achievement of the financial objectives. The incentive for the Chief Executive Officer provides for a 90% incentive (Target) opportunity expressed as a percentage of base salary comprised of a mix of 2/3 cash and 1/3 restricted stock at 100% achievement of the financial objectives respectively. Any increase or decrease in the incentive compensation based on the strategic performance measures shall be prorated 2/3 cash and 1/3 restricted stock. The Committee delegates to the CEO the authority to establish the incentive (Target) for officers other than executive officers subject to the provisions set forth in this Plan.</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85" w:right="239" w:bottom="1440" w:gutter="0" w:footer="0" w:header="0"/>
          <w:type w:val="continuous"/>
        </w:sectPr>
      </w:pPr>
    </w:p>
    <w:bookmarkStart w:id="8" w:name="page9"/>
    <w:bookmarkEnd w:id="8"/>
    <w:p>
      <w:pPr>
        <w:ind w:left="660" w:right="100"/>
        <w:spacing w:after="0" w:line="271" w:lineRule="auto"/>
        <w:rPr>
          <w:sz w:val="20"/>
          <w:szCs w:val="20"/>
          <w:color w:val="auto"/>
        </w:rPr>
      </w:pPr>
      <w:r>
        <w:rPr>
          <w:rFonts w:ascii="Arial" w:cs="Arial" w:eastAsia="Arial" w:hAnsi="Arial"/>
          <w:sz w:val="21"/>
          <w:szCs w:val="21"/>
          <w:color w:val="auto"/>
        </w:rPr>
        <w:t>A participant must be employed by Winnebago Industries, Inc. at the end of the fiscal year to be eligible for any incentive payment except as waived by the Committee for retirement, disability or death. Any payment made under this Plan shall be subject to any employment and income tax withholding and other deductions as required by law.</w:t>
      </w:r>
    </w:p>
    <w:p>
      <w:pPr>
        <w:spacing w:after="0" w:line="162" w:lineRule="exact"/>
        <w:rPr>
          <w:sz w:val="20"/>
          <w:szCs w:val="20"/>
          <w:color w:val="auto"/>
        </w:rPr>
      </w:pPr>
    </w:p>
    <w:p>
      <w:pPr>
        <w:ind w:left="660" w:right="140" w:hanging="652"/>
        <w:spacing w:after="0" w:line="261" w:lineRule="auto"/>
        <w:tabs>
          <w:tab w:leader="none" w:pos="660" w:val="left"/>
        </w:tabs>
        <w:numPr>
          <w:ilvl w:val="0"/>
          <w:numId w:val="7"/>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Restricted Stock</w:t>
      </w:r>
      <w:r>
        <w:rPr>
          <w:rFonts w:ascii="Arial" w:cs="Arial" w:eastAsia="Arial" w:hAnsi="Arial"/>
          <w:sz w:val="21"/>
          <w:szCs w:val="21"/>
          <w:color w:val="auto"/>
        </w:rPr>
        <w:t>. One-third (1/3) of the officers' earned incentive for the year, pursuant to Paragraph 5 of the Plan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awarded in the form of a grant made in restricted shares of common stock to encourage stock ownership and promote the long-term growth and profitability of Winnebago Industries, Inc.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174" w:lineRule="exact"/>
        <w:rPr>
          <w:rFonts w:ascii="Arial" w:cs="Arial" w:eastAsia="Arial" w:hAnsi="Arial"/>
          <w:sz w:val="21"/>
          <w:szCs w:val="21"/>
          <w:color w:val="auto"/>
        </w:rPr>
      </w:pPr>
    </w:p>
    <w:p>
      <w:pPr>
        <w:ind w:left="660" w:hanging="652"/>
        <w:spacing w:after="0" w:line="24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fiscal year, the Committee shall, prior to the effective date of the Change in Control (the “Effective Date”), make a good faith estimate with respect to the achievement of the financial and strategic performance through the end of the fiscal year in which the Effective Date occurs. In making such estimate, the Committee may compare the achievement of the financial performance against forecast through the fiscal year and may consider such factors as it deems appropriate. The Committee shall exclude from any such estimate any and all costs and expenses arising out of or in connection with the Change in Control. Based on such estimate, the Committee shall make a non-prorated award within 15 days after the Effective Date to all participants.</w:t>
      </w:r>
    </w:p>
    <w:p>
      <w:pPr>
        <w:spacing w:after="0" w:line="186" w:lineRule="exact"/>
        <w:rPr>
          <w:rFonts w:ascii="Arial" w:cs="Arial" w:eastAsia="Arial" w:hAnsi="Arial"/>
          <w:sz w:val="22"/>
          <w:szCs w:val="22"/>
          <w:color w:val="auto"/>
        </w:rPr>
      </w:pPr>
    </w:p>
    <w:p>
      <w:pPr>
        <w:ind w:left="660" w:right="220" w:hanging="652"/>
        <w:spacing w:after="0" w:line="256"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this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700" w:hanging="652"/>
        <w:spacing w:after="0" w:line="269"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40" w:hanging="652"/>
        <w:spacing w:after="0" w:line="350"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Board of Directors on June 18, 2014.</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820" w:right="819"/>
        <w:spacing w:after="0" w:line="408" w:lineRule="auto"/>
        <w:rPr>
          <w:sz w:val="20"/>
          <w:szCs w:val="20"/>
          <w:color w:val="auto"/>
        </w:rPr>
      </w:pPr>
      <w:r>
        <w:rPr>
          <w:rFonts w:ascii="Arial" w:cs="Arial" w:eastAsia="Arial" w:hAnsi="Arial"/>
          <w:sz w:val="36"/>
          <w:szCs w:val="36"/>
          <w:b w:val="1"/>
          <w:bCs w:val="1"/>
          <w:color w:val="auto"/>
        </w:rPr>
        <w:t>OFFICERS LONG-TERM INCENTIVE PLAN FISCAL THREE-YEAR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2015, 2016 and 2017</w:t>
      </w:r>
    </w:p>
    <w:p>
      <w:pPr>
        <w:sectPr>
          <w:pgSz w:w="11900" w:h="16838" w:orient="portrait"/>
          <w:cols w:equalWidth="0" w:num="1">
            <w:col w:w="9019"/>
          </w:cols>
          <w:pgMar w:left="1440" w:top="1440" w:right="1440" w:bottom="1440" w:gutter="0" w:footer="0" w:header="0"/>
        </w:sectPr>
      </w:pPr>
    </w:p>
    <w:bookmarkStart w:id="10" w:name="page11"/>
    <w:bookmarkEnd w:id="10"/>
    <w:p>
      <w:pPr>
        <w:jc w:val="center"/>
        <w:ind w:right="-51"/>
        <w:spacing w:after="0"/>
        <w:rPr>
          <w:sz w:val="20"/>
          <w:szCs w:val="20"/>
          <w:color w:val="auto"/>
        </w:rPr>
      </w:pPr>
      <w:r>
        <w:rPr>
          <w:rFonts w:ascii="Arial" w:cs="Arial" w:eastAsia="Arial" w:hAnsi="Arial"/>
          <w:sz w:val="25"/>
          <w:szCs w:val="25"/>
          <w:b w:val="1"/>
          <w:bCs w:val="1"/>
          <w:color w:val="auto"/>
        </w:rPr>
        <w:t>WINNEBAGO INDUSTRIES, INC.</w:t>
      </w:r>
    </w:p>
    <w:p>
      <w:pPr>
        <w:spacing w:after="0" w:line="226"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OFFICERS LONG-TERM INCENTIVE PLAN</w:t>
      </w:r>
    </w:p>
    <w:p>
      <w:pPr>
        <w:spacing w:after="0" w:line="226"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Fiscal Three-Year Period 2015, 2016 and 2017</w:t>
      </w:r>
    </w:p>
    <w:p>
      <w:pPr>
        <w:spacing w:after="0" w:line="235" w:lineRule="exact"/>
        <w:rPr>
          <w:sz w:val="20"/>
          <w:szCs w:val="20"/>
          <w:color w:val="auto"/>
        </w:rPr>
      </w:pPr>
    </w:p>
    <w:p>
      <w:pPr>
        <w:ind w:left="652" w:right="140" w:hanging="652"/>
        <w:spacing w:after="0" w:line="252" w:lineRule="auto"/>
        <w:tabs>
          <w:tab w:leader="none" w:pos="652"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20" w:hanging="644"/>
        <w:spacing w:after="0" w:line="298" w:lineRule="auto"/>
        <w:tabs>
          <w:tab w:leader="none" w:pos="1292" w:val="left"/>
        </w:tabs>
        <w:numPr>
          <w:ilvl w:val="1"/>
          <w:numId w:val="8"/>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color w:val="auto"/>
        </w:rPr>
        <w:t>. 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40" w:hanging="644"/>
        <w:spacing w:after="0" w:line="267" w:lineRule="auto"/>
        <w:tabs>
          <w:tab w:leader="none" w:pos="1292" w:val="left"/>
        </w:tabs>
        <w:numPr>
          <w:ilvl w:val="1"/>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40" w:hanging="644"/>
        <w:spacing w:after="0" w:line="252" w:lineRule="auto"/>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100" w:hanging="644"/>
        <w:spacing w:after="0" w:line="293" w:lineRule="auto"/>
        <w:tabs>
          <w:tab w:leader="none" w:pos="1292" w:val="left"/>
        </w:tabs>
        <w:numPr>
          <w:ilvl w:val="1"/>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Approval</w:t>
      </w:r>
      <w:r>
        <w:rPr>
          <w:rFonts w:ascii="Arial" w:cs="Arial" w:eastAsia="Arial" w:hAnsi="Arial"/>
          <w:sz w:val="21"/>
          <w:szCs w:val="21"/>
          <w:color w:val="auto"/>
        </w:rPr>
        <w:t>. The Board must approve the Plan, without metrics, prior to the beginning of each new three (3)</w:t>
      </w:r>
      <w:r>
        <w:rPr>
          <w:rFonts w:ascii="Arial" w:cs="Arial" w:eastAsia="Arial" w:hAnsi="Arial"/>
          <w:sz w:val="21"/>
          <w:szCs w:val="21"/>
          <w:b w:val="1"/>
          <w:bCs w:val="1"/>
          <w:color w:val="auto"/>
        </w:rPr>
        <w:t xml:space="preserve"> </w:t>
      </w:r>
      <w:r>
        <w:rPr>
          <w:rFonts w:ascii="Arial" w:cs="Arial" w:eastAsia="Arial" w:hAnsi="Arial"/>
          <w:sz w:val="21"/>
          <w:szCs w:val="21"/>
          <w:color w:val="auto"/>
        </w:rPr>
        <w:t>fiscal year period. Each year a new plan will be established for a new three (3) fiscal year period.</w:t>
      </w:r>
    </w:p>
    <w:p>
      <w:pPr>
        <w:spacing w:after="0" w:line="139" w:lineRule="exact"/>
        <w:rPr>
          <w:rFonts w:ascii="Arial" w:cs="Arial" w:eastAsia="Arial" w:hAnsi="Arial"/>
          <w:sz w:val="21"/>
          <w:szCs w:val="21"/>
          <w:color w:val="auto"/>
        </w:rPr>
      </w:pPr>
    </w:p>
    <w:p>
      <w:pPr>
        <w:ind w:left="652" w:hanging="652"/>
        <w:spacing w:after="0"/>
        <w:tabs>
          <w:tab w:leader="none" w:pos="652"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8"/>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Committee will approve all initial participation prior to the beginning of each new three (3) fiscal year period.</w:t>
      </w:r>
    </w:p>
    <w:p>
      <w:pPr>
        <w:spacing w:after="0" w:line="200" w:lineRule="exact"/>
        <w:rPr>
          <w:sz w:val="20"/>
          <w:szCs w:val="20"/>
          <w:color w:val="auto"/>
        </w:rPr>
      </w:pPr>
    </w:p>
    <w:p>
      <w:pPr>
        <w:spacing w:after="0" w:line="29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52"/>
          </w:cols>
          <w:pgMar w:left="248" w:top="1089" w:right="299" w:bottom="1440" w:gutter="0" w:footer="0" w:header="0"/>
        </w:sectPr>
      </w:pPr>
    </w:p>
    <w:bookmarkStart w:id="11" w:name="page12"/>
    <w:bookmarkEnd w:id="11"/>
    <w:p>
      <w:pPr>
        <w:ind w:left="1292" w:right="380" w:hanging="644"/>
        <w:spacing w:after="0" w:line="253"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year period to be eligible for any incentive award.</w:t>
      </w:r>
    </w:p>
    <w:p>
      <w:pPr>
        <w:spacing w:after="0" w:line="179" w:lineRule="exact"/>
        <w:rPr>
          <w:rFonts w:ascii="Arial" w:cs="Arial" w:eastAsia="Arial" w:hAnsi="Arial"/>
          <w:sz w:val="22"/>
          <w:szCs w:val="22"/>
          <w:color w:val="auto"/>
        </w:rPr>
      </w:pPr>
    </w:p>
    <w:p>
      <w:pPr>
        <w:ind w:left="652" w:right="60" w:hanging="652"/>
        <w:spacing w:after="0" w:line="274" w:lineRule="auto"/>
        <w:tabs>
          <w:tab w:leader="none" w:pos="652"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Nature of the Plan</w:t>
      </w:r>
      <w:r>
        <w:rPr>
          <w:rFonts w:ascii="Arial" w:cs="Arial" w:eastAsia="Arial" w:hAnsi="Arial"/>
          <w:sz w:val="21"/>
          <w:szCs w:val="21"/>
          <w:color w:val="auto"/>
        </w:rPr>
        <w:t>. The long-term incentive award is based upon financial performance of the Company. The Plan is a</w:t>
      </w:r>
      <w:r>
        <w:rPr>
          <w:rFonts w:ascii="Arial" w:cs="Arial" w:eastAsia="Arial" w:hAnsi="Arial"/>
          <w:sz w:val="21"/>
          <w:szCs w:val="21"/>
          <w:b w:val="1"/>
          <w:bCs w:val="1"/>
          <w:color w:val="auto"/>
        </w:rPr>
        <w:t xml:space="preserve"> </w:t>
      </w:r>
      <w:r>
        <w:rPr>
          <w:rFonts w:ascii="Arial" w:cs="Arial" w:eastAsia="Arial" w:hAnsi="Arial"/>
          <w:sz w:val="21"/>
          <w:szCs w:val="21"/>
          <w:color w:val="auto"/>
        </w:rPr>
        <w:t>three (3) fiscal year program that provides for an opportunity for an incentive award based on the achievement of long-term financial performance results as measured at the end of the three (3) fiscal year period.</w:t>
      </w:r>
    </w:p>
    <w:p>
      <w:pPr>
        <w:spacing w:after="0" w:line="164" w:lineRule="exact"/>
        <w:rPr>
          <w:rFonts w:ascii="Arial" w:cs="Arial" w:eastAsia="Arial" w:hAnsi="Arial"/>
          <w:sz w:val="21"/>
          <w:szCs w:val="21"/>
          <w:color w:val="auto"/>
        </w:rPr>
      </w:pPr>
    </w:p>
    <w:p>
      <w:pPr>
        <w:ind w:left="652" w:right="40"/>
        <w:spacing w:after="0" w:line="259" w:lineRule="auto"/>
        <w:rPr>
          <w:rFonts w:ascii="Arial" w:cs="Arial" w:eastAsia="Arial" w:hAnsi="Arial"/>
          <w:sz w:val="21"/>
          <w:szCs w:val="21"/>
          <w:color w:val="auto"/>
        </w:rPr>
      </w:pPr>
      <w:r>
        <w:rPr>
          <w:rFonts w:ascii="Arial" w:cs="Arial" w:eastAsia="Arial" w:hAnsi="Arial"/>
          <w:sz w:val="21"/>
          <w:szCs w:val="21"/>
          <w:color w:val="auto"/>
        </w:rPr>
        <w:t>The performance measurements for this Plan will be based upon one or more pre-established financial and strategic criteria. These financial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first fiscal year in which the Plan is established.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Stock Plan.</w:t>
      </w:r>
    </w:p>
    <w:p>
      <w:pPr>
        <w:spacing w:after="0" w:line="178" w:lineRule="exact"/>
        <w:rPr>
          <w:rFonts w:ascii="Arial" w:cs="Arial" w:eastAsia="Arial" w:hAnsi="Arial"/>
          <w:sz w:val="21"/>
          <w:szCs w:val="21"/>
          <w:color w:val="auto"/>
        </w:rPr>
      </w:pPr>
    </w:p>
    <w:p>
      <w:pPr>
        <w:ind w:left="652" w:hanging="652"/>
        <w:spacing w:after="0" w:line="298" w:lineRule="auto"/>
        <w:tabs>
          <w:tab w:leader="none" w:pos="652"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long-term incentive award will be a stock grant made in restricted shares of the common stock of</w:t>
      </w:r>
      <w:r>
        <w:rPr>
          <w:rFonts w:ascii="Arial" w:cs="Arial" w:eastAsia="Arial" w:hAnsi="Arial"/>
          <w:sz w:val="19"/>
          <w:szCs w:val="19"/>
          <w:b w:val="1"/>
          <w:bCs w:val="1"/>
          <w:color w:val="auto"/>
        </w:rPr>
        <w:t xml:space="preserve"> </w:t>
      </w:r>
      <w:r>
        <w:rPr>
          <w:rFonts w:ascii="Arial" w:cs="Arial" w:eastAsia="Arial" w:hAnsi="Arial"/>
          <w:sz w:val="19"/>
          <w:szCs w:val="19"/>
          <w:color w:val="auto"/>
        </w:rPr>
        <w:t>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three (3) fiscal year period will be used in identifying the Financial Factor to be used for that performance period when calculating the participants' long-term incentive awards.</w:t>
      </w:r>
    </w:p>
    <w:p>
      <w:pPr>
        <w:spacing w:after="0" w:line="148" w:lineRule="exact"/>
        <w:rPr>
          <w:rFonts w:ascii="Arial" w:cs="Arial" w:eastAsia="Arial" w:hAnsi="Arial"/>
          <w:sz w:val="19"/>
          <w:szCs w:val="19"/>
          <w:color w:val="auto"/>
        </w:rPr>
      </w:pPr>
    </w:p>
    <w:p>
      <w:pPr>
        <w:ind w:left="652" w:right="40"/>
        <w:spacing w:after="0" w:line="292" w:lineRule="auto"/>
        <w:rPr>
          <w:rFonts w:ascii="Arial" w:cs="Arial" w:eastAsia="Arial" w:hAnsi="Arial"/>
          <w:sz w:val="19"/>
          <w:szCs w:val="19"/>
          <w:color w:val="auto"/>
        </w:rPr>
      </w:pPr>
      <w:r>
        <w:rPr>
          <w:rFonts w:ascii="Arial" w:cs="Arial" w:eastAsia="Arial" w:hAnsi="Arial"/>
          <w:sz w:val="19"/>
          <w:szCs w:val="19"/>
          <w:color w:val="auto"/>
        </w:rPr>
        <w:t>The long-term incentive for the executive officers provides for an opportunity of 25% of the annualized base salary (Target) to be awarded in restricted stock at 100% (Target) achievement of the financial long-term objectives. The Committee delegates to the CEO the authority to establish the incentive (Target) opportunity for officers other than executive officers subject to the limitations set forth in this Plan. The annualized base salary figure used for the three (3) fiscal year period beginning Fiscal 2015 shall be the salary in place for each participant as of September 2014. The restricted stock opportunity (Target) will be adjusted up or down as determined by actual financial performance at the end of the three (3) year fiscal period expressed as a percentage (Financial Factor) of annualized based salary.</w:t>
      </w:r>
    </w:p>
    <w:p>
      <w:pPr>
        <w:spacing w:after="0" w:line="145" w:lineRule="exact"/>
        <w:rPr>
          <w:rFonts w:ascii="Arial" w:cs="Arial" w:eastAsia="Arial" w:hAnsi="Arial"/>
          <w:sz w:val="19"/>
          <w:szCs w:val="19"/>
          <w:color w:val="auto"/>
        </w:rPr>
      </w:pPr>
    </w:p>
    <w:p>
      <w:pPr>
        <w:ind w:left="652" w:right="60" w:hanging="652"/>
        <w:spacing w:after="0" w:line="259" w:lineRule="auto"/>
        <w:tabs>
          <w:tab w:leader="none" w:pos="652"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Restricted Stock</w:t>
      </w:r>
      <w:r>
        <w:rPr>
          <w:rFonts w:ascii="Arial" w:cs="Arial" w:eastAsia="Arial" w:hAnsi="Arial"/>
          <w:sz w:val="21"/>
          <w:szCs w:val="21"/>
          <w:color w:val="auto"/>
        </w:rPr>
        <w:t>. The earned incentive for the three year performance period will be awarded in the form of a grant made</w:t>
      </w:r>
      <w:r>
        <w:rPr>
          <w:rFonts w:ascii="Arial" w:cs="Arial" w:eastAsia="Arial" w:hAnsi="Arial"/>
          <w:sz w:val="21"/>
          <w:szCs w:val="21"/>
          <w:b w:val="1"/>
          <w:bCs w:val="1"/>
          <w:color w:val="auto"/>
        </w:rPr>
        <w:t xml:space="preserve"> </w:t>
      </w:r>
      <w:r>
        <w:rPr>
          <w:rFonts w:ascii="Arial" w:cs="Arial" w:eastAsia="Arial" w:hAnsi="Arial"/>
          <w:sz w:val="21"/>
          <w:szCs w:val="21"/>
          <w:color w:val="auto"/>
        </w:rPr>
        <w:t>in restricted shares of common stock to encourage stock ownership and promote the long-term growth and profitability of Winnebago Industries, Inc. The restricted stock grant shall be awarded as soon as practical after the final measurement of the financial criteria has been approved by the Committee in October following the end of the three (3) fiscal year period, but in no event later than 2 ½ months after the end of the fiscal year.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591" w:right="259" w:bottom="1440" w:gutter="0" w:footer="0" w:header="0"/>
        </w:sectPr>
      </w:pPr>
    </w:p>
    <w:bookmarkStart w:id="12" w:name="page13"/>
    <w:bookmarkEnd w:id="12"/>
    <w:p>
      <w:pPr>
        <w:ind w:left="660" w:hanging="652"/>
        <w:spacing w:after="0" w:line="293"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the Company undergoes a “Change in Control” as defined in the Stock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prior to the effective date of the Change in Control (the “Effective Date”), make a good faith estimate with respect to the achievement of the financial performance through the end of the Plan three (3) fiscal year period. In making such estimate, the Committee may compare the achievement of the financial performance against the forecast through the three (3) fiscal year period and may consider such other factors as it deems appropriate. The Committee shall exclude from any such estimate any and all costs and expenses arising out of or in connection with the Change in Control. Based on such estimate, the Committee shall make a non-prorated (full) award within 15 days after the Effective date to all participants.</w:t>
      </w:r>
    </w:p>
    <w:p>
      <w:pPr>
        <w:spacing w:after="0" w:line="145" w:lineRule="exact"/>
        <w:rPr>
          <w:rFonts w:ascii="Arial" w:cs="Arial" w:eastAsia="Arial" w:hAnsi="Arial"/>
          <w:sz w:val="19"/>
          <w:szCs w:val="19"/>
          <w:color w:val="auto"/>
        </w:rPr>
      </w:pPr>
    </w:p>
    <w:p>
      <w:pPr>
        <w:ind w:left="660" w:right="200" w:hanging="652"/>
        <w:spacing w:after="0" w:line="256"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this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680" w:hanging="652"/>
        <w:spacing w:after="0" w:line="269"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20" w:hanging="652"/>
        <w:spacing w:after="0" w:line="350"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Board of Directors on June 18,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58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5"/>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3"/>
    </w:lvl>
  </w:abstractNum>
  <w:abstractNum w:abstractNumId="9">
    <w:nsid w:val="216231B"/>
    <w:multiLevelType w:val="hybridMultilevel"/>
    <w:lvl w:ilvl="0">
      <w:lvlJc w:val="left"/>
      <w:lvlText w:val="%1."/>
      <w:numFmt w:val="decimal"/>
      <w:start w:val="4"/>
    </w:lvl>
    <w:lvl w:ilvl="1">
      <w:lvlJc w:val="left"/>
      <w:lvlText w:val="%2"/>
      <w:numFmt w:val="lowerLetter"/>
      <w:start w:val="1"/>
    </w:lvl>
  </w:abstractNum>
  <w:abstractNum w:abstractNumId="10">
    <w:nsid w:val="1F16E9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2019-12-05T15:41:16Z</dcterms:created>
  <dcterms:modified xsi:type="dcterms:W3CDTF">2019-12-05T15:41:16Z</dcterms:modified>
</cp:coreProperties>
</file>