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73"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8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7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December 20,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134620</wp:posOffset>
            </wp:positionV>
            <wp:extent cx="2924175"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24175"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200" w:lineRule="exact"/>
        <w:rPr>
          <w:sz w:val="24"/>
          <w:szCs w:val="24"/>
          <w:color w:val="auto"/>
        </w:rPr>
      </w:pPr>
    </w:p>
    <w:p>
      <w:pPr>
        <w:spacing w:after="0" w:line="246" w:lineRule="exact"/>
        <w:rPr>
          <w:sz w:val="24"/>
          <w:szCs w:val="24"/>
          <w:color w:val="auto"/>
        </w:rPr>
      </w:pPr>
    </w:p>
    <w:tbl>
      <w:tblPr>
        <w:tblLayout w:type="fixed"/>
        <w:tblInd w:w="1120" w:type="dxa"/>
        <w:tblCellMar>
          <w:top w:w="0" w:type="dxa"/>
          <w:left w:w="0" w:type="dxa"/>
          <w:bottom w:w="0" w:type="dxa"/>
          <w:right w:w="0" w:type="dxa"/>
        </w:tblCellMar>
      </w:tblPr>
      <w:tr>
        <w:trPr>
          <w:trHeight w:val="232"/>
        </w:trPr>
        <w:tc>
          <w:tcPr>
            <w:tcW w:w="1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12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001-06403</w:t>
            </w:r>
          </w:p>
        </w:tc>
        <w:tc>
          <w:tcPr>
            <w:tcW w:w="2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1259"/>
              <w:spacing w:after="0"/>
              <w:rPr>
                <w:sz w:val="20"/>
                <w:szCs w:val="20"/>
                <w:color w:val="auto"/>
              </w:rPr>
            </w:pPr>
            <w:r>
              <w:rPr>
                <w:rFonts w:ascii="Arial" w:cs="Arial" w:eastAsia="Arial" w:hAnsi="Arial"/>
                <w:sz w:val="16"/>
                <w:szCs w:val="16"/>
                <w:b w:val="1"/>
                <w:bCs w:val="1"/>
                <w:color w:val="auto"/>
              </w:rPr>
              <w:t>42-0802678</w:t>
            </w:r>
          </w:p>
        </w:tc>
      </w:tr>
      <w:tr>
        <w:trPr>
          <w:trHeight w:val="195"/>
        </w:trPr>
        <w:tc>
          <w:tcPr>
            <w:tcW w:w="404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color w:val="auto"/>
              </w:rPr>
              <w:t>(Commission File</w:t>
            </w:r>
          </w:p>
        </w:tc>
        <w:tc>
          <w:tcPr>
            <w:tcW w:w="3260" w:type="dxa"/>
            <w:vAlign w:val="bottom"/>
          </w:tcPr>
          <w:p>
            <w:pPr>
              <w:jc w:val="center"/>
              <w:ind w:right="179"/>
              <w:spacing w:after="0"/>
              <w:rPr>
                <w:sz w:val="20"/>
                <w:szCs w:val="20"/>
                <w:color w:val="auto"/>
              </w:rPr>
            </w:pPr>
            <w:r>
              <w:rPr>
                <w:rFonts w:ascii="Arial" w:cs="Arial" w:eastAsia="Arial" w:hAnsi="Arial"/>
                <w:sz w:val="16"/>
                <w:szCs w:val="16"/>
                <w:color w:val="auto"/>
              </w:rPr>
              <w:t>(IRS Employer Identification No.)</w:t>
            </w:r>
          </w:p>
        </w:tc>
      </w:tr>
      <w:tr>
        <w:trPr>
          <w:trHeight w:val="219"/>
        </w:trPr>
        <w:tc>
          <w:tcPr>
            <w:tcW w:w="13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00" w:type="dxa"/>
            <w:vAlign w:val="bottom"/>
            <w:gridSpan w:val="2"/>
          </w:tcPr>
          <w:p>
            <w:pPr>
              <w:jc w:val="center"/>
              <w:ind w:right="260"/>
              <w:spacing w:after="0"/>
              <w:rPr>
                <w:sz w:val="20"/>
                <w:szCs w:val="20"/>
                <w:color w:val="auto"/>
              </w:rPr>
            </w:pPr>
            <w:r>
              <w:rPr>
                <w:rFonts w:ascii="Arial" w:cs="Arial" w:eastAsia="Arial" w:hAnsi="Arial"/>
                <w:sz w:val="16"/>
                <w:szCs w:val="16"/>
                <w:color w:val="auto"/>
              </w:rPr>
              <w:t>Number)</w:t>
            </w:r>
          </w:p>
        </w:tc>
        <w:tc>
          <w:tcPr>
            <w:tcW w:w="3260" w:type="dxa"/>
            <w:vAlign w:val="bottom"/>
          </w:tcPr>
          <w:p>
            <w:pPr>
              <w:spacing w:after="0"/>
              <w:rPr>
                <w:sz w:val="19"/>
                <w:szCs w:val="19"/>
                <w:color w:val="auto"/>
              </w:rPr>
            </w:pPr>
          </w:p>
        </w:tc>
      </w:tr>
      <w:tr>
        <w:trPr>
          <w:trHeight w:val="525"/>
        </w:trPr>
        <w:tc>
          <w:tcPr>
            <w:tcW w:w="13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P.O. Box 152</w:t>
            </w: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Forest City</w:t>
            </w:r>
          </w:p>
        </w:tc>
        <w:tc>
          <w:tcPr>
            <w:tcW w:w="122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Iowa</w:t>
            </w:r>
          </w:p>
        </w:tc>
        <w:tc>
          <w:tcPr>
            <w:tcW w:w="16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jc w:val="right"/>
              <w:ind w:right="1459"/>
              <w:spacing w:after="0"/>
              <w:rPr>
                <w:sz w:val="20"/>
                <w:szCs w:val="20"/>
                <w:color w:val="auto"/>
              </w:rPr>
            </w:pPr>
            <w:r>
              <w:rPr>
                <w:rFonts w:ascii="Arial" w:cs="Arial" w:eastAsia="Arial" w:hAnsi="Arial"/>
                <w:sz w:val="16"/>
                <w:szCs w:val="16"/>
                <w:b w:val="1"/>
                <w:bCs w:val="1"/>
                <w:color w:val="auto"/>
              </w:rPr>
              <w:t>50436</w:t>
            </w:r>
          </w:p>
        </w:tc>
      </w:tr>
      <w:tr>
        <w:trPr>
          <w:trHeight w:val="225"/>
        </w:trPr>
        <w:tc>
          <w:tcPr>
            <w:tcW w:w="4040" w:type="dxa"/>
            <w:vAlign w:val="bottom"/>
            <w:gridSpan w:val="3"/>
          </w:tcPr>
          <w:p>
            <w:pPr>
              <w:jc w:val="center"/>
              <w:spacing w:after="0"/>
              <w:rPr>
                <w:sz w:val="20"/>
                <w:szCs w:val="20"/>
                <w:color w:val="auto"/>
              </w:rPr>
            </w:pPr>
            <w:r>
              <w:rPr>
                <w:rFonts w:ascii="Arial" w:cs="Arial" w:eastAsia="Arial" w:hAnsi="Arial"/>
                <w:sz w:val="16"/>
                <w:szCs w:val="16"/>
                <w:color w:val="auto"/>
              </w:rPr>
              <w:t>(Address of Principal Executive Offices)</w:t>
            </w:r>
          </w:p>
        </w:tc>
        <w:tc>
          <w:tcPr>
            <w:tcW w:w="1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60" w:type="dxa"/>
            <w:vAlign w:val="bottom"/>
          </w:tcPr>
          <w:p>
            <w:pPr>
              <w:jc w:val="center"/>
              <w:ind w:right="179"/>
              <w:spacing w:after="0"/>
              <w:rPr>
                <w:sz w:val="20"/>
                <w:szCs w:val="20"/>
                <w:color w:val="auto"/>
              </w:rPr>
            </w:pPr>
            <w:r>
              <w:rPr>
                <w:rFonts w:ascii="Arial" w:cs="Arial" w:eastAsia="Arial" w:hAnsi="Arial"/>
                <w:sz w:val="16"/>
                <w:szCs w:val="16"/>
                <w:color w:val="auto"/>
              </w:rPr>
              <w:t>(Zip Code)</w:t>
            </w:r>
          </w:p>
        </w:tc>
      </w:tr>
      <w:tr>
        <w:trPr>
          <w:trHeight w:val="443"/>
        </w:trPr>
        <w:tc>
          <w:tcPr>
            <w:tcW w:w="1300" w:type="dxa"/>
            <w:vAlign w:val="bottom"/>
          </w:tcPr>
          <w:p>
            <w:pPr>
              <w:spacing w:after="0"/>
              <w:rPr>
                <w:sz w:val="24"/>
                <w:szCs w:val="24"/>
                <w:color w:val="auto"/>
              </w:rPr>
            </w:pPr>
          </w:p>
        </w:tc>
        <w:tc>
          <w:tcPr>
            <w:tcW w:w="4640" w:type="dxa"/>
            <w:vAlign w:val="bottom"/>
            <w:gridSpan w:val="4"/>
          </w:tcPr>
          <w:p>
            <w:pPr>
              <w:ind w:left="880"/>
              <w:spacing w:after="0"/>
              <w:rPr>
                <w:sz w:val="20"/>
                <w:szCs w:val="20"/>
                <w:color w:val="auto"/>
              </w:rPr>
            </w:pPr>
            <w:r>
              <w:rPr>
                <w:rFonts w:ascii="Arial" w:cs="Arial" w:eastAsia="Arial" w:hAnsi="Arial"/>
                <w:sz w:val="16"/>
                <w:szCs w:val="16"/>
                <w:color w:val="auto"/>
              </w:rPr>
              <w:t>Registrant's telephone number, including area code</w:t>
            </w:r>
          </w:p>
        </w:tc>
        <w:tc>
          <w:tcPr>
            <w:tcW w:w="3260" w:type="dxa"/>
            <w:vAlign w:val="bottom"/>
          </w:tcPr>
          <w:p>
            <w:pPr>
              <w:jc w:val="right"/>
              <w:ind w:right="2099"/>
              <w:spacing w:after="0"/>
              <w:rPr>
                <w:sz w:val="20"/>
                <w:szCs w:val="20"/>
                <w:color w:val="auto"/>
              </w:rPr>
            </w:pPr>
            <w:r>
              <w:rPr>
                <w:rFonts w:ascii="Arial" w:cs="Arial" w:eastAsia="Arial" w:hAnsi="Arial"/>
                <w:sz w:val="16"/>
                <w:szCs w:val="16"/>
                <w:b w:val="1"/>
                <w:bCs w:val="1"/>
                <w:color w:val="auto"/>
              </w:rPr>
              <w:t>641-585-3535</w:t>
            </w:r>
          </w:p>
        </w:tc>
      </w:tr>
      <w:tr>
        <w:trPr>
          <w:trHeight w:val="189"/>
        </w:trPr>
        <w:tc>
          <w:tcPr>
            <w:tcW w:w="1300" w:type="dxa"/>
            <w:vAlign w:val="bottom"/>
          </w:tcPr>
          <w:p>
            <w:pPr>
              <w:spacing w:after="0"/>
              <w:rPr>
                <w:sz w:val="16"/>
                <w:szCs w:val="16"/>
                <w:color w:val="auto"/>
              </w:rPr>
            </w:pPr>
          </w:p>
        </w:tc>
        <w:tc>
          <w:tcPr>
            <w:tcW w:w="7900" w:type="dxa"/>
            <w:vAlign w:val="bottom"/>
            <w:gridSpan w:val="5"/>
          </w:tcPr>
          <w:p>
            <w:pPr>
              <w:jc w:val="right"/>
              <w:ind w:right="1379"/>
              <w:spacing w:after="0"/>
              <w:rPr>
                <w:sz w:val="20"/>
                <w:szCs w:val="20"/>
                <w:color w:val="auto"/>
              </w:rPr>
            </w:pPr>
            <w:r>
              <w:rPr>
                <w:rFonts w:ascii="Arial" w:cs="Arial" w:eastAsia="Arial" w:hAnsi="Arial"/>
                <w:sz w:val="16"/>
                <w:szCs w:val="16"/>
                <w:color w:val="auto"/>
              </w:rPr>
              <w:t>______________________________________________________________________</w:t>
            </w:r>
          </w:p>
        </w:tc>
      </w:tr>
      <w:tr>
        <w:trPr>
          <w:trHeight w:val="219"/>
        </w:trPr>
        <w:tc>
          <w:tcPr>
            <w:tcW w:w="1300" w:type="dxa"/>
            <w:vAlign w:val="bottom"/>
          </w:tcPr>
          <w:p>
            <w:pPr>
              <w:spacing w:after="0"/>
              <w:rPr>
                <w:sz w:val="19"/>
                <w:szCs w:val="19"/>
                <w:color w:val="auto"/>
              </w:rPr>
            </w:pPr>
          </w:p>
        </w:tc>
        <w:tc>
          <w:tcPr>
            <w:tcW w:w="7900" w:type="dxa"/>
            <w:vAlign w:val="bottom"/>
            <w:gridSpan w:val="5"/>
          </w:tcPr>
          <w:p>
            <w:pPr>
              <w:ind w:left="900"/>
              <w:spacing w:after="0"/>
              <w:rPr>
                <w:sz w:val="20"/>
                <w:szCs w:val="20"/>
                <w:color w:val="auto"/>
              </w:rPr>
            </w:pPr>
            <w:r>
              <w:rPr>
                <w:rFonts w:ascii="Arial" w:cs="Arial" w:eastAsia="Arial" w:hAnsi="Arial"/>
                <w:sz w:val="16"/>
                <w:szCs w:val="16"/>
                <w:color w:val="auto"/>
              </w:rPr>
              <w:t>(Former Name or Former Address, if Changed Since Last Report.)</w:t>
            </w:r>
          </w:p>
        </w:tc>
      </w:tr>
    </w:tbl>
    <w:p>
      <w:pPr>
        <w:spacing w:after="0" w:line="159" w:lineRule="exact"/>
        <w:rPr>
          <w:sz w:val="24"/>
          <w:szCs w:val="24"/>
          <w:color w:val="auto"/>
        </w:rPr>
      </w:pPr>
    </w:p>
    <w:p>
      <w:pPr>
        <w:ind w:right="20"/>
        <w:spacing w:after="0" w:line="291"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1"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right="3060" w:firstLine="8"/>
        <w:spacing w:after="0" w:line="469" w:lineRule="auto"/>
        <w:tabs>
          <w:tab w:leader="none" w:pos="374"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9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37"/>
        </w:trPr>
        <w:tc>
          <w:tcPr>
            <w:tcW w:w="49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171" w:lineRule="exact"/>
        <w:rPr>
          <w:sz w:val="24"/>
          <w:szCs w:val="24"/>
          <w:color w:val="auto"/>
        </w:rPr>
      </w:pPr>
    </w:p>
    <w:p>
      <w:pPr>
        <w:ind w:right="200"/>
        <w:spacing w:after="0" w:line="257"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Exchange Act of 1934 (§240.12b-2 of this chapter).</w:t>
      </w:r>
    </w:p>
    <w:p>
      <w:pPr>
        <w:ind w:left="6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91" w:lineRule="exact"/>
        <w:rPr>
          <w:sz w:val="24"/>
          <w:szCs w:val="24"/>
          <w:color w:val="auto"/>
        </w:rPr>
      </w:pPr>
    </w:p>
    <w:p>
      <w:pPr>
        <w:ind w:right="320"/>
        <w:spacing w:after="0" w:line="22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440"/>
          </w:cols>
          <w:pgMar w:left="240" w:top="630" w:right="2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96"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December 20, 2019, Winnebago Industries, Inc. issued a press release to report financial results for the first quarter of Fiscal 2020 ended November 30, 2019. A copy of the press release is attached as Exhibit 99.1 and is incorporated by reference herein.</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first quarter of Fiscal 2020.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(d) Exhibits</w:t>
      </w:r>
    </w:p>
    <w:p>
      <w:pPr>
        <w:spacing w:after="0" w:line="179" w:lineRule="exact"/>
        <w:rPr>
          <w:sz w:val="20"/>
          <w:szCs w:val="20"/>
          <w:color w:val="auto"/>
        </w:rPr>
      </w:pPr>
    </w:p>
    <w:p>
      <w:pPr>
        <w:ind w:left="380"/>
        <w:spacing w:after="0"/>
        <w:rPr>
          <w:sz w:val="20"/>
          <w:szCs w:val="20"/>
          <w:color w:val="auto"/>
        </w:rPr>
      </w:pPr>
      <w:r>
        <w:rPr>
          <w:rFonts w:ascii="Arial" w:cs="Arial" w:eastAsia="Arial" w:hAnsi="Arial"/>
          <w:sz w:val="16"/>
          <w:szCs w:val="16"/>
          <w:b w:val="1"/>
          <w:bCs w:val="1"/>
          <w:color w:val="auto"/>
        </w:rPr>
        <w:t>Exhibit</w:t>
      </w:r>
    </w:p>
    <w:p>
      <w:pPr>
        <w:spacing w:after="0" w:line="2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6"/>
          <w:szCs w:val="16"/>
          <w:b w:val="1"/>
          <w:bCs w:val="1"/>
          <w:color w:val="auto"/>
        </w:rPr>
        <w:t>Number</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19050</wp:posOffset>
            </wp:positionV>
            <wp:extent cx="7023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3735" cy="8890"/>
                    </a:xfrm>
                    <a:prstGeom prst="rect">
                      <a:avLst/>
                    </a:prstGeom>
                    <a:noFill/>
                  </pic:spPr>
                </pic:pic>
              </a:graphicData>
            </a:graphic>
          </wp:anchor>
        </w:drawing>
      </w:r>
    </w:p>
    <w:p>
      <w:pPr>
        <w:spacing w:after="0" w:line="46" w:lineRule="exact"/>
        <w:rPr>
          <w:sz w:val="20"/>
          <w:szCs w:val="20"/>
          <w:color w:val="auto"/>
        </w:rPr>
      </w:pPr>
    </w:p>
    <w:p>
      <w:pPr>
        <w:ind w:left="380"/>
        <w:spacing w:after="0"/>
        <w:tabs>
          <w:tab w:leader="none" w:pos="1400" w:val="left"/>
        </w:tabs>
        <w:rPr>
          <w:rFonts w:ascii="Arial" w:cs="Arial" w:eastAsia="Arial" w:hAnsi="Arial"/>
          <w:sz w:val="16"/>
          <w:szCs w:val="16"/>
          <w:u w:val="single" w:color="auto"/>
          <w:color w:val="0000FF"/>
        </w:rPr>
      </w:pPr>
      <w:hyperlink w:anchor="page4">
        <w:r>
          <w:rPr>
            <w:rFonts w:ascii="Arial" w:cs="Arial" w:eastAsia="Arial" w:hAnsi="Arial"/>
            <w:sz w:val="16"/>
            <w:szCs w:val="16"/>
            <w:u w:val="single" w:color="auto"/>
            <w:color w:val="0000FF"/>
          </w:rPr>
          <w:t>99.1</w:t>
        </w:r>
      </w:hyperlink>
      <w:r>
        <w:rPr>
          <w:rFonts w:ascii="Arial" w:cs="Arial" w:eastAsia="Arial" w:hAnsi="Arial"/>
          <w:sz w:val="16"/>
          <w:szCs w:val="16"/>
          <w:u w:val="single" w:color="auto"/>
          <w:color w:val="0000FF"/>
        </w:rPr>
        <w:tab/>
      </w:r>
      <w:hyperlink w:anchor="page4">
        <w:r>
          <w:rPr>
            <w:rFonts w:ascii="Arial" w:cs="Arial" w:eastAsia="Arial" w:hAnsi="Arial"/>
            <w:sz w:val="16"/>
            <w:szCs w:val="16"/>
            <w:u w:val="single" w:color="auto"/>
            <w:color w:val="0000FF"/>
          </w:rPr>
          <w:t>Press Release of Winnebago Industries, Inc. dated December 20, 2019</w:t>
        </w:r>
      </w:hyperlink>
    </w:p>
    <w:p>
      <w:pPr>
        <w:sectPr>
          <w:pgSz w:w="11900" w:h="16838" w:orient="portrait"/>
          <w:cols w:equalWidth="0" w:num="1">
            <w:col w:w="11160"/>
          </w:cols>
          <w:pgMar w:left="240" w:top="525" w:right="4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SIGNATURE</w:t>
      </w:r>
    </w:p>
    <w:p>
      <w:pPr>
        <w:spacing w:after="0" w:line="16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94"/>
        </w:trPr>
        <w:tc>
          <w:tcPr>
            <w:tcW w:w="6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500" w:type="dxa"/>
            <w:vAlign w:val="bottom"/>
            <w:gridSpan w:val="2"/>
          </w:tcPr>
          <w:p>
            <w:pPr>
              <w:ind w:left="10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r>
      <w:tr>
        <w:trPr>
          <w:trHeight w:val="558"/>
        </w:trPr>
        <w:tc>
          <w:tcPr>
            <w:tcW w:w="600" w:type="dxa"/>
            <w:vAlign w:val="bottom"/>
          </w:tcPr>
          <w:p>
            <w:pPr>
              <w:spacing w:after="0"/>
              <w:rPr>
                <w:sz w:val="20"/>
                <w:szCs w:val="20"/>
                <w:color w:val="auto"/>
              </w:rPr>
            </w:pPr>
            <w:r>
              <w:rPr>
                <w:rFonts w:ascii="Arial" w:cs="Arial" w:eastAsia="Arial" w:hAnsi="Arial"/>
                <w:sz w:val="16"/>
                <w:szCs w:val="16"/>
                <w:color w:val="auto"/>
              </w:rPr>
              <w:t>Date:</w:t>
            </w:r>
          </w:p>
        </w:tc>
        <w:tc>
          <w:tcPr>
            <w:tcW w:w="2680" w:type="dxa"/>
            <w:vAlign w:val="bottom"/>
          </w:tcPr>
          <w:p>
            <w:pPr>
              <w:ind w:left="200"/>
              <w:spacing w:after="0"/>
              <w:rPr>
                <w:sz w:val="20"/>
                <w:szCs w:val="20"/>
                <w:color w:val="auto"/>
              </w:rPr>
            </w:pPr>
            <w:r>
              <w:rPr>
                <w:rFonts w:ascii="Arial" w:cs="Arial" w:eastAsia="Arial" w:hAnsi="Arial"/>
                <w:sz w:val="16"/>
                <w:szCs w:val="16"/>
                <w:color w:val="auto"/>
              </w:rPr>
              <w:t>December 20, 2019</w:t>
            </w:r>
          </w:p>
        </w:tc>
        <w:tc>
          <w:tcPr>
            <w:tcW w:w="1840" w:type="dxa"/>
            <w:vAlign w:val="bottom"/>
          </w:tcPr>
          <w:p>
            <w:pPr>
              <w:ind w:left="10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r>
      <w:tr>
        <w:trPr>
          <w:trHeight w:val="241"/>
        </w:trPr>
        <w:tc>
          <w:tcPr>
            <w:tcW w:w="6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r>
      <w:tr>
        <w:trPr>
          <w:trHeight w:val="270"/>
        </w:trPr>
        <w:tc>
          <w:tcPr>
            <w:tcW w:w="6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1840" w:type="dxa"/>
            <w:vAlign w:val="bottom"/>
          </w:tcPr>
          <w:p>
            <w:pPr>
              <w:ind w:left="10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rPr>
                <w:sz w:val="20"/>
                <w:szCs w:val="20"/>
                <w:color w:val="auto"/>
              </w:rPr>
            </w:pPr>
            <w:r>
              <w:rPr>
                <w:rFonts w:ascii="Arial" w:cs="Arial" w:eastAsia="Arial" w:hAnsi="Arial"/>
                <w:sz w:val="16"/>
                <w:szCs w:val="16"/>
                <w:color w:val="auto"/>
              </w:rPr>
              <w:t>Vice President, Chief Financial Officer</w:t>
            </w:r>
          </w:p>
        </w:tc>
      </w:tr>
    </w:tbl>
    <w:p>
      <w:pPr>
        <w:sectPr>
          <w:pgSz w:w="11900" w:h="16838" w:orient="portrait"/>
          <w:cols w:equalWidth="0" w:num="1">
            <w:col w:w="11220"/>
          </w:cols>
          <w:pgMar w:left="240" w:top="51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16" w:lineRule="exact"/>
        <w:rPr>
          <w:sz w:val="20"/>
          <w:szCs w:val="20"/>
          <w:color w:val="auto"/>
        </w:rPr>
      </w:pPr>
    </w:p>
    <w:p>
      <w:pPr>
        <w:ind w:left="5460"/>
        <w:spacing w:after="0"/>
        <w:rPr>
          <w:sz w:val="20"/>
          <w:szCs w:val="20"/>
          <w:color w:val="auto"/>
        </w:rPr>
      </w:pPr>
      <w:r>
        <w:rPr>
          <w:rFonts w:ascii="Arial" w:cs="Arial" w:eastAsia="Arial" w:hAnsi="Arial"/>
          <w:sz w:val="63"/>
          <w:szCs w:val="63"/>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-374650</wp:posOffset>
            </wp:positionV>
            <wp:extent cx="2306955"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06955" cy="317500"/>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color w:val="auto"/>
        </w:rPr>
        <w:t>Contact: Steve Stuber - Investor Relations - 952-828-8461 - srstuber@wgo.net</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color w:val="auto"/>
        </w:rPr>
        <w:t>Media Contact: Sam Jefson - Public Relations Specialist - 641-585-6803 - sjefson@wgo.net</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WINNEBAGO INDUSTRIES ANNOUNCES FIRST QUARTER FISCAL 2020 RESULTS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Strong Sales Growth Continues to Outperform the RV Industry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Quarterly Revenues Increased 19%, including 12% Organic Growth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Reported Quarterly Diluted EPS of $0.44, Adjusted EPS of $0.73 Up 4.3% Over Prior Year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Strong Operating Cash Flow of $79.0 million, Up 46% Over Prior Year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Expanded Portfolio of Premier Brands With The Acquisition of Newmar --</w:t>
      </w:r>
    </w:p>
    <w:p>
      <w:pPr>
        <w:spacing w:after="0" w:line="237" w:lineRule="exact"/>
        <w:rPr>
          <w:sz w:val="20"/>
          <w:szCs w:val="20"/>
          <w:color w:val="auto"/>
        </w:rPr>
      </w:pPr>
    </w:p>
    <w:p>
      <w:pPr>
        <w:ind w:right="580"/>
        <w:spacing w:after="0" w:line="397" w:lineRule="auto"/>
        <w:rPr>
          <w:sz w:val="20"/>
          <w:szCs w:val="20"/>
          <w:color w:val="auto"/>
        </w:rPr>
      </w:pPr>
      <w:r>
        <w:rPr>
          <w:rFonts w:ascii="Arial" w:cs="Arial" w:eastAsia="Arial" w:hAnsi="Arial"/>
          <w:sz w:val="16"/>
          <w:szCs w:val="16"/>
          <w:color w:val="auto"/>
        </w:rPr>
        <w:t>FOREST CITY, IOWA, December 20, 2019 - Winnebago Industries, Inc. (NYSE:WGO), a leading outdoor lifestyle product manufacturer, today reported financial results for the Company's first quarter Fiscal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First Quarter Fiscal 2020 Results</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Revenues for the Fiscal 2020 first quarter ended November 30, 2019, were $588.5 million, an increase of 19.2% compared to $493.6 million for the Fiscal 2019 period. Revenues excluding the recently acquired Newmar business were $552.8 million, representing an organic growth rate of 12.0% over the prior year period driven by strong growth in the Towable segment and modest growth in the Motorhome business. Gross profit was $78.6 million, an increase of 10.7% compared to $71.0 million for the Fiscal 2019 period. Gross profit margin decreased 100 basis points in the quarter primarily due to a change in mix as a result of the acquisition of Newmar and the impact of the associated purchase accounting. Operating income was $23.9 million for the quarter, which includes $10.0 million of transaction costs related to the acquisition of Newmar, compared to $32.6 million in the first quarter of last year. Fiscal 2020 first quarter net income was $14.1 million, a decrease of 36.5% compared to $22.2 million in the same period last year. Reported earnings per diluted share were $0.44, a decrease of 37.1% compared to reported earnings per diluted share of $0.70 in the same period last year. Consolidated adjusted earnings per share were $0.73 for the first quarter, an increase of 4.3% over the prior period, excluding approximately $12.1 million, or $0.29 per share after tax, of transaction costs, inventory step-up, and the non-cash portion of the interest expense related to the convertible bond that was issued to finance the Newmar acquisition. Consolidated Adjusted EBITDA was $42.0 million for the quarter, an increase of 9.3% compared to $38.5 million last year.</w:t>
      </w:r>
    </w:p>
    <w:p>
      <w:pPr>
        <w:spacing w:after="0" w:line="239" w:lineRule="exact"/>
        <w:rPr>
          <w:sz w:val="20"/>
          <w:szCs w:val="20"/>
          <w:color w:val="auto"/>
        </w:rPr>
      </w:pPr>
    </w:p>
    <w:p>
      <w:pPr>
        <w:spacing w:after="0" w:line="358" w:lineRule="auto"/>
        <w:rPr>
          <w:sz w:val="20"/>
          <w:szCs w:val="20"/>
          <w:color w:val="auto"/>
        </w:rPr>
      </w:pPr>
      <w:r>
        <w:rPr>
          <w:rFonts w:ascii="Arial" w:cs="Arial" w:eastAsia="Arial" w:hAnsi="Arial"/>
          <w:sz w:val="16"/>
          <w:szCs w:val="16"/>
          <w:color w:val="auto"/>
        </w:rPr>
        <w:t>President and Chief Executive Officer Michael Happe commented, “We delivered strong consolidated results for the first quarter of Fiscal 2020 as we continued to make progress in transforming Winnebago Industries into a premier outdoor lifestyle company. Overall revenue growth remains strong, driven by vibrant Class B sales in our Motorhome segment and another stellar quarter from Grand Design in the Towable segment. These businesses are driving significant market share gains in the RV industry. Our RV retail market share is now 10.8% on a trailing three month basis through October, up 1.7 share points over the prior year period and exceeding our 2020 goal of 10% we established in November, 2017. Our results included approximately three weeks of contribution from the recently acquired Newmar business, the foremost luxury motorhome manufacturer in North America. We are extremely focused on the integration of the Newmar business and ensuring a smooth transition for Newmar's employees, dealers, and end-customers. Our continued growth reflects our competitive position in the RV industry and the resilience of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119" w:right="239" w:bottom="1440" w:gutter="0" w:footer="0" w:header="0"/>
        </w:sectPr>
      </w:pPr>
    </w:p>
    <w:bookmarkStart w:id="4" w:name="page5"/>
    <w:bookmarkEnd w:id="4"/>
    <w:p>
      <w:pPr>
        <w:ind w:right="60"/>
        <w:spacing w:after="0" w:line="363" w:lineRule="auto"/>
        <w:rPr>
          <w:sz w:val="20"/>
          <w:szCs w:val="20"/>
          <w:color w:val="auto"/>
        </w:rPr>
      </w:pPr>
      <w:r>
        <w:rPr>
          <w:rFonts w:ascii="Arial" w:cs="Arial" w:eastAsia="Arial" w:hAnsi="Arial"/>
          <w:sz w:val="16"/>
          <w:szCs w:val="16"/>
          <w:color w:val="auto"/>
        </w:rPr>
        <w:t>diversified portfolio, which has positioned us well to deliver solid results despite prevailing industry headwinds. As we look ahead to the balance of Fiscal 2020, we remain focused on authentically differentiating ourselves from the competition around quality, customer service and innovation. I want to thank all of our Winnebago Industries employees for their hard work during the quarter and for their unwavering commitment to our ambitious goal of transforming Winnebago Industries into a stronger enterprise. I also want to welcome the Newmar employees to the Winnebago Industries family and thank them for their hard work now and into the future as the integration process ramps up.”</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Towable</w:t>
      </w:r>
    </w:p>
    <w:p>
      <w:pPr>
        <w:spacing w:after="0" w:line="86" w:lineRule="exact"/>
        <w:rPr>
          <w:sz w:val="20"/>
          <w:szCs w:val="20"/>
          <w:color w:val="auto"/>
        </w:rPr>
      </w:pPr>
    </w:p>
    <w:p>
      <w:pPr>
        <w:spacing w:after="0" w:line="367" w:lineRule="auto"/>
        <w:rPr>
          <w:sz w:val="20"/>
          <w:szCs w:val="20"/>
          <w:color w:val="auto"/>
        </w:rPr>
      </w:pPr>
      <w:r>
        <w:rPr>
          <w:rFonts w:ascii="Arial" w:cs="Arial" w:eastAsia="Arial" w:hAnsi="Arial"/>
          <w:sz w:val="16"/>
          <w:szCs w:val="16"/>
          <w:color w:val="auto"/>
        </w:rPr>
        <w:t>Revenues for the Towable segment were $341.3 million for the first quarter, up 16.5% over the prior year, driven by strong unit growth in the Grand Design RV product line. Segment Adjusted EBITDA was $35.8 million, up 16.1% over the prior year. Adjusted EBITDA margin of 10.5% was in line with the prior period. Backlog decreased 22.0%, in units, compared to the prior year period reflecting an increased utilization of incremental capacity and a change in dealer ordering patterns to smaller and more frequent purchases.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Motorhome</w:t>
      </w:r>
    </w:p>
    <w:p>
      <w:pPr>
        <w:spacing w:after="0" w:line="86" w:lineRule="exact"/>
        <w:rPr>
          <w:sz w:val="20"/>
          <w:szCs w:val="20"/>
          <w:color w:val="auto"/>
        </w:rPr>
      </w:pPr>
    </w:p>
    <w:p>
      <w:pPr>
        <w:ind w:right="200"/>
        <w:spacing w:after="0" w:line="361" w:lineRule="auto"/>
        <w:rPr>
          <w:sz w:val="20"/>
          <w:szCs w:val="20"/>
          <w:color w:val="auto"/>
        </w:rPr>
      </w:pPr>
      <w:r>
        <w:rPr>
          <w:rFonts w:ascii="Arial" w:cs="Arial" w:eastAsia="Arial" w:hAnsi="Arial"/>
          <w:sz w:val="16"/>
          <w:szCs w:val="16"/>
          <w:color w:val="auto"/>
        </w:rPr>
        <w:t>In the first quarter, revenues for the Motorhome segment were $225.9 million, up 24.6% from the prior year primarily driven by strength in the Class B line-up and the addition of Newmar revenues during the quarter. Excluding Newmar, segment revenues grew 4.9% over the prior year period. Segment Adjusted EBITDA was $9.3 million, down 22.1%, due to an unfavorable mix and higher SG&amp;A expense partially offset by the three week contribution to Adjusted EBITDA from the Newmar acquisition and pricing in excess of inflation. Adjusted EBITDA margin decreased 250 basis points. Backlog increased 34.2%, in units, compared to the prior year, due to the acquisition of Newmar and new product introductions in the Winnebago motorhome line-up, partially offset by a change in dealer ordering patterns to smaller and more frequent purchases.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Balance Sheet and Cash Flow</w:t>
      </w:r>
    </w:p>
    <w:p>
      <w:pPr>
        <w:spacing w:after="0" w:line="86" w:lineRule="exact"/>
        <w:rPr>
          <w:sz w:val="20"/>
          <w:szCs w:val="20"/>
          <w:color w:val="auto"/>
        </w:rPr>
      </w:pPr>
    </w:p>
    <w:p>
      <w:pPr>
        <w:jc w:val="both"/>
        <w:ind w:right="160"/>
        <w:spacing w:after="0" w:line="374" w:lineRule="auto"/>
        <w:rPr>
          <w:sz w:val="20"/>
          <w:szCs w:val="20"/>
          <w:color w:val="auto"/>
        </w:rPr>
      </w:pPr>
      <w:r>
        <w:rPr>
          <w:rFonts w:ascii="Arial" w:cs="Arial" w:eastAsia="Arial" w:hAnsi="Arial"/>
          <w:sz w:val="16"/>
          <w:szCs w:val="16"/>
          <w:color w:val="auto"/>
        </w:rPr>
        <w:t>As of November 30, 2019, the Company had total outstanding debt of $463.5 million ($560.0 million of debt, net of convertible note discount of $84.0 million, and debt issuance costs of $12.5 million) and working capital of $297.8 million. Cash flow from operations was $79.0 million in the first quarter of Fiscal 2020, reflecting a strong increase of 45.9%, or $24.9 million, from the same period in Fiscal 2019.</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Quarterly Cash Dividend</w:t>
      </w:r>
    </w:p>
    <w:p>
      <w:pPr>
        <w:spacing w:after="0" w:line="86" w:lineRule="exact"/>
        <w:rPr>
          <w:sz w:val="20"/>
          <w:szCs w:val="20"/>
          <w:color w:val="auto"/>
        </w:rPr>
      </w:pPr>
    </w:p>
    <w:p>
      <w:pPr>
        <w:ind w:right="320"/>
        <w:spacing w:after="0" w:line="397" w:lineRule="auto"/>
        <w:rPr>
          <w:sz w:val="20"/>
          <w:szCs w:val="20"/>
          <w:color w:val="auto"/>
        </w:rPr>
      </w:pPr>
      <w:r>
        <w:rPr>
          <w:rFonts w:ascii="Arial" w:cs="Arial" w:eastAsia="Arial" w:hAnsi="Arial"/>
          <w:sz w:val="16"/>
          <w:szCs w:val="16"/>
          <w:color w:val="auto"/>
        </w:rPr>
        <w:t>On December 18, 2019, the Company’s board of directors approved a quarterly cash dividend of $0.11 per share payable on January 29, 2020, to common stockholders of record at the close of business on January 15, 2020.</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Corporate Responsibility and Governance</w:t>
      </w:r>
    </w:p>
    <w:p>
      <w:pPr>
        <w:spacing w:after="0" w:line="86" w:lineRule="exact"/>
        <w:rPr>
          <w:sz w:val="20"/>
          <w:szCs w:val="20"/>
          <w:color w:val="auto"/>
        </w:rPr>
      </w:pPr>
    </w:p>
    <w:p>
      <w:pPr>
        <w:ind w:right="400"/>
        <w:spacing w:after="0" w:line="374" w:lineRule="auto"/>
        <w:rPr>
          <w:sz w:val="20"/>
          <w:szCs w:val="20"/>
          <w:color w:val="auto"/>
        </w:rPr>
      </w:pPr>
      <w:r>
        <w:rPr>
          <w:rFonts w:ascii="Arial" w:cs="Arial" w:eastAsia="Arial" w:hAnsi="Arial"/>
          <w:sz w:val="16"/>
          <w:szCs w:val="16"/>
          <w:color w:val="auto"/>
        </w:rPr>
        <w:t>As announced earlier this week, Winnebago Industries' initial Corporate Responsibility report was released, which provides an overview of the Company’s process to identify and prioritize the most relevant environmental, social and governance related topics and goals. Additionally, the Company’s board of directors approved the addition of Sara Armbruster as a member of its board of directors.</w:t>
      </w:r>
    </w:p>
    <w:p>
      <w:pPr>
        <w:spacing w:after="0" w:line="220" w:lineRule="exact"/>
        <w:rPr>
          <w:sz w:val="20"/>
          <w:szCs w:val="20"/>
          <w:color w:val="auto"/>
        </w:rPr>
      </w:pPr>
    </w:p>
    <w:p>
      <w:pPr>
        <w:ind w:right="20"/>
        <w:spacing w:after="0" w:line="352" w:lineRule="auto"/>
        <w:rPr>
          <w:sz w:val="20"/>
          <w:szCs w:val="20"/>
          <w:color w:val="auto"/>
        </w:rPr>
      </w:pPr>
      <w:r>
        <w:rPr>
          <w:rFonts w:ascii="Arial" w:cs="Arial" w:eastAsia="Arial" w:hAnsi="Arial"/>
          <w:sz w:val="16"/>
          <w:szCs w:val="16"/>
          <w:color w:val="auto"/>
        </w:rPr>
        <w:t>Mr. Happe continued, “We are eager to build upon the tremendous progress we’ve made towards enhancing our position as a leader in premium outdoor lifestyle solutions. The acquisition of Newmar is pivotal in increasing our competitiveness and we are excited about the accretion Newmar brings to our portfolio</w:t>
      </w:r>
    </w:p>
    <w:p>
      <w:pPr>
        <w:spacing w:after="0" w:line="1" w:lineRule="exact"/>
        <w:rPr>
          <w:sz w:val="20"/>
          <w:szCs w:val="20"/>
          <w:color w:val="auto"/>
        </w:rPr>
      </w:pPr>
    </w:p>
    <w:p>
      <w:pPr>
        <w:ind w:right="180" w:firstLine="8"/>
        <w:spacing w:after="0" w:line="374" w:lineRule="auto"/>
        <w:tabs>
          <w:tab w:leader="none" w:pos="99" w:val="left"/>
        </w:tabs>
        <w:numPr>
          <w:ilvl w:val="0"/>
          <w:numId w:val="2"/>
        </w:numPr>
        <w:rPr>
          <w:rFonts w:ascii="Arial" w:cs="Arial" w:eastAsia="Arial" w:hAnsi="Arial"/>
          <w:sz w:val="16"/>
          <w:szCs w:val="16"/>
          <w:color w:val="auto"/>
        </w:rPr>
      </w:pPr>
      <w:r>
        <w:rPr>
          <w:rFonts w:ascii="Arial" w:cs="Arial" w:eastAsia="Arial" w:hAnsi="Arial"/>
          <w:sz w:val="16"/>
          <w:szCs w:val="16"/>
          <w:color w:val="auto"/>
        </w:rPr>
        <w:t>culturally, strategically and financially. We enter Fiscal 2020 with a stronger business that now includes four of the most iconic brands in the outdoor lifestyle arena - Winnebago, Grand Design, Newmar, and Chris-Craft. The benefits of having an expanded and more diversified product portfolio have translated to more consistent earnings results and are driving incremental growth and market share expansion in our business. We continue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378" w:right="239" w:bottom="1440" w:gutter="0" w:footer="0" w:header="0"/>
        </w:sectPr>
      </w:pPr>
    </w:p>
    <w:bookmarkStart w:id="5" w:name="page6"/>
    <w:bookmarkEnd w:id="5"/>
    <w:p>
      <w:pPr>
        <w:jc w:val="both"/>
        <w:ind w:right="40"/>
        <w:spacing w:after="0" w:line="374" w:lineRule="auto"/>
        <w:rPr>
          <w:sz w:val="20"/>
          <w:szCs w:val="20"/>
          <w:color w:val="auto"/>
        </w:rPr>
      </w:pPr>
      <w:r>
        <w:rPr>
          <w:rFonts w:ascii="Arial" w:cs="Arial" w:eastAsia="Arial" w:hAnsi="Arial"/>
          <w:sz w:val="16"/>
          <w:szCs w:val="16"/>
          <w:color w:val="auto"/>
        </w:rPr>
        <w:t>monitor the health of the RV and marine channels and the confidence of consumers. By keeping our teams focused on delivering against our golden threads - superior quality, valued innovation, outstanding customer service - we are confident that Winnebago Industries will continue to outperform the marketplace and maximize value for our shareholders and customers in fiscal year 2020.”</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Conference Call</w:t>
      </w:r>
    </w:p>
    <w:p>
      <w:pPr>
        <w:spacing w:after="0" w:line="86" w:lineRule="exact"/>
        <w:rPr>
          <w:sz w:val="20"/>
          <w:szCs w:val="20"/>
          <w:color w:val="auto"/>
        </w:rPr>
      </w:pPr>
    </w:p>
    <w:p>
      <w:pPr>
        <w:ind w:right="20"/>
        <w:spacing w:after="0" w:line="374" w:lineRule="auto"/>
        <w:rPr>
          <w:sz w:val="20"/>
          <w:szCs w:val="20"/>
          <w:color w:val="auto"/>
        </w:rPr>
      </w:pPr>
      <w:r>
        <w:rPr>
          <w:rFonts w:ascii="Arial" w:cs="Arial" w:eastAsia="Arial" w:hAnsi="Arial"/>
          <w:sz w:val="16"/>
          <w:szCs w:val="16"/>
          <w:color w:val="auto"/>
        </w:rPr>
        <w:t>Winnebago Industries, Inc. will discuss first quarter Fiscal 2020 earnings results during a conference call scheduled for 9:00 a.m. Central Time today. Members of the news media, investors and the general public are invited to access a live broadcast of the conference call via the Investor Relations page of the Company's website at http://investor.wgo.net. The event will be archived and available for replay for the next 90 days.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86" w:lineRule="exact"/>
        <w:rPr>
          <w:sz w:val="20"/>
          <w:szCs w:val="20"/>
          <w:color w:val="auto"/>
        </w:rPr>
      </w:pPr>
    </w:p>
    <w:p>
      <w:pPr>
        <w:spacing w:after="0" w:line="363" w:lineRule="auto"/>
        <w:rPr>
          <w:sz w:val="20"/>
          <w:szCs w:val="20"/>
          <w:color w:val="auto"/>
        </w:rPr>
      </w:pPr>
      <w:r>
        <w:rPr>
          <w:rFonts w:ascii="Arial" w:cs="Arial" w:eastAsia="Arial" w:hAnsi="Arial"/>
          <w:sz w:val="16"/>
          <w:szCs w:val="16"/>
          <w:color w:val="auto"/>
        </w:rPr>
        <w:t>Winnebago Industries, Inc. is a leading U.S. manufacturer of outdoor lifestyle products under the Winnebago, Newmar, Grand Design, and Chris-Craft brands, which are used primarily in leisure travel and outdoor recreation activities. The Company builds quality motorhomes, travel trailers, fifth wheel products, and boats. Winnebago Industries has multiple facilities in Iowa, Indiana, Oregon, Minnesota, and Florida. The Company's common stock is listed on the New York Stock Exchange and trades under the symbol WGO. For access to Winnebago Industries' investor relations material or to add your name to an automatic email list for Company news releases, visit http://investor.wgo.net.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 Looking Statements</w:t>
      </w:r>
    </w:p>
    <w:p>
      <w:pPr>
        <w:spacing w:after="0" w:line="86" w:lineRule="exact"/>
        <w:rPr>
          <w:sz w:val="20"/>
          <w:szCs w:val="20"/>
          <w:color w:val="auto"/>
        </w:rPr>
      </w:pPr>
    </w:p>
    <w:p>
      <w:pPr>
        <w:spacing w:after="0" w:line="356" w:lineRule="auto"/>
        <w:rPr>
          <w:sz w:val="20"/>
          <w:szCs w:val="20"/>
          <w:color w:val="auto"/>
        </w:rPr>
      </w:pPr>
      <w:r>
        <w:rPr>
          <w:rFonts w:ascii="Arial" w:cs="Arial" w:eastAsia="Arial" w:hAnsi="Arial"/>
          <w:sz w:val="16"/>
          <w:szCs w:val="16"/>
          <w:color w:val="auto"/>
        </w:rPr>
        <w:t>This press release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risks related to compliance with debt covenants and leverage ratios, and other factors.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 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00"/>
          </w:cols>
          <w:pgMar w:left="240" w:top="378"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4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r>
      <w:tr>
        <w:trPr>
          <w:trHeight w:val="264"/>
        </w:trPr>
        <w:tc>
          <w:tcPr>
            <w:tcW w:w="442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3"/>
          </w:tcPr>
          <w:p>
            <w:pPr>
              <w:ind w:left="500"/>
              <w:spacing w:after="0"/>
              <w:rPr>
                <w:sz w:val="20"/>
                <w:szCs w:val="20"/>
                <w:color w:val="auto"/>
              </w:rPr>
            </w:pPr>
            <w:r>
              <w:rPr>
                <w:rFonts w:ascii="Arial" w:cs="Arial" w:eastAsia="Arial" w:hAnsi="Arial"/>
                <w:sz w:val="16"/>
                <w:szCs w:val="16"/>
                <w:b w:val="1"/>
                <w:bCs w:val="1"/>
                <w:color w:val="auto"/>
              </w:rPr>
              <w:t>November 30, 2019</w:t>
            </w:r>
          </w:p>
        </w:tc>
        <w:tc>
          <w:tcPr>
            <w:tcW w:w="8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November 24, 2018</w:t>
            </w:r>
          </w:p>
        </w:tc>
        <w:tc>
          <w:tcPr>
            <w:tcW w:w="880" w:type="dxa"/>
            <w:vAlign w:val="bottom"/>
            <w:tcBorders>
              <w:bottom w:val="single" w:sz="8" w:color="auto"/>
            </w:tcBorders>
          </w:tcPr>
          <w:p>
            <w:pPr>
              <w:spacing w:after="0"/>
              <w:rPr>
                <w:sz w:val="22"/>
                <w:szCs w:val="22"/>
                <w:color w:val="auto"/>
              </w:rPr>
            </w:pPr>
          </w:p>
        </w:tc>
      </w:tr>
      <w:tr>
        <w:trPr>
          <w:trHeight w:val="254"/>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588,458</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493,648</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r>
      <w:tr>
        <w:trPr>
          <w:trHeight w:val="264"/>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509,845</w:t>
            </w:r>
          </w:p>
        </w:tc>
        <w:tc>
          <w:tcPr>
            <w:tcW w:w="10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86.6 %</w:t>
            </w:r>
          </w:p>
        </w:tc>
        <w:tc>
          <w:tcPr>
            <w:tcW w:w="120" w:type="dxa"/>
            <w:vAlign w:val="bottom"/>
            <w:tcBorders>
              <w:bottom w:val="single" w:sz="8" w:color="CCEEFF"/>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422,652</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85.6 %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78,613</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13.4 %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70,996</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14.4 %</w:t>
            </w: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51,105</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8.7 %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35,712</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7.2 %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2,659</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0.5 %</w:t>
            </w:r>
          </w:p>
        </w:tc>
      </w:tr>
      <w:tr>
        <w:trPr>
          <w:trHeight w:val="250"/>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54,719</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9.3 %</w:t>
            </w:r>
          </w:p>
        </w:tc>
        <w:tc>
          <w:tcPr>
            <w:tcW w:w="12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38,371</w:t>
            </w:r>
          </w:p>
        </w:tc>
        <w:tc>
          <w:tcPr>
            <w:tcW w:w="1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7.8 %</w:t>
            </w:r>
          </w:p>
        </w:tc>
      </w:tr>
      <w:tr>
        <w:trPr>
          <w:trHeight w:val="257"/>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23,894</w:t>
            </w:r>
          </w:p>
        </w:tc>
        <w:tc>
          <w:tcPr>
            <w:tcW w:w="1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4.1 %</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32,625</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6.6 %</w:t>
            </w: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6,049</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4,501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jc w:val="right"/>
              <w:ind w:right="99"/>
              <w:spacing w:after="0"/>
              <w:rPr>
                <w:sz w:val="20"/>
                <w:szCs w:val="20"/>
                <w:color w:val="auto"/>
              </w:rPr>
            </w:pPr>
            <w:r>
              <w:rPr>
                <w:rFonts w:ascii="Arial" w:cs="Arial" w:eastAsia="Arial" w:hAnsi="Arial"/>
                <w:sz w:val="16"/>
                <w:szCs w:val="16"/>
                <w:color w:val="auto"/>
              </w:rPr>
              <w:t>0.9 %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50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800" w:type="dxa"/>
            <w:vAlign w:val="bottom"/>
            <w:shd w:val="clear" w:color="auto" w:fill="CCEEFF"/>
          </w:tcPr>
          <w:p>
            <w:pPr>
              <w:spacing w:after="0"/>
              <w:rPr>
                <w:sz w:val="23"/>
                <w:szCs w:val="2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(0.2)%</w:t>
            </w:r>
          </w:p>
        </w:tc>
      </w:tr>
      <w:tr>
        <w:trPr>
          <w:trHeight w:val="249"/>
        </w:trPr>
        <w:tc>
          <w:tcPr>
            <w:tcW w:w="4420" w:type="dxa"/>
            <w:vAlign w:val="bottom"/>
          </w:tcPr>
          <w:p>
            <w:pPr>
              <w:ind w:left="40"/>
              <w:spacing w:after="0"/>
              <w:rPr>
                <w:sz w:val="20"/>
                <w:szCs w:val="20"/>
                <w:color w:val="auto"/>
              </w:rPr>
            </w:pPr>
            <w:r>
              <w:rPr>
                <w:rFonts w:ascii="Arial" w:cs="Arial" w:eastAsia="Arial" w:hAnsi="Arial"/>
                <w:sz w:val="16"/>
                <w:szCs w:val="16"/>
                <w:color w:val="auto"/>
              </w:rPr>
              <w:t>Income before income taxes</w:t>
            </w:r>
          </w:p>
        </w:tc>
        <w:tc>
          <w:tcPr>
            <w:tcW w:w="5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17,961</w:t>
            </w:r>
          </w:p>
        </w:tc>
        <w:tc>
          <w:tcPr>
            <w:tcW w:w="100" w:type="dxa"/>
            <w:vAlign w:val="bottom"/>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3.1 %</w:t>
            </w:r>
          </w:p>
        </w:tc>
        <w:tc>
          <w:tcPr>
            <w:tcW w:w="120" w:type="dxa"/>
            <w:vAlign w:val="bottom"/>
          </w:tcPr>
          <w:p>
            <w:pPr>
              <w:spacing w:after="0"/>
              <w:rPr>
                <w:sz w:val="21"/>
                <w:szCs w:val="21"/>
                <w:color w:val="auto"/>
              </w:rPr>
            </w:pPr>
          </w:p>
        </w:tc>
        <w:tc>
          <w:tcPr>
            <w:tcW w:w="8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28,887</w:t>
            </w:r>
          </w:p>
        </w:tc>
        <w:tc>
          <w:tcPr>
            <w:tcW w:w="120" w:type="dxa"/>
            <w:vAlign w:val="bottom"/>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5.9 %</w:t>
            </w:r>
          </w:p>
        </w:tc>
      </w:tr>
      <w:tr>
        <w:trPr>
          <w:trHeight w:val="271"/>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50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3,893</w:t>
            </w:r>
          </w:p>
        </w:tc>
        <w:tc>
          <w:tcPr>
            <w:tcW w:w="100" w:type="dxa"/>
            <w:vAlign w:val="bottom"/>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0.7 %</w:t>
            </w:r>
          </w:p>
        </w:tc>
        <w:tc>
          <w:tcPr>
            <w:tcW w:w="120" w:type="dxa"/>
            <w:vAlign w:val="bottom"/>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6,726</w:t>
            </w:r>
          </w:p>
        </w:tc>
        <w:tc>
          <w:tcPr>
            <w:tcW w:w="120" w:type="dxa"/>
            <w:vAlign w:val="bottom"/>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1.4 %</w:t>
            </w:r>
          </w:p>
        </w:tc>
      </w:tr>
      <w:tr>
        <w:trPr>
          <w:trHeight w:val="282"/>
        </w:trPr>
        <w:tc>
          <w:tcPr>
            <w:tcW w:w="44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income</w:t>
            </w:r>
          </w:p>
        </w:tc>
        <w:tc>
          <w:tcPr>
            <w:tcW w:w="5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14,068</w:t>
            </w:r>
          </w:p>
        </w:tc>
        <w:tc>
          <w:tcPr>
            <w:tcW w:w="1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2.4 %</w:t>
            </w:r>
          </w:p>
        </w:tc>
        <w:tc>
          <w:tcPr>
            <w:tcW w:w="12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22,161</w:t>
            </w:r>
          </w:p>
        </w:tc>
        <w:tc>
          <w:tcPr>
            <w:tcW w:w="120" w:type="dxa"/>
            <w:vAlign w:val="bottom"/>
            <w:tcBorders>
              <w:bottom w:val="single" w:sz="8" w:color="CCEEFF"/>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4.5 %</w:t>
            </w:r>
          </w:p>
        </w:tc>
      </w:tr>
      <w:tr>
        <w:trPr>
          <w:trHeight w:val="171"/>
        </w:trPr>
        <w:tc>
          <w:tcPr>
            <w:tcW w:w="44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r>
      <w:tr>
        <w:trPr>
          <w:trHeight w:val="262"/>
        </w:trPr>
        <w:tc>
          <w:tcPr>
            <w:tcW w:w="4420" w:type="dxa"/>
            <w:vAlign w:val="bottom"/>
          </w:tcPr>
          <w:p>
            <w:pPr>
              <w:ind w:left="40"/>
              <w:spacing w:after="0"/>
              <w:rPr>
                <w:sz w:val="20"/>
                <w:szCs w:val="20"/>
                <w:color w:val="auto"/>
              </w:rPr>
            </w:pPr>
            <w:r>
              <w:rPr>
                <w:rFonts w:ascii="Arial" w:cs="Arial" w:eastAsia="Arial" w:hAnsi="Arial"/>
                <w:sz w:val="16"/>
                <w:szCs w:val="16"/>
                <w:color w:val="auto"/>
              </w:rPr>
              <w:t>Income per common share:</w:t>
            </w:r>
          </w:p>
        </w:tc>
        <w:tc>
          <w:tcPr>
            <w:tcW w:w="5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4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2"/>
        </w:trPr>
        <w:tc>
          <w:tcPr>
            <w:tcW w:w="442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0.44</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jc w:val="right"/>
              <w:ind w:right="599"/>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0.70</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420" w:type="dxa"/>
            <w:vAlign w:val="bottom"/>
            <w:shd w:val="clear" w:color="auto" w:fill="CCEEFF"/>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2"/>
        </w:trPr>
        <w:tc>
          <w:tcPr>
            <w:tcW w:w="4420" w:type="dxa"/>
            <w:vAlign w:val="bottom"/>
          </w:tcPr>
          <w:p>
            <w:pPr>
              <w:ind w:left="120"/>
              <w:spacing w:after="0"/>
              <w:rPr>
                <w:sz w:val="20"/>
                <w:szCs w:val="20"/>
                <w:color w:val="auto"/>
              </w:rPr>
            </w:pPr>
            <w:r>
              <w:rPr>
                <w:rFonts w:ascii="Arial" w:cs="Arial" w:eastAsia="Arial" w:hAnsi="Arial"/>
                <w:sz w:val="16"/>
                <w:szCs w:val="16"/>
                <w:color w:val="auto"/>
              </w:rPr>
              <w:t>Basic</w:t>
            </w:r>
          </w:p>
        </w:tc>
        <w:tc>
          <w:tcPr>
            <w:tcW w:w="500" w:type="dxa"/>
            <w:vAlign w:val="bottom"/>
          </w:tcPr>
          <w:p>
            <w:pPr>
              <w:spacing w:after="0"/>
              <w:rPr>
                <w:sz w:val="22"/>
                <w:szCs w:val="22"/>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32,067</w:t>
            </w: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31,567</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8"/>
        </w:trPr>
        <w:tc>
          <w:tcPr>
            <w:tcW w:w="44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32,267</w:t>
            </w:r>
          </w:p>
        </w:tc>
        <w:tc>
          <w:tcPr>
            <w:tcW w:w="1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31,814</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19"/>
        </w:trPr>
        <w:tc>
          <w:tcPr>
            <w:tcW w:w="4420" w:type="dxa"/>
            <w:vAlign w:val="bottom"/>
          </w:tcPr>
          <w:p>
            <w:pPr>
              <w:spacing w:after="0"/>
              <w:rPr>
                <w:sz w:val="20"/>
                <w:szCs w:val="20"/>
                <w:color w:val="auto"/>
              </w:rPr>
            </w:pPr>
            <w:r>
              <w:rPr>
                <w:rFonts w:ascii="Arial" w:cs="Arial" w:eastAsia="Arial" w:hAnsi="Arial"/>
                <w:sz w:val="16"/>
                <w:szCs w:val="16"/>
                <w:color w:val="auto"/>
              </w:rPr>
              <w:t>Percentages may not add due to rounding differences.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87"/>
        </w:trPr>
        <w:tc>
          <w:tcPr>
            <w:tcW w:w="4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20"/>
          </w:cols>
          <w:pgMar w:left="240" w:top="3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6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w:t>
            </w:r>
          </w:p>
        </w:tc>
        <w:tc>
          <w:tcPr>
            <w:tcW w:w="240" w:type="dxa"/>
            <w:vAlign w:val="bottom"/>
          </w:tcPr>
          <w:p>
            <w:pPr>
              <w:spacing w:after="0"/>
              <w:rPr>
                <w:sz w:val="16"/>
                <w:szCs w:val="16"/>
                <w:color w:val="auto"/>
              </w:rPr>
            </w:pPr>
          </w:p>
        </w:tc>
        <w:tc>
          <w:tcPr>
            <w:tcW w:w="136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w:t>
            </w:r>
          </w:p>
        </w:tc>
        <w:tc>
          <w:tcPr>
            <w:tcW w:w="0" w:type="dxa"/>
            <w:vAlign w:val="bottom"/>
          </w:tcPr>
          <w:p>
            <w:pPr>
              <w:spacing w:after="0"/>
              <w:rPr>
                <w:sz w:val="1"/>
                <w:szCs w:val="1"/>
                <w:color w:val="auto"/>
              </w:rPr>
            </w:pPr>
          </w:p>
        </w:tc>
      </w:tr>
      <w:tr>
        <w:trPr>
          <w:trHeight w:val="232"/>
        </w:trPr>
        <w:tc>
          <w:tcPr>
            <w:tcW w:w="486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267"/>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and cash equivalents</w:t>
            </w:r>
          </w:p>
        </w:tc>
        <w:tc>
          <w:tcPr>
            <w:tcW w:w="3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101,328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37,431</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Receivables, net</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167,290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158,049</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Inventories, net</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263,333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201,126</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Prepaid expenses and other assets</w:t>
            </w:r>
          </w:p>
        </w:tc>
        <w:tc>
          <w:tcPr>
            <w:tcW w:w="3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13,301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14,051</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Total current assets</w:t>
            </w:r>
          </w:p>
        </w:tc>
        <w:tc>
          <w:tcPr>
            <w:tcW w:w="32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545,252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410,657</w:t>
            </w: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163,348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127,572</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Goodwill</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347,840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274,931</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423,258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256,082</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Investment in life insurance</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26,958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26,846</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assets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30,720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8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Other assets</w:t>
            </w:r>
          </w:p>
        </w:tc>
        <w:tc>
          <w:tcPr>
            <w:tcW w:w="3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16,248</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8,143</w:t>
            </w:r>
          </w:p>
        </w:tc>
        <w:tc>
          <w:tcPr>
            <w:tcW w:w="0" w:type="dxa"/>
            <w:vAlign w:val="bottom"/>
          </w:tcPr>
          <w:p>
            <w:pPr>
              <w:spacing w:after="0"/>
              <w:rPr>
                <w:sz w:val="1"/>
                <w:szCs w:val="1"/>
                <w:color w:val="auto"/>
              </w:rPr>
            </w:pPr>
          </w:p>
        </w:tc>
      </w:tr>
      <w:tr>
        <w:trPr>
          <w:trHeight w:val="242"/>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3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1,553,624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1,104,231</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48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w:t>
            </w:r>
          </w:p>
        </w:tc>
        <w:tc>
          <w:tcPr>
            <w:tcW w:w="34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93,120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81,635</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Accrued expenses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141,618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107,217</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Current maturities of long-term debt</w:t>
            </w:r>
          </w:p>
        </w:tc>
        <w:tc>
          <w:tcPr>
            <w:tcW w:w="3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12,668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8,892</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current liabilities</w:t>
            </w:r>
          </w:p>
        </w:tc>
        <w:tc>
          <w:tcPr>
            <w:tcW w:w="3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247,406</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197,744</w:t>
            </w:r>
          </w:p>
        </w:tc>
        <w:tc>
          <w:tcPr>
            <w:tcW w:w="0" w:type="dxa"/>
            <w:vAlign w:val="bottom"/>
          </w:tcPr>
          <w:p>
            <w:pPr>
              <w:spacing w:after="0"/>
              <w:rPr>
                <w:sz w:val="1"/>
                <w:szCs w:val="1"/>
                <w:color w:val="auto"/>
              </w:rPr>
            </w:pPr>
          </w:p>
        </w:tc>
      </w:tr>
      <w:tr>
        <w:trPr>
          <w:trHeight w:val="270"/>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26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Long-term debt, less current maturities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450,848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245,402</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17,210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12,032</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Unrecognized tax benefits</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6,563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3,591</w:t>
            </w:r>
          </w:p>
        </w:tc>
        <w:tc>
          <w:tcPr>
            <w:tcW w:w="0" w:type="dxa"/>
            <w:vAlign w:val="bottom"/>
          </w:tcPr>
          <w:p>
            <w:pPr>
              <w:spacing w:after="0"/>
              <w:rPr>
                <w:sz w:val="1"/>
                <w:szCs w:val="1"/>
                <w:color w:val="auto"/>
              </w:rPr>
            </w:pPr>
          </w:p>
        </w:tc>
      </w:tr>
      <w:tr>
        <w:trPr>
          <w:trHeight w:val="278"/>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Operating lease liabilities</w:t>
            </w:r>
          </w:p>
        </w:tc>
        <w:tc>
          <w:tcPr>
            <w:tcW w:w="32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28,066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2"/>
        </w:trPr>
        <w:tc>
          <w:tcPr>
            <w:tcW w:w="4860" w:type="dxa"/>
            <w:vAlign w:val="bottom"/>
          </w:tcPr>
          <w:p>
            <w:pPr>
              <w:ind w:left="180"/>
              <w:spacing w:after="0"/>
              <w:rPr>
                <w:sz w:val="20"/>
                <w:szCs w:val="20"/>
                <w:color w:val="auto"/>
              </w:rPr>
            </w:pPr>
            <w:r>
              <w:rPr>
                <w:rFonts w:ascii="Arial" w:cs="Arial" w:eastAsia="Arial" w:hAnsi="Arial"/>
                <w:sz w:val="16"/>
                <w:szCs w:val="16"/>
                <w:color w:val="auto"/>
              </w:rPr>
              <w:t>Deferred compensation benefits, net of current portion</w:t>
            </w:r>
          </w:p>
        </w:tc>
        <w:tc>
          <w:tcPr>
            <w:tcW w:w="3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12,594</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12,878</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5,328</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372</w:t>
            </w:r>
          </w:p>
        </w:tc>
        <w:tc>
          <w:tcPr>
            <w:tcW w:w="0" w:type="dxa"/>
            <w:vAlign w:val="bottom"/>
          </w:tcPr>
          <w:p>
            <w:pPr>
              <w:spacing w:after="0"/>
              <w:rPr>
                <w:sz w:val="1"/>
                <w:szCs w:val="1"/>
                <w:color w:val="auto"/>
              </w:rPr>
            </w:pPr>
          </w:p>
        </w:tc>
      </w:tr>
      <w:tr>
        <w:trPr>
          <w:trHeight w:val="249"/>
        </w:trPr>
        <w:tc>
          <w:tcPr>
            <w:tcW w:w="4860" w:type="dxa"/>
            <w:vAlign w:val="bottom"/>
          </w:tcPr>
          <w:p>
            <w:pPr>
              <w:ind w:left="280"/>
              <w:spacing w:after="0"/>
              <w:rPr>
                <w:sz w:val="20"/>
                <w:szCs w:val="20"/>
                <w:color w:val="auto"/>
              </w:rPr>
            </w:pPr>
            <w:r>
              <w:rPr>
                <w:rFonts w:ascii="Arial" w:cs="Arial" w:eastAsia="Arial" w:hAnsi="Arial"/>
                <w:sz w:val="16"/>
                <w:szCs w:val="16"/>
                <w:color w:val="auto"/>
              </w:rPr>
              <w:t>Total non-current liabilities</w:t>
            </w:r>
          </w:p>
        </w:tc>
        <w:tc>
          <w:tcPr>
            <w:tcW w:w="3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520,609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274,275</w:t>
            </w:r>
          </w:p>
        </w:tc>
        <w:tc>
          <w:tcPr>
            <w:tcW w:w="0" w:type="dxa"/>
            <w:vAlign w:val="bottom"/>
          </w:tcPr>
          <w:p>
            <w:pPr>
              <w:spacing w:after="0"/>
              <w:rPr>
                <w:sz w:val="1"/>
                <w:szCs w:val="1"/>
                <w:color w:val="auto"/>
              </w:rPr>
            </w:pPr>
          </w:p>
        </w:tc>
      </w:tr>
      <w:tr>
        <w:trPr>
          <w:trHeight w:val="271"/>
        </w:trPr>
        <w:tc>
          <w:tcPr>
            <w:tcW w:w="4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326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785,609</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632,212</w:t>
            </w:r>
          </w:p>
        </w:tc>
        <w:tc>
          <w:tcPr>
            <w:tcW w:w="0" w:type="dxa"/>
            <w:vAlign w:val="bottom"/>
          </w:tcPr>
          <w:p>
            <w:pPr>
              <w:spacing w:after="0"/>
              <w:rPr>
                <w:sz w:val="1"/>
                <w:szCs w:val="1"/>
                <w:color w:val="auto"/>
              </w:rPr>
            </w:pPr>
          </w:p>
        </w:tc>
      </w:tr>
      <w:tr>
        <w:trPr>
          <w:trHeight w:val="241"/>
        </w:trPr>
        <w:tc>
          <w:tcPr>
            <w:tcW w:w="48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34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19"/>
              <w:spacing w:after="0"/>
              <w:rPr>
                <w:sz w:val="20"/>
                <w:szCs w:val="20"/>
                <w:color w:val="auto"/>
              </w:rPr>
            </w:pPr>
            <w:r>
              <w:rPr>
                <w:rFonts w:ascii="Arial" w:cs="Arial" w:eastAsia="Arial" w:hAnsi="Arial"/>
                <w:sz w:val="16"/>
                <w:szCs w:val="16"/>
                <w:color w:val="auto"/>
              </w:rPr>
              <w:t>1,553,624</w:t>
            </w:r>
          </w:p>
        </w:tc>
        <w:tc>
          <w:tcPr>
            <w:tcW w:w="100" w:type="dxa"/>
            <w:vAlign w:val="bottom"/>
          </w:tcPr>
          <w:p>
            <w:pPr>
              <w:spacing w:after="0"/>
              <w:rPr>
                <w:sz w:val="20"/>
                <w:szCs w:val="20"/>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1,104,231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260" w:type="dxa"/>
            <w:vAlign w:val="bottom"/>
            <w:vMerge w:val="restart"/>
          </w:tcPr>
          <w:p>
            <w:pPr>
              <w:jc w:val="right"/>
              <w:ind w:right="2279"/>
              <w:spacing w:after="0"/>
              <w:rPr>
                <w:sz w:val="20"/>
                <w:szCs w:val="20"/>
                <w:color w:val="auto"/>
              </w:rPr>
            </w:pPr>
            <w:r>
              <w:rPr>
                <w:rFonts w:ascii="Arial" w:cs="Arial" w:eastAsia="Arial" w:hAnsi="Arial"/>
                <w:sz w:val="16"/>
                <w:szCs w:val="16"/>
                <w:color w:val="auto"/>
              </w:rPr>
              <w:t>5</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86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3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r>
      <w:tr>
        <w:trPr>
          <w:trHeight w:val="193"/>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w:t>
            </w:r>
          </w:p>
        </w:tc>
        <w:tc>
          <w:tcPr>
            <w:tcW w:w="2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24,</w:t>
            </w:r>
          </w:p>
        </w:tc>
      </w:tr>
      <w:tr>
        <w:trPr>
          <w:trHeight w:val="232"/>
        </w:trPr>
        <w:tc>
          <w:tcPr>
            <w:tcW w:w="7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6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Operating activities:</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14,068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22,161</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3,169</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2,659</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Non-cash interest expense, net</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1,023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Amortization of debt issuance costs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394</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Last-in, first-out expense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597</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Stock-based compensation</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1,583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2,472</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731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382</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net</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(570)</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Change in assets and liabilities: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Receivables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27,906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23,748</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20,082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3,070</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Prepaid expenses and other assets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w:t>
            </w:r>
          </w:p>
        </w:tc>
      </w:tr>
      <w:tr>
        <w:trPr>
          <w:trHeight w:val="262"/>
        </w:trPr>
        <w:tc>
          <w:tcPr>
            <w:tcW w:w="790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(4,214)</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(799)</w:t>
            </w:r>
          </w:p>
        </w:tc>
      </w:tr>
      <w:tr>
        <w:trPr>
          <w:trHeight w:val="278"/>
        </w:trPr>
        <w:tc>
          <w:tcPr>
            <w:tcW w:w="79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Income taxes and unrecognized tax benefits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(2,443)</w:t>
            </w:r>
          </w:p>
        </w:tc>
      </w:tr>
      <w:tr>
        <w:trPr>
          <w:trHeight w:val="264"/>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Accrued expenses and other liabilities</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6,364</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(737)</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79,033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54,171</w:t>
            </w:r>
          </w:p>
        </w:tc>
      </w:tr>
      <w:tr>
        <w:trPr>
          <w:trHeight w:val="260"/>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Investing activities:</w:t>
            </w:r>
          </w:p>
        </w:tc>
        <w:tc>
          <w:tcPr>
            <w:tcW w:w="2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74"/>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Purchases of property and equipment</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(6,624)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(12,771)</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(264,280)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(702)</w:t>
            </w:r>
          </w:p>
        </w:tc>
      </w:tr>
      <w:tr>
        <w:trPr>
          <w:trHeight w:val="271"/>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243</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311</w:t>
            </w:r>
          </w:p>
        </w:tc>
      </w:tr>
      <w:tr>
        <w:trPr>
          <w:trHeight w:val="249"/>
        </w:trPr>
        <w:tc>
          <w:tcPr>
            <w:tcW w:w="7900" w:type="dxa"/>
            <w:vAlign w:val="bottom"/>
          </w:tcPr>
          <w:p>
            <w:pPr>
              <w:ind w:left="40"/>
              <w:spacing w:after="0"/>
              <w:rPr>
                <w:sz w:val="20"/>
                <w:szCs w:val="20"/>
                <w:color w:val="auto"/>
              </w:rPr>
            </w:pPr>
            <w:r>
              <w:rPr>
                <w:rFonts w:ascii="Arial" w:cs="Arial" w:eastAsia="Arial" w:hAnsi="Arial"/>
                <w:sz w:val="16"/>
                <w:szCs w:val="16"/>
                <w:color w:val="auto"/>
              </w:rPr>
              <w:t>Net cash used in investing activities</w:t>
            </w:r>
          </w:p>
        </w:tc>
        <w:tc>
          <w:tcPr>
            <w:tcW w:w="220" w:type="dxa"/>
            <w:vAlign w:val="bottom"/>
          </w:tcPr>
          <w:p>
            <w:pPr>
              <w:spacing w:after="0"/>
              <w:rPr>
                <w:sz w:val="21"/>
                <w:szCs w:val="21"/>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(270,661)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(13,162)</w:t>
            </w:r>
          </w:p>
        </w:tc>
      </w:tr>
      <w:tr>
        <w:trPr>
          <w:trHeight w:val="278"/>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Financing activities: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Borrowings on credit agreement</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603,292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133,711</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Repayments of credit agreement</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(603,292)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(172,229)</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issuance of convertible senior notes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300,000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Purchase of convertible note hedge</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(70,800)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Proceeds from issuance of warrants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42,210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of offering costs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(10,707)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Payments of cash dividends</w:t>
            </w:r>
          </w:p>
        </w:tc>
        <w:tc>
          <w:tcPr>
            <w:tcW w:w="220" w:type="dxa"/>
            <w:vAlign w:val="bottom"/>
          </w:tcPr>
          <w:p>
            <w:pPr>
              <w:spacing w:after="0"/>
              <w:rPr>
                <w:sz w:val="22"/>
                <w:szCs w:val="22"/>
                <w:color w:val="auto"/>
              </w:rPr>
            </w:pP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(3,469)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79"/>
              <w:spacing w:after="0"/>
              <w:rPr>
                <w:sz w:val="20"/>
                <w:szCs w:val="20"/>
                <w:color w:val="auto"/>
              </w:rPr>
            </w:pPr>
            <w:r>
              <w:rPr>
                <w:rFonts w:ascii="Arial" w:cs="Arial" w:eastAsia="Arial" w:hAnsi="Arial"/>
                <w:sz w:val="16"/>
                <w:szCs w:val="16"/>
                <w:color w:val="auto"/>
              </w:rPr>
              <w:t>(3,183)</w:t>
            </w:r>
          </w:p>
        </w:tc>
      </w:tr>
      <w:tr>
        <w:trPr>
          <w:trHeight w:val="271"/>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(1,709)</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(948)</w:t>
            </w:r>
          </w:p>
        </w:tc>
      </w:tr>
      <w:tr>
        <w:trPr>
          <w:trHeight w:val="25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22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255,525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(42,649)</w:t>
            </w:r>
          </w:p>
        </w:tc>
      </w:tr>
      <w:tr>
        <w:trPr>
          <w:trHeight w:val="25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2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63,897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(1,640)</w:t>
            </w:r>
          </w:p>
        </w:tc>
      </w:tr>
      <w:tr>
        <w:trPr>
          <w:trHeight w:val="26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37,431</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2,342</w:t>
            </w:r>
          </w:p>
        </w:tc>
      </w:tr>
      <w:tr>
        <w:trPr>
          <w:trHeight w:val="24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101,328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702</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44"/>
        </w:trPr>
        <w:tc>
          <w:tcPr>
            <w:tcW w:w="7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Supplement cash flow disclosure:</w:t>
            </w:r>
          </w:p>
        </w:tc>
        <w:tc>
          <w:tcPr>
            <w:tcW w:w="22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Income taxes paid, net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99"/>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8,778</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Interest paid</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5,193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3,736</w:t>
            </w:r>
          </w:p>
        </w:tc>
      </w:tr>
      <w:tr>
        <w:trPr>
          <w:trHeight w:val="266"/>
        </w:trPr>
        <w:tc>
          <w:tcPr>
            <w:tcW w:w="7900" w:type="dxa"/>
            <w:vAlign w:val="bottom"/>
          </w:tcPr>
          <w:p>
            <w:pPr>
              <w:ind w:left="40"/>
              <w:spacing w:after="0"/>
              <w:rPr>
                <w:sz w:val="20"/>
                <w:szCs w:val="20"/>
                <w:color w:val="auto"/>
              </w:rPr>
            </w:pPr>
            <w:r>
              <w:rPr>
                <w:rFonts w:ascii="Arial" w:cs="Arial" w:eastAsia="Arial" w:hAnsi="Arial"/>
                <w:sz w:val="16"/>
                <w:szCs w:val="16"/>
                <w:b w:val="1"/>
                <w:bCs w:val="1"/>
                <w:color w:val="auto"/>
              </w:rPr>
              <w:t>Non-cash transactions:</w:t>
            </w:r>
          </w:p>
        </w:tc>
        <w:tc>
          <w:tcPr>
            <w:tcW w:w="2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74"/>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92,572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55"/>
        </w:trPr>
        <w:tc>
          <w:tcPr>
            <w:tcW w:w="7900" w:type="dxa"/>
            <w:vAlign w:val="bottom"/>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2,063</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145</w:t>
            </w:r>
          </w:p>
        </w:tc>
      </w:tr>
    </w:tbl>
    <w:p>
      <w:pPr>
        <w:spacing w:after="0" w:line="200" w:lineRule="exact"/>
        <w:rPr>
          <w:sz w:val="20"/>
          <w:szCs w:val="20"/>
          <w:color w:val="auto"/>
        </w:rPr>
      </w:pPr>
    </w:p>
    <w:p>
      <w:pPr>
        <w:sectPr>
          <w:pgSz w:w="11900" w:h="16838" w:orient="portrait"/>
          <w:cols w:equalWidth="0" w:num="1">
            <w:col w:w="11420"/>
          </w:cols>
          <w:pgMar w:left="240" w:top="331" w:right="239" w:bottom="1440" w:gutter="0" w:footer="0" w:header="0"/>
        </w:sectPr>
      </w:pP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33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Towable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0"/>
                <w:szCs w:val="20"/>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0"/>
        </w:trPr>
        <w:tc>
          <w:tcPr>
            <w:tcW w:w="27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Net revenues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341,250</w:t>
            </w: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292,833</w:t>
            </w:r>
          </w:p>
        </w:tc>
        <w:tc>
          <w:tcPr>
            <w:tcW w:w="120" w:type="dxa"/>
            <w:vAlign w:val="bottom"/>
          </w:tcPr>
          <w:p>
            <w:pPr>
              <w:spacing w:after="0"/>
              <w:rPr>
                <w:sz w:val="22"/>
                <w:szCs w:val="22"/>
                <w:color w:val="auto"/>
              </w:rPr>
            </w:pPr>
          </w:p>
        </w:tc>
        <w:tc>
          <w:tcPr>
            <w:tcW w:w="13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48,417</w:t>
            </w:r>
          </w:p>
        </w:tc>
        <w:tc>
          <w:tcPr>
            <w:tcW w:w="100" w:type="dxa"/>
            <w:vAlign w:val="bottom"/>
          </w:tcPr>
          <w:p>
            <w:pPr>
              <w:spacing w:after="0"/>
              <w:rPr>
                <w:sz w:val="22"/>
                <w:szCs w:val="22"/>
                <w:color w:val="auto"/>
              </w:rPr>
            </w:pPr>
          </w:p>
        </w:tc>
        <w:tc>
          <w:tcPr>
            <w:tcW w:w="132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16.5 %</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35,785</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30,828</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4,957</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16.1 %</w:t>
            </w:r>
          </w:p>
        </w:tc>
      </w:tr>
      <w:tr>
        <w:trPr>
          <w:trHeight w:val="496"/>
        </w:trPr>
        <w:tc>
          <w:tcPr>
            <w:tcW w:w="2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60" w:type="dxa"/>
            <w:vAlign w:val="bottom"/>
            <w:tcBorders>
              <w:bottom w:val="single" w:sz="8" w:color="auto"/>
            </w:tcBorders>
          </w:tcPr>
          <w:p>
            <w:pPr>
              <w:jc w:val="right"/>
              <w:ind w:right="7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42"/>
        </w:trPr>
        <w:tc>
          <w:tcPr>
            <w:tcW w:w="2740" w:type="dxa"/>
            <w:vAlign w:val="bottom"/>
          </w:tcPr>
          <w:p>
            <w:pPr>
              <w:ind w:left="40"/>
              <w:spacing w:after="0"/>
              <w:rPr>
                <w:sz w:val="20"/>
                <w:szCs w:val="20"/>
                <w:color w:val="auto"/>
              </w:rPr>
            </w:pPr>
            <w:r>
              <w:rPr>
                <w:rFonts w:ascii="Arial" w:cs="Arial" w:eastAsia="Arial" w:hAnsi="Arial"/>
                <w:sz w:val="16"/>
                <w:szCs w:val="16"/>
                <w:color w:val="auto"/>
              </w:rPr>
              <w:t>Travel trailer</w:t>
            </w:r>
          </w:p>
        </w:tc>
        <w:tc>
          <w:tcPr>
            <w:tcW w:w="16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6,336</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59.8%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5,836</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62.2%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8.6 %</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Fifth wheel</w:t>
            </w:r>
          </w:p>
        </w:tc>
        <w:tc>
          <w:tcPr>
            <w:tcW w:w="16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4,263</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3,549</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37.8%</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20.1 %</w:t>
            </w:r>
          </w:p>
        </w:tc>
      </w:tr>
      <w:tr>
        <w:trPr>
          <w:trHeight w:val="242"/>
        </w:trPr>
        <w:tc>
          <w:tcPr>
            <w:tcW w:w="2740" w:type="dxa"/>
            <w:vAlign w:val="bottom"/>
          </w:tcPr>
          <w:p>
            <w:pPr>
              <w:ind w:left="180"/>
              <w:spacing w:after="0"/>
              <w:rPr>
                <w:sz w:val="20"/>
                <w:szCs w:val="20"/>
                <w:color w:val="auto"/>
              </w:rPr>
            </w:pPr>
            <w:r>
              <w:rPr>
                <w:rFonts w:ascii="Arial" w:cs="Arial" w:eastAsia="Arial" w:hAnsi="Arial"/>
                <w:sz w:val="16"/>
                <w:szCs w:val="16"/>
                <w:color w:val="auto"/>
              </w:rPr>
              <w:t>Total towables</w:t>
            </w:r>
          </w:p>
        </w:tc>
        <w:tc>
          <w:tcPr>
            <w:tcW w:w="160" w:type="dxa"/>
            <w:vAlign w:val="bottom"/>
          </w:tcPr>
          <w:p>
            <w:pPr>
              <w:spacing w:after="0"/>
              <w:rPr>
                <w:sz w:val="21"/>
                <w:szCs w:val="21"/>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10,599</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9,385</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1,214</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12.9 %</w:t>
            </w:r>
          </w:p>
        </w:tc>
      </w:tr>
      <w:tr>
        <w:trPr>
          <w:trHeight w:val="20"/>
        </w:trPr>
        <w:tc>
          <w:tcPr>
            <w:tcW w:w="2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2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60" w:type="dxa"/>
            <w:vAlign w:val="bottom"/>
            <w:tcBorders>
              <w:top w:val="single" w:sz="8" w:color="auto"/>
            </w:tcBorders>
          </w:tcPr>
          <w:p>
            <w:pPr>
              <w:spacing w:after="0"/>
              <w:rPr>
                <w:sz w:val="23"/>
                <w:szCs w:val="23"/>
                <w:color w:val="auto"/>
              </w:rPr>
            </w:pPr>
          </w:p>
        </w:tc>
        <w:tc>
          <w:tcPr>
            <w:tcW w:w="138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136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r>
      <w:tr>
        <w:trPr>
          <w:trHeight w:val="270"/>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7,174</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9,199</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(22.0)%</w:t>
            </w:r>
          </w:p>
        </w:tc>
      </w:tr>
      <w:tr>
        <w:trPr>
          <w:trHeight w:val="262"/>
        </w:trPr>
        <w:tc>
          <w:tcPr>
            <w:tcW w:w="2740" w:type="dxa"/>
            <w:vAlign w:val="bottom"/>
          </w:tcPr>
          <w:p>
            <w:pPr>
              <w:ind w:left="180"/>
              <w:spacing w:after="0"/>
              <w:rPr>
                <w:sz w:val="20"/>
                <w:szCs w:val="20"/>
                <w:color w:val="auto"/>
              </w:rPr>
            </w:pPr>
            <w:r>
              <w:rPr>
                <w:rFonts w:ascii="Arial" w:cs="Arial" w:eastAsia="Arial" w:hAnsi="Arial"/>
                <w:sz w:val="16"/>
                <w:szCs w:val="16"/>
                <w:color w:val="auto"/>
              </w:rPr>
              <w:t>Dollars</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242,853</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327,724</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(84,871)</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(25.9)%</w:t>
            </w:r>
          </w:p>
        </w:tc>
      </w:tr>
      <w:tr>
        <w:trPr>
          <w:trHeight w:val="278"/>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Dealer Inventory</w:t>
            </w:r>
          </w:p>
        </w:tc>
        <w:tc>
          <w:tcPr>
            <w:tcW w:w="1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r>
      <w:tr>
        <w:trPr>
          <w:trHeight w:val="255"/>
        </w:trPr>
        <w:tc>
          <w:tcPr>
            <w:tcW w:w="2740" w:type="dxa"/>
            <w:vAlign w:val="bottom"/>
          </w:tcPr>
          <w:p>
            <w:pPr>
              <w:ind w:left="180"/>
              <w:spacing w:after="0"/>
              <w:rPr>
                <w:sz w:val="20"/>
                <w:szCs w:val="20"/>
                <w:color w:val="auto"/>
              </w:rPr>
            </w:pPr>
            <w:r>
              <w:rPr>
                <w:rFonts w:ascii="Arial" w:cs="Arial" w:eastAsia="Arial" w:hAnsi="Arial"/>
                <w:sz w:val="16"/>
                <w:szCs w:val="16"/>
                <w:color w:val="auto"/>
              </w:rPr>
              <w:t>Units</w:t>
            </w:r>
          </w:p>
        </w:tc>
        <w:tc>
          <w:tcPr>
            <w:tcW w:w="160" w:type="dxa"/>
            <w:vAlign w:val="bottom"/>
          </w:tcPr>
          <w:p>
            <w:pPr>
              <w:spacing w:after="0"/>
              <w:rPr>
                <w:sz w:val="22"/>
                <w:szCs w:val="22"/>
                <w:color w:val="auto"/>
              </w:rPr>
            </w:pPr>
          </w:p>
        </w:tc>
        <w:tc>
          <w:tcPr>
            <w:tcW w:w="1380" w:type="dxa"/>
            <w:vAlign w:val="bottom"/>
          </w:tcPr>
          <w:p>
            <w:pPr>
              <w:jc w:val="right"/>
              <w:ind w:right="39"/>
              <w:spacing w:after="0"/>
              <w:rPr>
                <w:sz w:val="20"/>
                <w:szCs w:val="20"/>
                <w:color w:val="auto"/>
              </w:rPr>
            </w:pPr>
            <w:r>
              <w:rPr>
                <w:rFonts w:ascii="Arial" w:cs="Arial" w:eastAsia="Arial" w:hAnsi="Arial"/>
                <w:sz w:val="16"/>
                <w:szCs w:val="16"/>
                <w:color w:val="auto"/>
              </w:rPr>
              <w:t>17,843</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16,662</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1,181</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7.1 %</w:t>
            </w:r>
          </w:p>
        </w:tc>
      </w:tr>
    </w:tbl>
    <w:p>
      <w:pPr>
        <w:spacing w:after="0" w:line="56"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9"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33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Information by Reportable Segment (Unaudited) - Motorhome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unit data)</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r>
      <w:tr>
        <w:trPr>
          <w:trHeight w:val="193"/>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2"/>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Revenues</w:t>
            </w:r>
          </w:p>
        </w:tc>
        <w:tc>
          <w:tcPr>
            <w:tcW w:w="180" w:type="dxa"/>
            <w:vAlign w:val="bottom"/>
          </w:tcPr>
          <w:p>
            <w:pPr>
              <w:spacing w:after="0"/>
              <w:rPr>
                <w:sz w:val="20"/>
                <w:szCs w:val="20"/>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 of Revenues</w:t>
            </w: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 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225,891</w:t>
            </w: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181,328</w:t>
            </w: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44,563</w:t>
            </w: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24.6 %</w:t>
            </w:r>
          </w:p>
        </w:tc>
      </w:tr>
      <w:tr>
        <w:trPr>
          <w:trHeight w:val="255"/>
        </w:trPr>
        <w:tc>
          <w:tcPr>
            <w:tcW w:w="2740" w:type="dxa"/>
            <w:vAlign w:val="bottom"/>
          </w:tcPr>
          <w:p>
            <w:pPr>
              <w:ind w:left="40"/>
              <w:spacing w:after="0"/>
              <w:rPr>
                <w:sz w:val="20"/>
                <w:szCs w:val="20"/>
                <w:color w:val="auto"/>
              </w:rPr>
            </w:pPr>
            <w:r>
              <w:rPr>
                <w:rFonts w:ascii="Arial" w:cs="Arial" w:eastAsia="Arial" w:hAnsi="Arial"/>
                <w:sz w:val="16"/>
                <w:szCs w:val="16"/>
                <w:color w:val="auto"/>
              </w:rPr>
              <w:t>Adjusted EBITDA</w:t>
            </w:r>
          </w:p>
        </w:tc>
        <w:tc>
          <w:tcPr>
            <w:tcW w:w="1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9,331</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11,976</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(2,645)</w:t>
            </w:r>
          </w:p>
        </w:tc>
        <w:tc>
          <w:tcPr>
            <w:tcW w:w="100" w:type="dxa"/>
            <w:vAlign w:val="bottom"/>
          </w:tcPr>
          <w:p>
            <w:pPr>
              <w:spacing w:after="0"/>
              <w:rPr>
                <w:sz w:val="22"/>
                <w:szCs w:val="22"/>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(22.1)%</w:t>
            </w:r>
          </w:p>
        </w:tc>
      </w:tr>
      <w:tr>
        <w:trPr>
          <w:trHeight w:val="552"/>
        </w:trPr>
        <w:tc>
          <w:tcPr>
            <w:tcW w:w="2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193"/>
        </w:trPr>
        <w:tc>
          <w:tcPr>
            <w:tcW w:w="2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36"/>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79"/>
              <w:spacing w:after="0" w:line="236" w:lineRule="exact"/>
              <w:rPr>
                <w:sz w:val="20"/>
                <w:szCs w:val="20"/>
                <w:color w:val="auto"/>
              </w:rPr>
            </w:pPr>
            <w:r>
              <w:rPr>
                <w:rFonts w:ascii="Arial" w:cs="Arial" w:eastAsia="Arial" w:hAnsi="Arial"/>
                <w:sz w:val="16"/>
                <w:szCs w:val="16"/>
                <w:b w:val="1"/>
                <w:bCs w:val="1"/>
                <w:color w:val="auto"/>
              </w:rPr>
              <w:t>Product Mix</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Unit Change</w:t>
            </w:r>
          </w:p>
        </w:tc>
        <w:tc>
          <w:tcPr>
            <w:tcW w:w="10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5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399</w:t>
            </w:r>
          </w:p>
        </w:tc>
        <w:tc>
          <w:tcPr>
            <w:tcW w:w="140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w:t>
            </w:r>
          </w:p>
        </w:tc>
        <w:tc>
          <w:tcPr>
            <w:tcW w:w="1480" w:type="dxa"/>
            <w:vAlign w:val="bottom"/>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(5.5)%</w:t>
            </w:r>
          </w:p>
        </w:tc>
      </w:tr>
      <w:tr>
        <w:trPr>
          <w:trHeight w:val="262"/>
        </w:trPr>
        <w:tc>
          <w:tcPr>
            <w:tcW w:w="2740" w:type="dxa"/>
            <w:vAlign w:val="bottom"/>
          </w:tcPr>
          <w:p>
            <w:pPr>
              <w:ind w:left="40"/>
              <w:spacing w:after="0"/>
              <w:rPr>
                <w:sz w:val="20"/>
                <w:szCs w:val="20"/>
                <w:color w:val="auto"/>
              </w:rPr>
            </w:pPr>
            <w:r>
              <w:rPr>
                <w:rFonts w:ascii="Arial" w:cs="Arial" w:eastAsia="Arial" w:hAnsi="Arial"/>
                <w:sz w:val="16"/>
                <w:szCs w:val="16"/>
                <w:color w:val="auto"/>
              </w:rPr>
              <w:t>Class B</w:t>
            </w:r>
          </w:p>
        </w:tc>
        <w:tc>
          <w:tcPr>
            <w:tcW w:w="1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809</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719</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12.5 %</w:t>
            </w:r>
          </w:p>
        </w:tc>
      </w:tr>
      <w:tr>
        <w:trPr>
          <w:trHeight w:val="271"/>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678</w:t>
            </w:r>
          </w:p>
        </w:tc>
        <w:tc>
          <w:tcPr>
            <w:tcW w:w="120" w:type="dxa"/>
            <w:vAlign w:val="bottom"/>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37.3%</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(0.6)%</w:t>
            </w:r>
          </w:p>
        </w:tc>
      </w:tr>
      <w:tr>
        <w:trPr>
          <w:trHeight w:val="242"/>
        </w:trPr>
        <w:tc>
          <w:tcPr>
            <w:tcW w:w="2740" w:type="dxa"/>
            <w:vAlign w:val="bottom"/>
          </w:tcPr>
          <w:p>
            <w:pPr>
              <w:ind w:left="180"/>
              <w:spacing w:after="0"/>
              <w:rPr>
                <w:sz w:val="20"/>
                <w:szCs w:val="20"/>
                <w:color w:val="auto"/>
              </w:rPr>
            </w:pPr>
            <w:r>
              <w:rPr>
                <w:rFonts w:ascii="Arial" w:cs="Arial" w:eastAsia="Arial" w:hAnsi="Arial"/>
                <w:sz w:val="16"/>
                <w:szCs w:val="16"/>
                <w:color w:val="auto"/>
              </w:rPr>
              <w:t>Total motorhomes</w:t>
            </w:r>
          </w:p>
        </w:tc>
        <w:tc>
          <w:tcPr>
            <w:tcW w:w="18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1,882</w:t>
            </w:r>
          </w:p>
        </w:tc>
        <w:tc>
          <w:tcPr>
            <w:tcW w:w="1400" w:type="dxa"/>
            <w:vAlign w:val="bottom"/>
            <w:gridSpan w:val="2"/>
          </w:tcPr>
          <w:p>
            <w:pPr>
              <w:jc w:val="right"/>
              <w:ind w:right="7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1,819</w:t>
            </w:r>
          </w:p>
        </w:tc>
        <w:tc>
          <w:tcPr>
            <w:tcW w:w="1480" w:type="dxa"/>
            <w:vAlign w:val="bottom"/>
            <w:gridSpan w:val="2"/>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21"/>
                <w:szCs w:val="21"/>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3.5 %</w:t>
            </w: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r>
        <w:trPr>
          <w:trHeight w:val="502"/>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30,</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jc w:val="center"/>
              <w:ind w:right="139"/>
              <w:spacing w:after="0"/>
              <w:rPr>
                <w:sz w:val="20"/>
                <w:szCs w:val="20"/>
                <w:color w:val="auto"/>
              </w:rPr>
            </w:pPr>
            <w:r>
              <w:rPr>
                <w:rFonts w:ascii="Arial" w:cs="Arial" w:eastAsia="Arial" w:hAnsi="Arial"/>
                <w:sz w:val="16"/>
                <w:szCs w:val="16"/>
                <w:b w:val="1"/>
                <w:bCs w:val="1"/>
                <w:color w:val="auto"/>
              </w:rPr>
              <w:t>November 24,</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2"/>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Change</w:t>
            </w: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 Change</w:t>
            </w:r>
          </w:p>
        </w:tc>
      </w:tr>
      <w:tr>
        <w:trPr>
          <w:trHeight w:val="267"/>
        </w:trPr>
        <w:tc>
          <w:tcPr>
            <w:tcW w:w="27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Backlog</w:t>
            </w:r>
            <w:r>
              <w:rPr>
                <w:rFonts w:ascii="Arial" w:cs="Arial" w:eastAsia="Arial" w:hAnsi="Arial"/>
                <w:sz w:val="21"/>
                <w:szCs w:val="21"/>
                <w:b w:val="1"/>
                <w:bCs w:val="1"/>
                <w:color w:val="auto"/>
                <w:vertAlign w:val="superscript"/>
              </w:rPr>
              <w:t>(2)</w:t>
            </w:r>
          </w:p>
        </w:tc>
        <w:tc>
          <w:tcPr>
            <w:tcW w:w="1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0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3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320" w:type="dxa"/>
            <w:vAlign w:val="bottom"/>
            <w:tcBorders>
              <w:top w:val="single" w:sz="8" w:color="auto"/>
            </w:tcBorders>
            <w:shd w:val="clear" w:color="auto" w:fill="CCEEFF"/>
          </w:tcPr>
          <w:p>
            <w:pPr>
              <w:spacing w:after="0"/>
              <w:rPr>
                <w:sz w:val="23"/>
                <w:szCs w:val="23"/>
                <w:color w:val="auto"/>
              </w:rPr>
            </w:pPr>
          </w:p>
        </w:tc>
      </w:tr>
      <w:tr>
        <w:trPr>
          <w:trHeight w:val="262"/>
        </w:trPr>
        <w:tc>
          <w:tcPr>
            <w:tcW w:w="2740" w:type="dxa"/>
            <w:vAlign w:val="bottom"/>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tcPr>
          <w:p>
            <w:pPr>
              <w:spacing w:after="0"/>
              <w:rPr>
                <w:sz w:val="22"/>
                <w:szCs w:val="22"/>
                <w:color w:val="auto"/>
              </w:rPr>
            </w:pPr>
          </w:p>
        </w:tc>
        <w:tc>
          <w:tcPr>
            <w:tcW w:w="1360" w:type="dxa"/>
            <w:vAlign w:val="bottom"/>
          </w:tcPr>
          <w:p>
            <w:pPr>
              <w:jc w:val="right"/>
              <w:ind w:right="39"/>
              <w:spacing w:after="0"/>
              <w:rPr>
                <w:sz w:val="20"/>
                <w:szCs w:val="20"/>
                <w:color w:val="auto"/>
              </w:rPr>
            </w:pPr>
            <w:r>
              <w:rPr>
                <w:rFonts w:ascii="Arial" w:cs="Arial" w:eastAsia="Arial" w:hAnsi="Arial"/>
                <w:sz w:val="16"/>
                <w:szCs w:val="16"/>
                <w:color w:val="auto"/>
              </w:rPr>
              <w:t>2,631</w:t>
            </w: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1,961</w:t>
            </w: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670</w:t>
            </w:r>
          </w:p>
        </w:tc>
        <w:tc>
          <w:tcPr>
            <w:tcW w:w="100" w:type="dxa"/>
            <w:vAlign w:val="bottom"/>
          </w:tcPr>
          <w:p>
            <w:pPr>
              <w:spacing w:after="0"/>
              <w:rPr>
                <w:sz w:val="22"/>
                <w:szCs w:val="22"/>
                <w:color w:val="auto"/>
              </w:rPr>
            </w:pPr>
          </w:p>
        </w:tc>
        <w:tc>
          <w:tcPr>
            <w:tcW w:w="1320" w:type="dxa"/>
            <w:vAlign w:val="bottom"/>
          </w:tcPr>
          <w:p>
            <w:pPr>
              <w:jc w:val="right"/>
              <w:ind w:right="99"/>
              <w:spacing w:after="0"/>
              <w:rPr>
                <w:sz w:val="20"/>
                <w:szCs w:val="20"/>
                <w:color w:val="auto"/>
              </w:rPr>
            </w:pPr>
            <w:r>
              <w:rPr>
                <w:rFonts w:ascii="Arial" w:cs="Arial" w:eastAsia="Arial" w:hAnsi="Arial"/>
                <w:sz w:val="16"/>
                <w:szCs w:val="16"/>
                <w:color w:val="auto"/>
              </w:rPr>
              <w:t>34.2 %</w:t>
            </w:r>
          </w:p>
        </w:tc>
      </w:tr>
      <w:tr>
        <w:trPr>
          <w:trHeight w:val="278"/>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Dollars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384,201</w:t>
            </w:r>
          </w:p>
        </w:tc>
        <w:tc>
          <w:tcPr>
            <w:tcW w:w="10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191,632</w:t>
            </w:r>
          </w:p>
        </w:tc>
        <w:tc>
          <w:tcPr>
            <w:tcW w:w="12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192,569</w:t>
            </w:r>
          </w:p>
        </w:tc>
        <w:tc>
          <w:tcPr>
            <w:tcW w:w="1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100.5 %</w:t>
            </w:r>
          </w:p>
        </w:tc>
      </w:tr>
      <w:tr>
        <w:trPr>
          <w:trHeight w:val="266"/>
        </w:trPr>
        <w:tc>
          <w:tcPr>
            <w:tcW w:w="2740" w:type="dxa"/>
            <w:vAlign w:val="bottom"/>
          </w:tcPr>
          <w:p>
            <w:pPr>
              <w:ind w:left="40"/>
              <w:spacing w:after="0"/>
              <w:rPr>
                <w:sz w:val="20"/>
                <w:szCs w:val="20"/>
                <w:color w:val="auto"/>
              </w:rPr>
            </w:pPr>
            <w:r>
              <w:rPr>
                <w:rFonts w:ascii="Arial" w:cs="Arial" w:eastAsia="Arial" w:hAnsi="Arial"/>
                <w:sz w:val="16"/>
                <w:szCs w:val="16"/>
                <w:b w:val="1"/>
                <w:bCs w:val="1"/>
                <w:color w:val="auto"/>
              </w:rPr>
              <w:t>Dealer Inventory</w:t>
            </w: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Units</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5,169</w:t>
            </w:r>
          </w:p>
        </w:tc>
        <w:tc>
          <w:tcPr>
            <w:tcW w:w="1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4,458</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711</w:t>
            </w:r>
          </w:p>
        </w:tc>
        <w:tc>
          <w:tcPr>
            <w:tcW w:w="10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15.9 %</w:t>
            </w:r>
          </w:p>
        </w:tc>
      </w:tr>
    </w:tbl>
    <w:p>
      <w:pPr>
        <w:spacing w:after="0" w:line="41" w:lineRule="exact"/>
        <w:rPr>
          <w:sz w:val="20"/>
          <w:szCs w:val="20"/>
          <w:color w:val="auto"/>
        </w:rPr>
      </w:pPr>
    </w:p>
    <w:p>
      <w:pPr>
        <w:ind w:left="260" w:hanging="252"/>
        <w:spacing w:after="0"/>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Percentages may not add due to rounding differences.</w:t>
      </w:r>
    </w:p>
    <w:p>
      <w:pPr>
        <w:spacing w:after="0" w:line="19" w:lineRule="exact"/>
        <w:rPr>
          <w:rFonts w:ascii="Arial" w:cs="Arial" w:eastAsia="Arial" w:hAnsi="Arial"/>
          <w:sz w:val="14"/>
          <w:szCs w:val="14"/>
          <w:color w:val="auto"/>
        </w:rPr>
      </w:pPr>
    </w:p>
    <w:p>
      <w:pPr>
        <w:ind w:left="260" w:right="20" w:hanging="252"/>
        <w:spacing w:after="0" w:line="264" w:lineRule="auto"/>
        <w:tabs>
          <w:tab w:leader="none" w:pos="260" w:val="left"/>
        </w:tabs>
        <w:numPr>
          <w:ilvl w:val="0"/>
          <w:numId w:val="4"/>
        </w:numPr>
        <w:rPr>
          <w:rFonts w:ascii="Arial" w:cs="Arial" w:eastAsia="Arial" w:hAnsi="Arial"/>
          <w:sz w:val="14"/>
          <w:szCs w:val="14"/>
          <w:color w:val="auto"/>
        </w:rPr>
      </w:pPr>
      <w:r>
        <w:rPr>
          <w:rFonts w:ascii="Arial" w:cs="Arial" w:eastAsia="Arial" w:hAnsi="Arial"/>
          <w:sz w:val="14"/>
          <w:szCs w:val="14"/>
          <w:color w:val="auto"/>
        </w:rPr>
        <w:t>We include in our backlog all accepted orders from dealers to generally be shipped within the next six months. Orders in backlog can be cancelled or postponed at the option of the dealer at any time without penalty and, therefore, backlog may not necessarily be an accurate measure of future sales.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33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Reconciliation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8120" w:type="dxa"/>
            <w:vAlign w:val="bottom"/>
          </w:tcPr>
          <w:p>
            <w:pPr>
              <w:spacing w:after="0"/>
              <w:rPr>
                <w:sz w:val="20"/>
                <w:szCs w:val="20"/>
                <w:color w:val="auto"/>
              </w:rPr>
            </w:pPr>
            <w:r>
              <w:rPr>
                <w:rFonts w:ascii="Arial" w:cs="Arial" w:eastAsia="Arial" w:hAnsi="Arial"/>
                <w:sz w:val="16"/>
                <w:szCs w:val="16"/>
                <w:color w:val="auto"/>
              </w:rPr>
              <w:t>The following table reconciles Diluted income per share to Adjusted diluted income per share:</w:t>
            </w:r>
          </w:p>
        </w:tc>
        <w:tc>
          <w:tcPr>
            <w:tcW w:w="4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90"/>
        </w:trPr>
        <w:tc>
          <w:tcPr>
            <w:tcW w:w="8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640" w:type="dxa"/>
            <w:vAlign w:val="bottom"/>
            <w:tcBorders>
              <w:bottom w:val="single" w:sz="8" w:color="auto"/>
            </w:tcBorders>
          </w:tcPr>
          <w:p>
            <w:pPr>
              <w:spacing w:after="0"/>
              <w:rPr>
                <w:sz w:val="24"/>
                <w:szCs w:val="24"/>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(in thousands)</w:t>
            </w:r>
          </w:p>
        </w:tc>
        <w:tc>
          <w:tcPr>
            <w:tcW w:w="1700" w:type="dxa"/>
            <w:vAlign w:val="bottom"/>
            <w:gridSpan w:val="3"/>
          </w:tcPr>
          <w:p>
            <w:pPr>
              <w:ind w:left="60"/>
              <w:spacing w:after="0"/>
              <w:rPr>
                <w:sz w:val="20"/>
                <w:szCs w:val="20"/>
                <w:color w:val="auto"/>
              </w:rPr>
            </w:pPr>
            <w:r>
              <w:rPr>
                <w:rFonts w:ascii="Arial" w:cs="Arial" w:eastAsia="Arial" w:hAnsi="Arial"/>
                <w:sz w:val="16"/>
                <w:szCs w:val="16"/>
                <w:b w:val="1"/>
                <w:bCs w:val="1"/>
                <w:color w:val="auto"/>
              </w:rPr>
              <w:t>November 30, 2019</w:t>
            </w:r>
          </w:p>
        </w:tc>
        <w:tc>
          <w:tcPr>
            <w:tcW w:w="1600" w:type="dxa"/>
            <w:vAlign w:val="bottom"/>
            <w:gridSpan w:val="2"/>
          </w:tcPr>
          <w:p>
            <w:pPr>
              <w:jc w:val="right"/>
              <w:spacing w:after="0"/>
              <w:rPr>
                <w:sz w:val="20"/>
                <w:szCs w:val="20"/>
                <w:color w:val="auto"/>
              </w:rPr>
            </w:pPr>
            <w:r>
              <w:rPr>
                <w:rFonts w:ascii="Arial" w:cs="Arial" w:eastAsia="Arial" w:hAnsi="Arial"/>
                <w:sz w:val="16"/>
                <w:szCs w:val="16"/>
                <w:b w:val="1"/>
                <w:bCs w:val="1"/>
                <w:color w:val="auto"/>
              </w:rPr>
              <w:t>November 24, 2018</w:t>
            </w:r>
          </w:p>
        </w:tc>
      </w:tr>
      <w:tr>
        <w:trPr>
          <w:trHeight w:val="254"/>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Diluted income per share (GAAP)</w:t>
            </w:r>
          </w:p>
        </w:tc>
        <w:tc>
          <w:tcPr>
            <w:tcW w:w="480" w:type="dxa"/>
            <w:vAlign w:val="bottom"/>
            <w:tcBorders>
              <w:top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0.44</w:t>
            </w:r>
          </w:p>
        </w:tc>
        <w:tc>
          <w:tcPr>
            <w:tcW w:w="10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0.70</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Pretax acquisition-related costs</w:t>
            </w:r>
            <w:r>
              <w:rPr>
                <w:rFonts w:ascii="Arial" w:cs="Arial" w:eastAsia="Arial" w:hAnsi="Arial"/>
                <w:sz w:val="21"/>
                <w:szCs w:val="21"/>
                <w:color w:val="auto"/>
                <w:vertAlign w:val="superscript"/>
              </w:rPr>
              <w:t>(1)</w:t>
            </w:r>
          </w:p>
        </w:tc>
        <w:tc>
          <w:tcPr>
            <w:tcW w:w="4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0.31</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Pretax acquisition-related fair-value inventory step-up</w:t>
            </w:r>
          </w:p>
        </w:tc>
        <w:tc>
          <w:tcPr>
            <w:tcW w:w="48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6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tcPr>
          <w:p>
            <w:pPr>
              <w:ind w:left="180"/>
              <w:spacing w:after="0"/>
              <w:rPr>
                <w:sz w:val="20"/>
                <w:szCs w:val="20"/>
                <w:color w:val="auto"/>
              </w:rPr>
            </w:pPr>
            <w:r>
              <w:rPr>
                <w:rFonts w:ascii="Arial" w:cs="Arial" w:eastAsia="Arial" w:hAnsi="Arial"/>
                <w:sz w:val="16"/>
                <w:szCs w:val="16"/>
                <w:color w:val="auto"/>
              </w:rPr>
              <w:t>Pretax non-cash interest expense</w:t>
            </w:r>
            <w:r>
              <w:rPr>
                <w:rFonts w:ascii="Arial" w:cs="Arial" w:eastAsia="Arial" w:hAnsi="Arial"/>
                <w:sz w:val="21"/>
                <w:szCs w:val="21"/>
                <w:color w:val="auto"/>
                <w:vertAlign w:val="superscript"/>
              </w:rPr>
              <w:t>(2)</w:t>
            </w:r>
          </w:p>
        </w:tc>
        <w:tc>
          <w:tcPr>
            <w:tcW w:w="48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0.03</w:t>
            </w: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81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(3)</w:t>
            </w:r>
          </w:p>
        </w:tc>
        <w:tc>
          <w:tcPr>
            <w:tcW w:w="48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00" w:type="dxa"/>
            <w:vAlign w:val="bottom"/>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6"/>
        </w:trPr>
        <w:tc>
          <w:tcPr>
            <w:tcW w:w="8120" w:type="dxa"/>
            <w:vAlign w:val="bottom"/>
          </w:tcPr>
          <w:p>
            <w:pPr>
              <w:ind w:left="40"/>
              <w:spacing w:after="0"/>
              <w:rPr>
                <w:sz w:val="20"/>
                <w:szCs w:val="20"/>
                <w:color w:val="auto"/>
              </w:rPr>
            </w:pPr>
            <w:r>
              <w:rPr>
                <w:rFonts w:ascii="Arial" w:cs="Arial" w:eastAsia="Arial" w:hAnsi="Arial"/>
                <w:sz w:val="16"/>
                <w:szCs w:val="16"/>
                <w:color w:val="auto"/>
              </w:rPr>
              <w:t>Adjusted diluted income per share (Non-GAAP)</w:t>
            </w:r>
          </w:p>
        </w:tc>
        <w:tc>
          <w:tcPr>
            <w:tcW w:w="4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0.73</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0.70</w:t>
            </w:r>
          </w:p>
        </w:tc>
      </w:tr>
      <w:tr>
        <w:trPr>
          <w:trHeight w:val="20"/>
        </w:trPr>
        <w:tc>
          <w:tcPr>
            <w:tcW w:w="8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transaction-closing costs.</w:t>
      </w:r>
    </w:p>
    <w:p>
      <w:pPr>
        <w:spacing w:after="0" w:line="19" w:lineRule="exact"/>
        <w:rPr>
          <w:rFonts w:ascii="Arial" w:cs="Arial" w:eastAsia="Arial" w:hAnsi="Arial"/>
          <w:sz w:val="14"/>
          <w:szCs w:val="14"/>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Non-cash interest expense associated with the Convertible Notes issued related to our acquisition of Newmar.</w:t>
      </w:r>
    </w:p>
    <w:p>
      <w:pPr>
        <w:spacing w:after="0" w:line="1" w:lineRule="exact"/>
        <w:rPr>
          <w:rFonts w:ascii="Arial" w:cs="Arial" w:eastAsia="Arial" w:hAnsi="Arial"/>
          <w:sz w:val="14"/>
          <w:szCs w:val="14"/>
          <w:color w:val="auto"/>
        </w:rPr>
      </w:pPr>
    </w:p>
    <w:p>
      <w:pPr>
        <w:ind w:left="260" w:hanging="252"/>
        <w:spacing w:after="0"/>
        <w:tabs>
          <w:tab w:leader="none" w:pos="26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Income tax charge calculated using the statutory tax rate for the U.S. of 21.0% for both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900" w:type="dxa"/>
            <w:vAlign w:val="bottom"/>
          </w:tcPr>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90"/>
        </w:trPr>
        <w:tc>
          <w:tcPr>
            <w:tcW w:w="79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r>
      <w:tr>
        <w:trPr>
          <w:trHeight w:val="193"/>
        </w:trPr>
        <w:tc>
          <w:tcPr>
            <w:tcW w:w="7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Arial" w:cs="Arial" w:eastAsia="Arial" w:hAnsi="Arial"/>
                <w:sz w:val="16"/>
                <w:szCs w:val="16"/>
                <w:b w:val="1"/>
                <w:bCs w:val="1"/>
                <w:color w:val="auto"/>
              </w:rPr>
              <w:t>November 30,</w:t>
            </w:r>
          </w:p>
        </w:tc>
        <w:tc>
          <w:tcPr>
            <w:tcW w:w="200" w:type="dxa"/>
            <w:vAlign w:val="bottom"/>
          </w:tcPr>
          <w:p>
            <w:pPr>
              <w:spacing w:after="0"/>
              <w:rPr>
                <w:sz w:val="16"/>
                <w:szCs w:val="16"/>
                <w:color w:val="auto"/>
              </w:rPr>
            </w:pPr>
          </w:p>
        </w:tc>
        <w:tc>
          <w:tcPr>
            <w:tcW w:w="1500" w:type="dxa"/>
            <w:vAlign w:val="bottom"/>
          </w:tcPr>
          <w:p>
            <w:pPr>
              <w:jc w:val="right"/>
              <w:ind w:right="259"/>
              <w:spacing w:after="0"/>
              <w:rPr>
                <w:sz w:val="20"/>
                <w:szCs w:val="20"/>
                <w:color w:val="auto"/>
              </w:rPr>
            </w:pPr>
            <w:r>
              <w:rPr>
                <w:rFonts w:ascii="Arial" w:cs="Arial" w:eastAsia="Arial" w:hAnsi="Arial"/>
                <w:sz w:val="16"/>
                <w:szCs w:val="16"/>
                <w:b w:val="1"/>
                <w:bCs w:val="1"/>
                <w:color w:val="auto"/>
              </w:rPr>
              <w:t>November 24,</w:t>
            </w:r>
          </w:p>
        </w:tc>
      </w:tr>
      <w:tr>
        <w:trPr>
          <w:trHeight w:val="232"/>
        </w:trPr>
        <w:tc>
          <w:tcPr>
            <w:tcW w:w="79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2018</w:t>
            </w:r>
          </w:p>
        </w:tc>
      </w:tr>
      <w:tr>
        <w:trPr>
          <w:trHeight w:val="267"/>
        </w:trPr>
        <w:tc>
          <w:tcPr>
            <w:tcW w:w="790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14,068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22,161</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6,049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4,501</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3,893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6,726</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Depreciation</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3,586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3,169</w:t>
            </w:r>
          </w:p>
        </w:tc>
      </w:tr>
      <w:tr>
        <w:trPr>
          <w:trHeight w:val="271"/>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2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3,614</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2,659</w:t>
            </w:r>
          </w:p>
        </w:tc>
      </w:tr>
      <w:tr>
        <w:trPr>
          <w:trHeight w:val="249"/>
        </w:trPr>
        <w:tc>
          <w:tcPr>
            <w:tcW w:w="7900" w:type="dxa"/>
            <w:vAlign w:val="bottom"/>
          </w:tcPr>
          <w:p>
            <w:pPr>
              <w:ind w:left="40"/>
              <w:spacing w:after="0"/>
              <w:rPr>
                <w:sz w:val="20"/>
                <w:szCs w:val="20"/>
                <w:color w:val="auto"/>
              </w:rPr>
            </w:pPr>
            <w:r>
              <w:rPr>
                <w:rFonts w:ascii="Arial" w:cs="Arial" w:eastAsia="Arial" w:hAnsi="Arial"/>
                <w:sz w:val="16"/>
                <w:szCs w:val="16"/>
                <w:color w:val="auto"/>
              </w:rPr>
              <w:t>EBITDA</w:t>
            </w:r>
          </w:p>
        </w:tc>
        <w:tc>
          <w:tcPr>
            <w:tcW w:w="220" w:type="dxa"/>
            <w:vAlign w:val="bottom"/>
          </w:tcPr>
          <w:p>
            <w:pPr>
              <w:spacing w:after="0"/>
              <w:rPr>
                <w:sz w:val="21"/>
                <w:szCs w:val="21"/>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31,210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39,216</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Acquisition-related fair-value inventory step-up</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1,176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2"/>
        </w:trPr>
        <w:tc>
          <w:tcPr>
            <w:tcW w:w="7900" w:type="dxa"/>
            <w:vAlign w:val="bottom"/>
          </w:tcPr>
          <w:p>
            <w:pPr>
              <w:ind w:left="180"/>
              <w:spacing w:after="0"/>
              <w:rPr>
                <w:sz w:val="20"/>
                <w:szCs w:val="20"/>
                <w:color w:val="auto"/>
              </w:rPr>
            </w:pPr>
            <w:r>
              <w:rPr>
                <w:rFonts w:ascii="Arial" w:cs="Arial" w:eastAsia="Arial" w:hAnsi="Arial"/>
                <w:sz w:val="16"/>
                <w:szCs w:val="16"/>
                <w:color w:val="auto"/>
              </w:rPr>
              <w:t>Acquisition-related costs</w:t>
            </w:r>
          </w:p>
        </w:tc>
        <w:tc>
          <w:tcPr>
            <w:tcW w:w="22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9,950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790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Restructuring expenses</w:t>
            </w:r>
          </w:p>
        </w:tc>
        <w:tc>
          <w:tcPr>
            <w:tcW w:w="22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5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Non-operating income</w:t>
            </w:r>
          </w:p>
        </w:tc>
        <w:tc>
          <w:tcPr>
            <w:tcW w:w="2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(116)</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(763)</w:t>
            </w:r>
          </w:p>
        </w:tc>
      </w:tr>
      <w:tr>
        <w:trPr>
          <w:trHeight w:val="242"/>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42,048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38,453</w:t>
            </w:r>
          </w:p>
        </w:tc>
      </w:tr>
      <w:tr>
        <w:trPr>
          <w:trHeight w:val="20"/>
        </w:trPr>
        <w:tc>
          <w:tcPr>
            <w:tcW w:w="7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We have provided non-GAAP performance measures of Adjusted diluted income per share, EBITDA, and Adjusted EBITDA as comparable measures to illustrate the effect of non-recurring transactions occurring during the reported periods and improve comparability of our results from period to period. Adjusted diluted income per share is defined as income per share adjusted for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adjustments made in order to present comparable results from period to period. We believe Adjusted diluted income per share and Adjusted EBITDA provides meaningful supplemental information about our operating performance because these measures exclude amounts that we do not consider part of our core operating results when assessing our performance. Examples of items excluded from Adjusted income per share include acquisition-related costs, acquisition-related fair-value inventory step-up, non-cash interest expense, and the tax impact of the adjustments. Examples of items excluded from Adjusted EBITDA include acquisition-related fair-value inventory step-up, acquisition-related costs, restructuring expenses, and non-operating income.</w:t>
      </w:r>
    </w:p>
    <w:p>
      <w:pPr>
        <w:spacing w:after="0" w:line="156" w:lineRule="exact"/>
        <w:rPr>
          <w:sz w:val="20"/>
          <w:szCs w:val="20"/>
          <w:color w:val="auto"/>
        </w:rPr>
      </w:pPr>
    </w:p>
    <w:p>
      <w:pPr>
        <w:ind w:right="740"/>
        <w:spacing w:after="0" w:line="291"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331" w:right="239" w:bottom="1440" w:gutter="0" w:footer="0" w:header="0"/>
        </w:sectPr>
      </w:pPr>
    </w:p>
    <w:bookmarkStart w:id="12" w:name="page13"/>
    <w:bookmarkEnd w:id="12"/>
    <w:p>
      <w:pPr>
        <w:spacing w:after="0" w:line="261" w:lineRule="auto"/>
        <w:rPr>
          <w:sz w:val="20"/>
          <w:szCs w:val="20"/>
          <w:color w:val="auto"/>
        </w:rPr>
      </w:pPr>
      <w:r>
        <w:rPr>
          <w:rFonts w:ascii="Arial" w:cs="Arial" w:eastAsia="Arial" w:hAnsi="Arial"/>
          <w:sz w:val="16"/>
          <w:szCs w:val="16"/>
          <w:color w:val="auto"/>
        </w:rPr>
        <w:t>basis; (c) in presentations to the members of our board of directors to enable our board of directors to have the same measurement basis of operating performance as is used by management in its assessments of performance and in forecasting and budgeting for our company; (d) to evaluate potential acquisitions; and (e) to ensure compliance with covenants and restricted activities under the terms of our debt agreements. We believe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350" w:lineRule="exact"/>
        <w:rPr>
          <w:sz w:val="20"/>
          <w:szCs w:val="20"/>
          <w:color w:val="auto"/>
        </w:rPr>
      </w:pPr>
    </w:p>
    <w:p>
      <w:pPr>
        <w:jc w:val="center"/>
        <w:ind w:right="-519"/>
        <w:spacing w:after="0"/>
        <w:rPr>
          <w:sz w:val="20"/>
          <w:szCs w:val="20"/>
          <w:color w:val="auto"/>
        </w:rPr>
      </w:pPr>
      <w:r>
        <w:rPr>
          <w:rFonts w:ascii="Arial" w:cs="Arial" w:eastAsia="Arial" w:hAnsi="Arial"/>
          <w:sz w:val="16"/>
          <w:szCs w:val="16"/>
          <w:color w:val="auto"/>
        </w:rPr>
        <w:t>10</w:t>
      </w:r>
    </w:p>
    <w:sectPr>
      <w:pgSz w:w="11900" w:h="16838" w:orient="portrait"/>
      <w:cols w:equalWidth="0" w:num="1">
        <w:col w:w="10900"/>
      </w:cols>
      <w:pgMar w:left="240" w:top="337"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2019-12-28T00:53:47Z</dcterms:created>
  <dcterms:modified xsi:type="dcterms:W3CDTF">2019-12-28T00:53:47Z</dcterms:modified>
</cp:coreProperties>
</file>