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Arial" w:cs="Arial" w:eastAsia="Arial" w:hAnsi="Arial"/>
          <w:sz w:val="22"/>
          <w:szCs w:val="22"/>
          <w:b w:val="1"/>
          <w:bCs w:val="1"/>
          <w:color w:val="auto"/>
        </w:rPr>
        <w:t>UNITED STATES</w:t>
      </w:r>
    </w:p>
    <w:p>
      <w:pPr>
        <w:spacing w:after="0" w:line="21"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20"/>
        <w:spacing w:after="0"/>
        <w:rPr>
          <w:sz w:val="20"/>
          <w:szCs w:val="20"/>
          <w:color w:val="auto"/>
        </w:rPr>
      </w:pPr>
      <w:r>
        <w:rPr>
          <w:rFonts w:ascii="Arial" w:cs="Arial" w:eastAsia="Arial" w:hAnsi="Arial"/>
          <w:sz w:val="18"/>
          <w:szCs w:val="18"/>
          <w:b w:val="1"/>
          <w:bCs w:val="1"/>
          <w:color w:val="auto"/>
        </w:rPr>
        <w:t>WASHINGTON, D.C. 20549</w:t>
      </w:r>
    </w:p>
    <w:p>
      <w:pPr>
        <w:spacing w:after="0" w:line="228" w:lineRule="exact"/>
        <w:rPr>
          <w:sz w:val="24"/>
          <w:szCs w:val="24"/>
          <w:color w:val="auto"/>
        </w:rPr>
      </w:pPr>
    </w:p>
    <w:p>
      <w:pPr>
        <w:jc w:val="center"/>
        <w:ind w:right="20"/>
        <w:spacing w:after="0"/>
        <w:rPr>
          <w:sz w:val="20"/>
          <w:szCs w:val="20"/>
          <w:color w:val="auto"/>
        </w:rPr>
      </w:pPr>
      <w:r>
        <w:rPr>
          <w:rFonts w:ascii="Arial" w:cs="Arial" w:eastAsia="Arial" w:hAnsi="Arial"/>
          <w:sz w:val="25"/>
          <w:szCs w:val="25"/>
          <w:b w:val="1"/>
          <w:bCs w:val="1"/>
          <w:color w:val="auto"/>
        </w:rPr>
        <w:t>FORM 8-K</w:t>
      </w:r>
    </w:p>
    <w:p>
      <w:pPr>
        <w:spacing w:after="0" w:line="290"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CURRENT REPORT</w:t>
      </w:r>
    </w:p>
    <w:p>
      <w:pPr>
        <w:spacing w:after="0" w:line="21"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Pursuant to Section 13 or 15(d) of The Securities Exchange Act of 1934</w:t>
      </w:r>
    </w:p>
    <w:p>
      <w:pPr>
        <w:spacing w:after="0" w:line="192" w:lineRule="exact"/>
        <w:rPr>
          <w:sz w:val="24"/>
          <w:szCs w:val="24"/>
          <w:color w:val="auto"/>
        </w:rPr>
      </w:pPr>
    </w:p>
    <w:p>
      <w:pPr>
        <w:jc w:val="center"/>
        <w:ind w:right="20"/>
        <w:spacing w:after="0"/>
        <w:rPr>
          <w:sz w:val="20"/>
          <w:szCs w:val="20"/>
          <w:color w:val="auto"/>
        </w:rPr>
      </w:pPr>
      <w:r>
        <w:rPr>
          <w:rFonts w:ascii="Arial" w:cs="Arial" w:eastAsia="Arial" w:hAnsi="Arial"/>
          <w:sz w:val="16"/>
          <w:szCs w:val="16"/>
          <w:color w:val="auto"/>
        </w:rPr>
        <w:t>Date of report (Date of earliest event reported): October 23,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1864995</wp:posOffset>
            </wp:positionH>
            <wp:positionV relativeFrom="paragraph">
              <wp:posOffset>175260</wp:posOffset>
            </wp:positionV>
            <wp:extent cx="3420110" cy="9861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420110" cy="9861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86"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Winnebago Industries, Inc.</w:t>
      </w:r>
    </w:p>
    <w:p>
      <w:pPr>
        <w:spacing w:after="0" w:line="56" w:lineRule="exact"/>
        <w:rPr>
          <w:sz w:val="24"/>
          <w:szCs w:val="24"/>
          <w:color w:val="auto"/>
        </w:rPr>
      </w:pPr>
    </w:p>
    <w:p>
      <w:pPr>
        <w:jc w:val="center"/>
        <w:ind w:right="20"/>
        <w:spacing w:after="0"/>
        <w:rPr>
          <w:sz w:val="20"/>
          <w:szCs w:val="20"/>
          <w:color w:val="auto"/>
        </w:rPr>
      </w:pPr>
      <w:r>
        <w:rPr>
          <w:rFonts w:ascii="Arial" w:cs="Arial" w:eastAsia="Arial" w:hAnsi="Arial"/>
          <w:sz w:val="16"/>
          <w:szCs w:val="16"/>
          <w:color w:val="auto"/>
        </w:rPr>
        <w:t>(Exact Name of Registrant as Specified in its Charter)</w:t>
      </w:r>
    </w:p>
    <w:p>
      <w:pPr>
        <w:spacing w:after="0" w:line="138" w:lineRule="exact"/>
        <w:rPr>
          <w:sz w:val="24"/>
          <w:szCs w:val="24"/>
          <w:color w:val="auto"/>
        </w:rPr>
      </w:pPr>
    </w:p>
    <w:tbl>
      <w:tblPr>
        <w:tblLayout w:type="fixed"/>
        <w:tblInd w:w="0" w:type="dxa"/>
        <w:tblCellMar>
          <w:top w:w="0" w:type="dxa"/>
          <w:left w:w="0" w:type="dxa"/>
          <w:bottom w:w="0" w:type="dxa"/>
          <w:right w:w="0" w:type="dxa"/>
        </w:tblCellMar>
      </w:tblPr>
      <w:tr>
        <w:trPr>
          <w:trHeight w:val="217"/>
        </w:trPr>
        <w:tc>
          <w:tcPr>
            <w:tcW w:w="2060" w:type="dxa"/>
            <w:vAlign w:val="bottom"/>
            <w:tcBorders>
              <w:bottom w:val="single" w:sz="8" w:color="auto"/>
            </w:tcBorders>
          </w:tcPr>
          <w:p>
            <w:pPr>
              <w:spacing w:after="0"/>
              <w:rPr>
                <w:sz w:val="18"/>
                <w:szCs w:val="18"/>
                <w:color w:val="auto"/>
              </w:rPr>
            </w:pPr>
          </w:p>
        </w:tc>
        <w:tc>
          <w:tcPr>
            <w:tcW w:w="2100" w:type="dxa"/>
            <w:vAlign w:val="bottom"/>
            <w:tcBorders>
              <w:bottom w:val="single" w:sz="8" w:color="auto"/>
            </w:tcBorders>
          </w:tcPr>
          <w:p>
            <w:pPr>
              <w:jc w:val="center"/>
              <w:ind w:right="699"/>
              <w:spacing w:after="0"/>
              <w:rPr>
                <w:sz w:val="20"/>
                <w:szCs w:val="20"/>
                <w:color w:val="auto"/>
              </w:rPr>
            </w:pPr>
            <w:r>
              <w:rPr>
                <w:rFonts w:ascii="Arial" w:cs="Arial" w:eastAsia="Arial" w:hAnsi="Arial"/>
                <w:sz w:val="16"/>
                <w:szCs w:val="16"/>
                <w:b w:val="1"/>
                <w:bCs w:val="1"/>
                <w:color w:val="auto"/>
              </w:rPr>
              <w:t>Minnesota</w:t>
            </w:r>
          </w:p>
        </w:tc>
        <w:tc>
          <w:tcPr>
            <w:tcW w:w="1260" w:type="dxa"/>
            <w:vAlign w:val="bottom"/>
            <w:tcBorders>
              <w:bottom w:val="single" w:sz="8" w:color="auto"/>
            </w:tcBorders>
          </w:tcPr>
          <w:p>
            <w:pPr>
              <w:spacing w:after="0"/>
              <w:rPr>
                <w:sz w:val="18"/>
                <w:szCs w:val="18"/>
                <w:color w:val="auto"/>
              </w:rPr>
            </w:pPr>
          </w:p>
        </w:tc>
        <w:tc>
          <w:tcPr>
            <w:tcW w:w="206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001-06403</w:t>
            </w:r>
          </w:p>
        </w:tc>
        <w:tc>
          <w:tcPr>
            <w:tcW w:w="3760" w:type="dxa"/>
            <w:vAlign w:val="bottom"/>
            <w:tcBorders>
              <w:bottom w:val="single" w:sz="8" w:color="auto"/>
            </w:tcBorders>
          </w:tcPr>
          <w:p>
            <w:pPr>
              <w:jc w:val="right"/>
              <w:ind w:right="1379"/>
              <w:spacing w:after="0"/>
              <w:rPr>
                <w:sz w:val="20"/>
                <w:szCs w:val="20"/>
                <w:color w:val="auto"/>
              </w:rPr>
            </w:pPr>
            <w:r>
              <w:rPr>
                <w:rFonts w:ascii="Arial" w:cs="Arial" w:eastAsia="Arial" w:hAnsi="Arial"/>
                <w:sz w:val="16"/>
                <w:szCs w:val="16"/>
                <w:b w:val="1"/>
                <w:bCs w:val="1"/>
                <w:color w:val="auto"/>
              </w:rPr>
              <w:t>42-0802678</w:t>
            </w:r>
          </w:p>
        </w:tc>
      </w:tr>
      <w:tr>
        <w:trPr>
          <w:trHeight w:val="208"/>
        </w:trPr>
        <w:tc>
          <w:tcPr>
            <w:tcW w:w="5420" w:type="dxa"/>
            <w:vAlign w:val="bottom"/>
            <w:gridSpan w:val="3"/>
          </w:tcPr>
          <w:p>
            <w:pPr>
              <w:jc w:val="center"/>
              <w:spacing w:after="0"/>
              <w:rPr>
                <w:sz w:val="20"/>
                <w:szCs w:val="20"/>
                <w:color w:val="auto"/>
              </w:rPr>
            </w:pPr>
            <w:r>
              <w:rPr>
                <w:rFonts w:ascii="Arial" w:cs="Arial" w:eastAsia="Arial" w:hAnsi="Arial"/>
                <w:sz w:val="16"/>
                <w:szCs w:val="16"/>
                <w:color w:val="auto"/>
              </w:rPr>
              <w:t>(State or Other Jurisdiction of Incorporation)</w:t>
            </w:r>
          </w:p>
        </w:tc>
        <w:tc>
          <w:tcPr>
            <w:tcW w:w="2060" w:type="dxa"/>
            <w:vAlign w:val="bottom"/>
          </w:tcPr>
          <w:p>
            <w:pPr>
              <w:jc w:val="center"/>
              <w:spacing w:after="0"/>
              <w:rPr>
                <w:sz w:val="20"/>
                <w:szCs w:val="20"/>
                <w:color w:val="auto"/>
              </w:rPr>
            </w:pPr>
            <w:r>
              <w:rPr>
                <w:rFonts w:ascii="Arial" w:cs="Arial" w:eastAsia="Arial" w:hAnsi="Arial"/>
                <w:sz w:val="16"/>
                <w:szCs w:val="16"/>
                <w:color w:val="auto"/>
              </w:rPr>
              <w:t>(Commission File Number)</w:t>
            </w:r>
          </w:p>
        </w:tc>
        <w:tc>
          <w:tcPr>
            <w:tcW w:w="3760" w:type="dxa"/>
            <w:vAlign w:val="bottom"/>
          </w:tcPr>
          <w:p>
            <w:pPr>
              <w:jc w:val="center"/>
              <w:spacing w:after="0"/>
              <w:rPr>
                <w:sz w:val="20"/>
                <w:szCs w:val="20"/>
                <w:color w:val="auto"/>
              </w:rPr>
            </w:pPr>
            <w:r>
              <w:rPr>
                <w:rFonts w:ascii="Arial" w:cs="Arial" w:eastAsia="Arial" w:hAnsi="Arial"/>
                <w:sz w:val="16"/>
                <w:szCs w:val="16"/>
                <w:color w:val="auto"/>
              </w:rPr>
              <w:t>(IRS Employer Identification No.)</w:t>
            </w:r>
          </w:p>
        </w:tc>
      </w:tr>
      <w:tr>
        <w:trPr>
          <w:trHeight w:val="433"/>
        </w:trPr>
        <w:tc>
          <w:tcPr>
            <w:tcW w:w="2060" w:type="dxa"/>
            <w:vAlign w:val="bottom"/>
            <w:tcBorders>
              <w:bottom w:val="single" w:sz="8" w:color="auto"/>
            </w:tcBorders>
          </w:tcPr>
          <w:p>
            <w:pPr>
              <w:ind w:left="340"/>
              <w:spacing w:after="0"/>
              <w:rPr>
                <w:sz w:val="20"/>
                <w:szCs w:val="20"/>
                <w:color w:val="auto"/>
              </w:rPr>
            </w:pPr>
            <w:r>
              <w:rPr>
                <w:rFonts w:ascii="Arial" w:cs="Arial" w:eastAsia="Arial" w:hAnsi="Arial"/>
                <w:sz w:val="16"/>
                <w:szCs w:val="16"/>
                <w:b w:val="1"/>
                <w:bCs w:val="1"/>
                <w:color w:val="auto"/>
              </w:rPr>
              <w:t>13200 Pioneer Trail</w:t>
            </w:r>
          </w:p>
        </w:tc>
        <w:tc>
          <w:tcPr>
            <w:tcW w:w="2100" w:type="dxa"/>
            <w:vAlign w:val="bottom"/>
            <w:tcBorders>
              <w:bottom w:val="single" w:sz="8" w:color="auto"/>
            </w:tcBorders>
          </w:tcPr>
          <w:p>
            <w:pPr>
              <w:ind w:left="420"/>
              <w:spacing w:after="0"/>
              <w:rPr>
                <w:sz w:val="20"/>
                <w:szCs w:val="20"/>
                <w:color w:val="auto"/>
              </w:rPr>
            </w:pPr>
            <w:r>
              <w:rPr>
                <w:rFonts w:ascii="Arial" w:cs="Arial" w:eastAsia="Arial" w:hAnsi="Arial"/>
                <w:sz w:val="16"/>
                <w:szCs w:val="16"/>
                <w:b w:val="1"/>
                <w:bCs w:val="1"/>
                <w:color w:val="auto"/>
              </w:rPr>
              <w:t>Eden Prairie</w:t>
            </w:r>
          </w:p>
        </w:tc>
        <w:tc>
          <w:tcPr>
            <w:tcW w:w="126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Minnesota</w:t>
            </w:r>
          </w:p>
        </w:tc>
        <w:tc>
          <w:tcPr>
            <w:tcW w:w="2060" w:type="dxa"/>
            <w:vAlign w:val="bottom"/>
          </w:tcPr>
          <w:p>
            <w:pPr>
              <w:spacing w:after="0"/>
              <w:rPr>
                <w:sz w:val="24"/>
                <w:szCs w:val="24"/>
                <w:color w:val="auto"/>
              </w:rPr>
            </w:pPr>
          </w:p>
        </w:tc>
        <w:tc>
          <w:tcPr>
            <w:tcW w:w="3760" w:type="dxa"/>
            <w:vAlign w:val="bottom"/>
            <w:tcBorders>
              <w:bottom w:val="single" w:sz="8" w:color="auto"/>
            </w:tcBorders>
          </w:tcPr>
          <w:p>
            <w:pPr>
              <w:jc w:val="right"/>
              <w:ind w:right="1579"/>
              <w:spacing w:after="0"/>
              <w:rPr>
                <w:sz w:val="20"/>
                <w:szCs w:val="20"/>
                <w:color w:val="auto"/>
              </w:rPr>
            </w:pPr>
            <w:r>
              <w:rPr>
                <w:rFonts w:ascii="Arial" w:cs="Arial" w:eastAsia="Arial" w:hAnsi="Arial"/>
                <w:sz w:val="16"/>
                <w:szCs w:val="16"/>
                <w:b w:val="1"/>
                <w:bCs w:val="1"/>
                <w:color w:val="auto"/>
              </w:rPr>
              <w:t>55347</w:t>
            </w:r>
          </w:p>
        </w:tc>
      </w:tr>
      <w:tr>
        <w:trPr>
          <w:trHeight w:val="208"/>
        </w:trPr>
        <w:tc>
          <w:tcPr>
            <w:tcW w:w="4160" w:type="dxa"/>
            <w:vAlign w:val="bottom"/>
            <w:gridSpan w:val="2"/>
          </w:tcPr>
          <w:p>
            <w:pPr>
              <w:jc w:val="center"/>
              <w:ind w:left="1199"/>
              <w:spacing w:after="0"/>
              <w:rPr>
                <w:sz w:val="20"/>
                <w:szCs w:val="20"/>
                <w:color w:val="auto"/>
              </w:rPr>
            </w:pPr>
            <w:r>
              <w:rPr>
                <w:rFonts w:ascii="Arial" w:cs="Arial" w:eastAsia="Arial" w:hAnsi="Arial"/>
                <w:sz w:val="16"/>
                <w:szCs w:val="16"/>
                <w:color w:val="auto"/>
              </w:rPr>
              <w:t>(Address of Principal Executive Offices)</w:t>
            </w:r>
          </w:p>
        </w:tc>
        <w:tc>
          <w:tcPr>
            <w:tcW w:w="126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3760" w:type="dxa"/>
            <w:vAlign w:val="bottom"/>
          </w:tcPr>
          <w:p>
            <w:pPr>
              <w:jc w:val="center"/>
              <w:spacing w:after="0"/>
              <w:rPr>
                <w:sz w:val="20"/>
                <w:szCs w:val="20"/>
                <w:color w:val="auto"/>
              </w:rPr>
            </w:pPr>
            <w:r>
              <w:rPr>
                <w:rFonts w:ascii="Arial" w:cs="Arial" w:eastAsia="Arial" w:hAnsi="Arial"/>
                <w:sz w:val="16"/>
                <w:szCs w:val="16"/>
                <w:color w:val="auto"/>
              </w:rPr>
              <w:t>(Zip Code)</w:t>
            </w:r>
          </w:p>
        </w:tc>
      </w:tr>
    </w:tbl>
    <w:p>
      <w:pPr>
        <w:spacing w:after="0" w:line="338" w:lineRule="exact"/>
        <w:rPr>
          <w:sz w:val="24"/>
          <w:szCs w:val="24"/>
          <w:color w:val="auto"/>
        </w:rPr>
      </w:pPr>
    </w:p>
    <w:p>
      <w:pPr>
        <w:jc w:val="center"/>
        <w:spacing w:after="0"/>
        <w:tabs>
          <w:tab w:leader="none" w:pos="120" w:val="left"/>
        </w:tabs>
        <w:rPr>
          <w:sz w:val="20"/>
          <w:szCs w:val="20"/>
          <w:color w:val="auto"/>
        </w:rPr>
      </w:pPr>
      <w:r>
        <w:rPr>
          <w:rFonts w:ascii="Arial" w:cs="Arial" w:eastAsia="Arial" w:hAnsi="Arial"/>
          <w:sz w:val="16"/>
          <w:szCs w:val="16"/>
          <w:color w:val="auto"/>
        </w:rPr>
        <w:t>Registrant's telephone number, including area code:</w:t>
      </w:r>
      <w:r>
        <w:rPr>
          <w:sz w:val="20"/>
          <w:szCs w:val="20"/>
          <w:color w:val="auto"/>
        </w:rPr>
        <w:tab/>
      </w:r>
      <w:r>
        <w:rPr>
          <w:rFonts w:ascii="Arial" w:cs="Arial" w:eastAsia="Arial" w:hAnsi="Arial"/>
          <w:sz w:val="16"/>
          <w:szCs w:val="16"/>
          <w:b w:val="1"/>
          <w:bCs w:val="1"/>
          <w:color w:val="auto"/>
        </w:rPr>
        <w:t>(952) 829-8600</w:t>
      </w:r>
    </w:p>
    <w:p>
      <w:pPr>
        <w:spacing w:after="0" w:line="21" w:lineRule="exact"/>
        <w:rPr>
          <w:sz w:val="24"/>
          <w:szCs w:val="24"/>
          <w:color w:val="auto"/>
        </w:rPr>
      </w:pPr>
    </w:p>
    <w:p>
      <w:pPr>
        <w:ind w:left="2480"/>
        <w:spacing w:after="0"/>
        <w:rPr>
          <w:sz w:val="20"/>
          <w:szCs w:val="20"/>
          <w:color w:val="auto"/>
        </w:rPr>
      </w:pPr>
      <w:r>
        <w:rPr>
          <w:rFonts w:ascii="Arial" w:cs="Arial" w:eastAsia="Arial" w:hAnsi="Arial"/>
          <w:sz w:val="16"/>
          <w:szCs w:val="16"/>
          <w:color w:val="auto"/>
        </w:rPr>
        <w:t>______________________________________________________________________</w:t>
      </w:r>
    </w:p>
    <w:p>
      <w:pPr>
        <w:spacing w:after="0" w:line="5" w:lineRule="exact"/>
        <w:rPr>
          <w:sz w:val="24"/>
          <w:szCs w:val="24"/>
          <w:color w:val="auto"/>
        </w:rPr>
      </w:pPr>
    </w:p>
    <w:p>
      <w:pPr>
        <w:jc w:val="center"/>
        <w:ind w:right="60"/>
        <w:spacing w:after="0"/>
        <w:rPr>
          <w:sz w:val="20"/>
          <w:szCs w:val="20"/>
          <w:color w:val="auto"/>
        </w:rPr>
      </w:pPr>
      <w:r>
        <w:rPr>
          <w:rFonts w:ascii="Arial" w:cs="Arial" w:eastAsia="Arial" w:hAnsi="Arial"/>
          <w:sz w:val="16"/>
          <w:szCs w:val="16"/>
          <w:color w:val="auto"/>
        </w:rPr>
        <w:t>(Former Name or Former Address, if Changed Since Last Report.)</w:t>
      </w:r>
    </w:p>
    <w:p>
      <w:pPr>
        <w:spacing w:after="0" w:line="246" w:lineRule="exact"/>
        <w:rPr>
          <w:sz w:val="24"/>
          <w:szCs w:val="24"/>
          <w:color w:val="auto"/>
        </w:rPr>
      </w:pPr>
    </w:p>
    <w:p>
      <w:pPr>
        <w:jc w:val="both"/>
        <w:ind w:right="20"/>
        <w:spacing w:after="0" w:line="286" w:lineRule="auto"/>
        <w:rPr>
          <w:sz w:val="20"/>
          <w:szCs w:val="20"/>
          <w:color w:val="auto"/>
        </w:rPr>
      </w:pPr>
      <w:r>
        <w:rPr>
          <w:rFonts w:ascii="Arial" w:cs="Arial" w:eastAsia="Arial" w:hAnsi="Arial"/>
          <w:sz w:val="16"/>
          <w:szCs w:val="16"/>
          <w:color w:val="auto"/>
        </w:rPr>
        <w:t>Check the appropriate box below if the Form 8-K filing is intended to simultaneously satisfy the filing obligation of the registrant under any of the following provisions (see General Instruction A.2. below):</w:t>
      </w:r>
    </w:p>
    <w:p>
      <w:pPr>
        <w:spacing w:after="0" w:line="142" w:lineRule="exact"/>
        <w:rPr>
          <w:sz w:val="24"/>
          <w:szCs w:val="24"/>
          <w:color w:val="auto"/>
        </w:rPr>
      </w:pPr>
    </w:p>
    <w:p>
      <w:pPr>
        <w:ind w:left="380" w:hanging="372"/>
        <w:spacing w:after="0"/>
        <w:tabs>
          <w:tab w:leader="none" w:pos="38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Written communications pursuant to Rule 425 under the Securities Act (17 CFR 230.425)</w:t>
      </w:r>
    </w:p>
    <w:p>
      <w:pPr>
        <w:spacing w:after="0" w:line="207" w:lineRule="exact"/>
        <w:rPr>
          <w:rFonts w:ascii="MS PGothic" w:cs="MS PGothic" w:eastAsia="MS PGothic" w:hAnsi="MS PGothic"/>
          <w:sz w:val="16"/>
          <w:szCs w:val="16"/>
          <w:color w:val="auto"/>
        </w:rPr>
      </w:pPr>
    </w:p>
    <w:p>
      <w:pPr>
        <w:ind w:left="380" w:hanging="372"/>
        <w:spacing w:after="0"/>
        <w:tabs>
          <w:tab w:leader="none" w:pos="38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Soliciting material pursuant to Rule 14a-12 under the Exchange Act (17 CFR 240.14a-12)</w:t>
      </w:r>
    </w:p>
    <w:p>
      <w:pPr>
        <w:spacing w:after="0" w:line="207" w:lineRule="exact"/>
        <w:rPr>
          <w:rFonts w:ascii="MS PGothic" w:cs="MS PGothic" w:eastAsia="MS PGothic" w:hAnsi="MS PGothic"/>
          <w:sz w:val="16"/>
          <w:szCs w:val="16"/>
          <w:color w:val="auto"/>
        </w:rPr>
      </w:pPr>
    </w:p>
    <w:p>
      <w:pPr>
        <w:ind w:left="380" w:hanging="372"/>
        <w:spacing w:after="0"/>
        <w:tabs>
          <w:tab w:leader="none" w:pos="38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14d-2(b) under the Exchange Act (17 CFR 240.14d-2(b))</w:t>
      </w:r>
    </w:p>
    <w:p>
      <w:pPr>
        <w:spacing w:after="0" w:line="194" w:lineRule="exact"/>
        <w:rPr>
          <w:rFonts w:ascii="MS PGothic" w:cs="MS PGothic" w:eastAsia="MS PGothic" w:hAnsi="MS PGothic"/>
          <w:sz w:val="16"/>
          <w:szCs w:val="16"/>
          <w:color w:val="auto"/>
        </w:rPr>
      </w:pPr>
    </w:p>
    <w:p>
      <w:pPr>
        <w:ind w:left="380" w:hanging="372"/>
        <w:spacing w:after="0"/>
        <w:tabs>
          <w:tab w:leader="none" w:pos="38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13e-4(c) under the Exchange Act (17 CFR 240.13e-4(c))</w:t>
      </w:r>
    </w:p>
    <w:p>
      <w:pPr>
        <w:spacing w:after="0" w:line="262" w:lineRule="exact"/>
        <w:rPr>
          <w:sz w:val="24"/>
          <w:szCs w:val="24"/>
          <w:color w:val="auto"/>
        </w:rPr>
      </w:pPr>
    </w:p>
    <w:p>
      <w:pPr>
        <w:spacing w:after="0"/>
        <w:rPr>
          <w:sz w:val="20"/>
          <w:szCs w:val="20"/>
          <w:color w:val="auto"/>
        </w:rPr>
      </w:pPr>
      <w:r>
        <w:rPr>
          <w:rFonts w:ascii="Arial" w:cs="Arial" w:eastAsia="Arial" w:hAnsi="Arial"/>
          <w:sz w:val="16"/>
          <w:szCs w:val="16"/>
          <w:color w:val="auto"/>
        </w:rPr>
        <w:t>Securities registered pursuant to Section 12(b) of the Act:</w:t>
      </w:r>
    </w:p>
    <w:p>
      <w:pPr>
        <w:spacing w:after="0" w:line="31" w:lineRule="exact"/>
        <w:rPr>
          <w:sz w:val="24"/>
          <w:szCs w:val="24"/>
          <w:color w:val="auto"/>
        </w:rPr>
      </w:pPr>
    </w:p>
    <w:tbl>
      <w:tblPr>
        <w:tblLayout w:type="fixed"/>
        <w:tblInd w:w="10" w:type="dxa"/>
        <w:tblCellMar>
          <w:top w:w="0" w:type="dxa"/>
          <w:left w:w="0" w:type="dxa"/>
          <w:bottom w:w="0" w:type="dxa"/>
          <w:right w:w="0" w:type="dxa"/>
        </w:tblCellMar>
      </w:tblPr>
      <w:tr>
        <w:trPr>
          <w:trHeight w:val="224"/>
        </w:trPr>
        <w:tc>
          <w:tcPr>
            <w:tcW w:w="478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Title of each class</w:t>
            </w:r>
          </w:p>
        </w:tc>
        <w:tc>
          <w:tcPr>
            <w:tcW w:w="172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9"/>
              </w:rPr>
              <w:t>Trading Symbol(s)</w:t>
            </w:r>
          </w:p>
        </w:tc>
        <w:tc>
          <w:tcPr>
            <w:tcW w:w="476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Name of each exchange on which registered</w:t>
            </w:r>
          </w:p>
        </w:tc>
      </w:tr>
      <w:tr>
        <w:trPr>
          <w:trHeight w:val="209"/>
        </w:trPr>
        <w:tc>
          <w:tcPr>
            <w:tcW w:w="47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Common Stock, $0.50 par value per share</w:t>
            </w:r>
          </w:p>
        </w:tc>
        <w:tc>
          <w:tcPr>
            <w:tcW w:w="17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WGO</w:t>
            </w:r>
          </w:p>
        </w:tc>
        <w:tc>
          <w:tcPr>
            <w:tcW w:w="47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New York Stock Exchange</w:t>
            </w:r>
          </w:p>
        </w:tc>
      </w:tr>
    </w:tbl>
    <w:p>
      <w:pPr>
        <w:spacing w:after="0" w:line="323" w:lineRule="exact"/>
        <w:rPr>
          <w:sz w:val="24"/>
          <w:szCs w:val="24"/>
          <w:color w:val="auto"/>
        </w:rPr>
      </w:pPr>
    </w:p>
    <w:p>
      <w:pPr>
        <w:jc w:val="both"/>
        <w:ind w:right="20"/>
        <w:spacing w:after="0" w:line="263" w:lineRule="auto"/>
        <w:rPr>
          <w:sz w:val="20"/>
          <w:szCs w:val="20"/>
          <w:color w:val="auto"/>
        </w:rPr>
      </w:pPr>
      <w:r>
        <w:rPr>
          <w:rFonts w:ascii="Arial" w:cs="Arial" w:eastAsia="Arial" w:hAnsi="Arial"/>
          <w:sz w:val="16"/>
          <w:szCs w:val="16"/>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36" w:lineRule="exact"/>
        <w:rPr>
          <w:sz w:val="24"/>
          <w:szCs w:val="24"/>
          <w:color w:val="auto"/>
        </w:rPr>
      </w:pPr>
    </w:p>
    <w:p>
      <w:pPr>
        <w:ind w:right="160"/>
        <w:spacing w:after="0" w:line="213"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532130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1002" w:right="319" w:bottom="1440" w:gutter="0" w:footer="0" w:header="0"/>
        </w:sectPr>
      </w:pPr>
    </w:p>
    <w:bookmarkStart w:id="1" w:name="page2"/>
    <w:bookmarkEnd w:id="1"/>
    <w:p>
      <w:pPr>
        <w:spacing w:after="0"/>
        <w:rPr>
          <w:sz w:val="20"/>
          <w:szCs w:val="20"/>
          <w:color w:val="auto"/>
        </w:rPr>
      </w:pPr>
      <w:r>
        <w:rPr>
          <w:rFonts w:ascii="Arial" w:cs="Arial" w:eastAsia="Arial" w:hAnsi="Arial"/>
          <w:sz w:val="16"/>
          <w:szCs w:val="16"/>
          <w:b w:val="1"/>
          <w:bCs w:val="1"/>
          <w:color w:val="auto"/>
        </w:rPr>
        <w:t>Item 2.02 Results of Operations and Financial Condition.</w:t>
      </w:r>
    </w:p>
    <w:p>
      <w:pPr>
        <w:spacing w:after="0" w:line="248" w:lineRule="exact"/>
        <w:rPr>
          <w:sz w:val="20"/>
          <w:szCs w:val="20"/>
          <w:color w:val="auto"/>
        </w:rPr>
      </w:pPr>
    </w:p>
    <w:p>
      <w:pPr>
        <w:ind w:right="240"/>
        <w:spacing w:after="0" w:line="304" w:lineRule="auto"/>
        <w:rPr>
          <w:sz w:val="20"/>
          <w:szCs w:val="20"/>
          <w:color w:val="auto"/>
        </w:rPr>
      </w:pPr>
      <w:r>
        <w:rPr>
          <w:rFonts w:ascii="Arial" w:cs="Arial" w:eastAsia="Arial" w:hAnsi="Arial"/>
          <w:sz w:val="16"/>
          <w:szCs w:val="16"/>
          <w:color w:val="auto"/>
        </w:rPr>
        <w:t>On October 23, 2024, Winnebago Industries, Inc. issued a press release to report financial results for the fourth quarter and full year of Fiscal 2024 ended August 31, 2024. A copy of the press release is attached as Exhibit 99.1 and is incorporated by reference herein.</w:t>
      </w:r>
    </w:p>
    <w:p>
      <w:pPr>
        <w:spacing w:after="0" w:line="168" w:lineRule="exact"/>
        <w:rPr>
          <w:sz w:val="20"/>
          <w:szCs w:val="20"/>
          <w:color w:val="auto"/>
        </w:rPr>
      </w:pPr>
    </w:p>
    <w:p>
      <w:pPr>
        <w:ind w:right="60"/>
        <w:spacing w:after="0" w:line="265" w:lineRule="auto"/>
        <w:rPr>
          <w:sz w:val="20"/>
          <w:szCs w:val="20"/>
          <w:color w:val="auto"/>
        </w:rPr>
      </w:pPr>
      <w:r>
        <w:rPr>
          <w:rFonts w:ascii="Arial" w:cs="Arial" w:eastAsia="Arial" w:hAnsi="Arial"/>
          <w:sz w:val="16"/>
          <w:szCs w:val="16"/>
          <w:color w:val="auto"/>
        </w:rPr>
        <w:t>Exhibit 99.1 includes non-GAAP financial measures related to our operations. Certain of these non-GAAP measures may be discussed in our earnings conference call for the fourth quarter and full year of Fiscal 2024. In addition, Exhibit 99.1 includes reconciliations of these GAAP to non-GAAP measures as well as an explanation of why these non-GAAP measures provide useful information to investors and how management uses these non-GAAP measures. These non-GAAP measures should not be considered a substitute for, or superior to, financial measures calculated in accordance with GAAP, and the financial results calculated in accordance with GAAP and reconciliations from our results should be carefully evaluated.</w:t>
      </w:r>
    </w:p>
    <w:p>
      <w:pPr>
        <w:spacing w:after="0" w:line="199" w:lineRule="exact"/>
        <w:rPr>
          <w:sz w:val="20"/>
          <w:szCs w:val="20"/>
          <w:color w:val="auto"/>
        </w:rPr>
      </w:pPr>
    </w:p>
    <w:p>
      <w:pPr>
        <w:ind w:right="380"/>
        <w:spacing w:after="0" w:line="265" w:lineRule="auto"/>
        <w:rPr>
          <w:sz w:val="20"/>
          <w:szCs w:val="20"/>
          <w:color w:val="auto"/>
        </w:rPr>
      </w:pPr>
      <w:r>
        <w:rPr>
          <w:rFonts w:ascii="Arial" w:cs="Arial" w:eastAsia="Arial" w:hAnsi="Arial"/>
          <w:sz w:val="16"/>
          <w:szCs w:val="16"/>
          <w:color w:val="auto"/>
        </w:rPr>
        <w:t>The information set forth in this Item 2.02, including Exhibit 99.1, of this Form 8-K shall be deemed "furnished" pursuant to Item 2.02 and not "filed" for purposes of Section 18 of the Securities and Exchange Act of 1934, or otherwise subject to the liabilities of that section, and shall not be deemed incorporated by reference in any filing under the Securities Act of 1933 or the Securities Exchange Act of 1934, except as shall be expressly set forth by specific reference in such filing.</w:t>
      </w: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9.01 Financial Statements and Exhibits.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1760" w:type="dxa"/>
            <w:vAlign w:val="bottom"/>
            <w:gridSpan w:val="4"/>
          </w:tcPr>
          <w:p>
            <w:pPr>
              <w:spacing w:after="0"/>
              <w:rPr>
                <w:sz w:val="20"/>
                <w:szCs w:val="20"/>
                <w:color w:val="auto"/>
              </w:rPr>
            </w:pPr>
            <w:r>
              <w:rPr>
                <w:rFonts w:ascii="Arial" w:cs="Arial" w:eastAsia="Arial" w:hAnsi="Arial"/>
                <w:sz w:val="16"/>
                <w:szCs w:val="16"/>
                <w:color w:val="auto"/>
              </w:rPr>
              <w:t>(d) Exhibits</w:t>
            </w:r>
          </w:p>
        </w:tc>
        <w:tc>
          <w:tcPr>
            <w:tcW w:w="4940" w:type="dxa"/>
            <w:vAlign w:val="bottom"/>
          </w:tcPr>
          <w:p>
            <w:pPr>
              <w:spacing w:after="0"/>
              <w:rPr>
                <w:sz w:val="18"/>
                <w:szCs w:val="18"/>
                <w:color w:val="auto"/>
              </w:rPr>
            </w:pPr>
          </w:p>
        </w:tc>
        <w:tc>
          <w:tcPr>
            <w:tcW w:w="44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434"/>
        </w:trPr>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40" w:type="dxa"/>
            <w:vAlign w:val="bottom"/>
            <w:gridSpan w:val="2"/>
          </w:tcPr>
          <w:p>
            <w:pPr>
              <w:spacing w:after="0"/>
              <w:rPr>
                <w:sz w:val="20"/>
                <w:szCs w:val="20"/>
                <w:color w:val="auto"/>
              </w:rPr>
            </w:pPr>
            <w:r>
              <w:rPr>
                <w:rFonts w:ascii="Arial" w:cs="Arial" w:eastAsia="Arial" w:hAnsi="Arial"/>
                <w:sz w:val="16"/>
                <w:szCs w:val="16"/>
                <w:b w:val="1"/>
                <w:bCs w:val="1"/>
                <w:color w:val="auto"/>
              </w:rPr>
              <w:t>Exhibit Number</w:t>
            </w:r>
          </w:p>
        </w:tc>
        <w:tc>
          <w:tcPr>
            <w:tcW w:w="9480" w:type="dxa"/>
            <w:vAlign w:val="bottom"/>
            <w:gridSpan w:val="3"/>
          </w:tcPr>
          <w:p>
            <w:pPr>
              <w:spacing w:after="0"/>
              <w:rPr>
                <w:sz w:val="20"/>
                <w:szCs w:val="20"/>
                <w:color w:val="auto"/>
              </w:rPr>
            </w:pPr>
            <w:r>
              <w:rPr>
                <w:rFonts w:ascii="Arial" w:cs="Arial" w:eastAsia="Arial" w:hAnsi="Arial"/>
                <w:sz w:val="16"/>
                <w:szCs w:val="16"/>
                <w:b w:val="1"/>
                <w:bCs w:val="1"/>
                <w:color w:val="auto"/>
              </w:rPr>
              <w:t>Description</w:t>
            </w:r>
          </w:p>
        </w:tc>
      </w:tr>
      <w:tr>
        <w:trPr>
          <w:trHeight w:val="169"/>
        </w:trPr>
        <w:tc>
          <w:tcPr>
            <w:tcW w:w="400" w:type="dxa"/>
            <w:vAlign w:val="bottom"/>
          </w:tcPr>
          <w:p>
            <w:pPr>
              <w:spacing w:after="0"/>
              <w:rPr>
                <w:sz w:val="14"/>
                <w:szCs w:val="14"/>
                <w:color w:val="auto"/>
              </w:rPr>
            </w:pPr>
          </w:p>
        </w:tc>
        <w:tc>
          <w:tcPr>
            <w:tcW w:w="1360" w:type="dxa"/>
            <w:vAlign w:val="bottom"/>
            <w:tcBorders>
              <w:top w:val="single" w:sz="8" w:color="auto"/>
            </w:tcBorders>
            <w:gridSpan w:val="3"/>
          </w:tcPr>
          <w:p>
            <w:pPr>
              <w:ind w:left="20"/>
              <w:spacing w:after="0" w:line="169" w:lineRule="exact"/>
              <w:rPr>
                <w:sz w:val="20"/>
                <w:szCs w:val="20"/>
                <w:color w:val="auto"/>
              </w:rPr>
            </w:pPr>
            <w:r>
              <w:rPr>
                <w:rFonts w:ascii="Arial" w:cs="Arial" w:eastAsia="Arial" w:hAnsi="Arial"/>
                <w:sz w:val="16"/>
                <w:szCs w:val="16"/>
                <w:color w:val="0000FF"/>
              </w:rPr>
              <w:t>99.</w:t>
            </w:r>
            <w:r>
              <w:rPr>
                <w:rFonts w:ascii="Arial" w:cs="Arial" w:eastAsia="Arial" w:hAnsi="Arial"/>
                <w:sz w:val="16"/>
                <w:szCs w:val="16"/>
                <w:u w:val="single" w:color="auto"/>
                <w:color w:val="0000FF"/>
              </w:rPr>
              <w:t>1</w:t>
            </w:r>
          </w:p>
        </w:tc>
        <w:tc>
          <w:tcPr>
            <w:tcW w:w="9380" w:type="dxa"/>
            <w:vAlign w:val="bottom"/>
            <w:tcBorders>
              <w:top w:val="single" w:sz="8" w:color="auto"/>
            </w:tcBorders>
            <w:gridSpan w:val="2"/>
          </w:tcPr>
          <w:p>
            <w:pPr>
              <w:spacing w:after="0" w:line="169" w:lineRule="exact"/>
              <w:rPr>
                <w:sz w:val="20"/>
                <w:szCs w:val="20"/>
                <w:color w:val="auto"/>
              </w:rPr>
            </w:pPr>
            <w:r>
              <w:rPr>
                <w:rFonts w:ascii="Arial" w:cs="Arial" w:eastAsia="Arial" w:hAnsi="Arial"/>
                <w:sz w:val="16"/>
                <w:szCs w:val="16"/>
                <w:color w:val="0000FF"/>
              </w:rPr>
              <w:t>Press Release of Winnebago Industries, Inc. dated October 23, 2024</w:t>
            </w:r>
          </w:p>
        </w:tc>
        <w:tc>
          <w:tcPr>
            <w:tcW w:w="100" w:type="dxa"/>
            <w:vAlign w:val="bottom"/>
          </w:tcPr>
          <w:p>
            <w:pPr>
              <w:spacing w:after="0"/>
              <w:rPr>
                <w:sz w:val="14"/>
                <w:szCs w:val="14"/>
                <w:color w:val="auto"/>
              </w:rPr>
            </w:pPr>
          </w:p>
        </w:tc>
      </w:tr>
      <w:tr>
        <w:trPr>
          <w:trHeight w:val="20"/>
        </w:trPr>
        <w:tc>
          <w:tcPr>
            <w:tcW w:w="420" w:type="dxa"/>
            <w:vAlign w:val="bottom"/>
            <w:gridSpan w:val="2"/>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940" w:type="dxa"/>
            <w:vAlign w:val="bottom"/>
            <w:shd w:val="clear" w:color="auto" w:fill="0000FF"/>
          </w:tcPr>
          <w:p>
            <w:pPr>
              <w:spacing w:after="0" w:line="20" w:lineRule="exact"/>
              <w:rPr>
                <w:sz w:val="1"/>
                <w:szCs w:val="1"/>
                <w:color w:val="auto"/>
              </w:rPr>
            </w:pPr>
          </w:p>
        </w:tc>
        <w:tc>
          <w:tcPr>
            <w:tcW w:w="4540" w:type="dxa"/>
            <w:vAlign w:val="bottom"/>
            <w:gridSpan w:val="2"/>
          </w:tcPr>
          <w:p>
            <w:pPr>
              <w:spacing w:after="0" w:line="20" w:lineRule="exact"/>
              <w:rPr>
                <w:sz w:val="1"/>
                <w:szCs w:val="1"/>
                <w:color w:val="auto"/>
              </w:rPr>
            </w:pPr>
          </w:p>
        </w:tc>
      </w:tr>
      <w:tr>
        <w:trPr>
          <w:trHeight w:val="234"/>
        </w:trPr>
        <w:tc>
          <w:tcPr>
            <w:tcW w:w="740" w:type="dxa"/>
            <w:vAlign w:val="bottom"/>
            <w:gridSpan w:val="3"/>
          </w:tcPr>
          <w:p>
            <w:pPr>
              <w:ind w:left="420"/>
              <w:spacing w:after="0"/>
              <w:rPr>
                <w:sz w:val="20"/>
                <w:szCs w:val="20"/>
                <w:color w:val="auto"/>
              </w:rPr>
            </w:pPr>
            <w:r>
              <w:rPr>
                <w:rFonts w:ascii="Arial" w:cs="Arial" w:eastAsia="Arial" w:hAnsi="Arial"/>
                <w:sz w:val="16"/>
                <w:szCs w:val="16"/>
                <w:color w:val="auto"/>
              </w:rPr>
              <w:t>104</w:t>
            </w:r>
          </w:p>
        </w:tc>
        <w:tc>
          <w:tcPr>
            <w:tcW w:w="1020" w:type="dxa"/>
            <w:vAlign w:val="bottom"/>
          </w:tcPr>
          <w:p>
            <w:pPr>
              <w:spacing w:after="0"/>
              <w:rPr>
                <w:sz w:val="20"/>
                <w:szCs w:val="20"/>
                <w:color w:val="auto"/>
              </w:rPr>
            </w:pPr>
          </w:p>
        </w:tc>
        <w:tc>
          <w:tcPr>
            <w:tcW w:w="9480" w:type="dxa"/>
            <w:vAlign w:val="bottom"/>
            <w:gridSpan w:val="3"/>
          </w:tcPr>
          <w:p>
            <w:pPr>
              <w:spacing w:after="0"/>
              <w:rPr>
                <w:sz w:val="20"/>
                <w:szCs w:val="20"/>
                <w:color w:val="auto"/>
              </w:rPr>
            </w:pPr>
            <w:r>
              <w:rPr>
                <w:rFonts w:ascii="Arial" w:cs="Arial" w:eastAsia="Arial" w:hAnsi="Arial"/>
                <w:sz w:val="16"/>
                <w:szCs w:val="16"/>
                <w:color w:val="auto"/>
              </w:rPr>
              <w:t>Cover Page Interactive Data File (formatted as Inline XBRL)</w:t>
            </w:r>
          </w:p>
        </w:tc>
      </w:tr>
      <w:tr>
        <w:trPr>
          <w:trHeight w:val="1224"/>
        </w:trPr>
        <w:tc>
          <w:tcPr>
            <w:tcW w:w="4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4940" w:type="dxa"/>
            <w:vAlign w:val="bottom"/>
            <w:tcBorders>
              <w:bottom w:val="single" w:sz="8" w:color="9A9A9A"/>
            </w:tcBorders>
          </w:tcPr>
          <w:p>
            <w:pPr>
              <w:spacing w:after="0"/>
              <w:rPr>
                <w:sz w:val="24"/>
                <w:szCs w:val="24"/>
                <w:color w:val="auto"/>
              </w:rPr>
            </w:pPr>
          </w:p>
        </w:tc>
        <w:tc>
          <w:tcPr>
            <w:tcW w:w="44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20"/>
          <w:szCs w:val="20"/>
          <w:b w:val="1"/>
          <w:bCs w:val="1"/>
          <w:color w:val="auto"/>
        </w:rPr>
        <w:t>SIGNATURES</w:t>
      </w:r>
    </w:p>
    <w:p>
      <w:pPr>
        <w:spacing w:after="0" w:line="171"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p>
      <w:pPr>
        <w:jc w:val="center"/>
        <w:ind w:right="360"/>
        <w:spacing w:after="0"/>
        <w:rPr>
          <w:sz w:val="20"/>
          <w:szCs w:val="20"/>
          <w:color w:val="auto"/>
        </w:rPr>
      </w:pPr>
      <w:r>
        <w:rPr>
          <w:rFonts w:ascii="Arial" w:cs="Arial" w:eastAsia="Arial" w:hAnsi="Arial"/>
          <w:sz w:val="22"/>
          <w:szCs w:val="22"/>
          <w:color w:val="auto"/>
        </w:rPr>
        <w:t>W</w:t>
      </w:r>
      <w:r>
        <w:rPr>
          <w:rFonts w:ascii="Arial" w:cs="Arial" w:eastAsia="Arial" w:hAnsi="Arial"/>
          <w:sz w:val="16"/>
          <w:szCs w:val="16"/>
          <w:color w:val="auto"/>
        </w:rPr>
        <w:t>INNEBAGO</w:t>
      </w:r>
      <w:r>
        <w:rPr>
          <w:rFonts w:ascii="Arial" w:cs="Arial" w:eastAsia="Arial" w:hAnsi="Arial"/>
          <w:sz w:val="22"/>
          <w:szCs w:val="22"/>
          <w:color w:val="auto"/>
        </w:rPr>
        <w:t xml:space="preserve"> I</w:t>
      </w:r>
      <w:r>
        <w:rPr>
          <w:rFonts w:ascii="Arial" w:cs="Arial" w:eastAsia="Arial" w:hAnsi="Arial"/>
          <w:sz w:val="16"/>
          <w:szCs w:val="16"/>
          <w:color w:val="auto"/>
        </w:rPr>
        <w:t>NDUSTRIES,</w:t>
      </w:r>
      <w:r>
        <w:rPr>
          <w:rFonts w:ascii="Arial" w:cs="Arial" w:eastAsia="Arial" w:hAnsi="Arial"/>
          <w:sz w:val="22"/>
          <w:szCs w:val="22"/>
          <w:color w:val="auto"/>
        </w:rPr>
        <w:t xml:space="preserve"> I</w:t>
      </w:r>
      <w:r>
        <w:rPr>
          <w:rFonts w:ascii="Arial" w:cs="Arial" w:eastAsia="Arial" w:hAnsi="Arial"/>
          <w:sz w:val="16"/>
          <w:szCs w:val="16"/>
          <w:color w:val="auto"/>
        </w:rPr>
        <w:t>NC.</w:t>
      </w:r>
    </w:p>
    <w:p>
      <w:pPr>
        <w:spacing w:after="0" w:line="245" w:lineRule="exact"/>
        <w:rPr>
          <w:sz w:val="20"/>
          <w:szCs w:val="20"/>
          <w:color w:val="auto"/>
        </w:rPr>
      </w:pPr>
    </w:p>
    <w:p>
      <w:pPr>
        <w:ind w:left="20"/>
        <w:spacing w:after="0"/>
        <w:tabs>
          <w:tab w:leader="none" w:pos="720" w:val="left"/>
          <w:tab w:leader="none" w:pos="4160" w:val="left"/>
          <w:tab w:leader="none" w:pos="4980" w:val="left"/>
        </w:tabs>
        <w:rPr>
          <w:sz w:val="20"/>
          <w:szCs w:val="20"/>
          <w:color w:val="auto"/>
        </w:rPr>
      </w:pPr>
      <w:r>
        <w:rPr>
          <w:rFonts w:ascii="Arial" w:cs="Arial" w:eastAsia="Arial" w:hAnsi="Arial"/>
          <w:sz w:val="16"/>
          <w:szCs w:val="16"/>
          <w:color w:val="auto"/>
        </w:rPr>
        <w:t>Date:</w:t>
      </w:r>
      <w:r>
        <w:rPr>
          <w:sz w:val="20"/>
          <w:szCs w:val="20"/>
          <w:color w:val="auto"/>
        </w:rPr>
        <w:tab/>
      </w:r>
      <w:r>
        <w:rPr>
          <w:rFonts w:ascii="Arial" w:cs="Arial" w:eastAsia="Arial" w:hAnsi="Arial"/>
          <w:sz w:val="16"/>
          <w:szCs w:val="16"/>
          <w:color w:val="auto"/>
        </w:rPr>
        <w:t>October 23, 2024</w:t>
      </w:r>
      <w:r>
        <w:rPr>
          <w:sz w:val="20"/>
          <w:szCs w:val="20"/>
          <w:color w:val="auto"/>
        </w:rPr>
        <w:tab/>
      </w:r>
      <w:r>
        <w:rPr>
          <w:rFonts w:ascii="Arial" w:cs="Arial" w:eastAsia="Arial" w:hAnsi="Arial"/>
          <w:sz w:val="16"/>
          <w:szCs w:val="16"/>
          <w:color w:val="auto"/>
        </w:rPr>
        <w:t>By:</w:t>
      </w:r>
      <w:r>
        <w:rPr>
          <w:sz w:val="20"/>
          <w:szCs w:val="20"/>
          <w:color w:val="auto"/>
        </w:rPr>
        <w:tab/>
      </w:r>
      <w:r>
        <w:rPr>
          <w:rFonts w:ascii="Arial" w:cs="Arial" w:eastAsia="Arial" w:hAnsi="Arial"/>
          <w:sz w:val="16"/>
          <w:szCs w:val="16"/>
          <w:i w:val="1"/>
          <w:iCs w:val="1"/>
          <w:color w:val="auto"/>
        </w:rPr>
        <w:t>/s/ Bryan L. Hughes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3168015</wp:posOffset>
            </wp:positionH>
            <wp:positionV relativeFrom="paragraph">
              <wp:posOffset>20955</wp:posOffset>
            </wp:positionV>
            <wp:extent cx="294894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948940" cy="8255"/>
                    </a:xfrm>
                    <a:prstGeom prst="rect">
                      <a:avLst/>
                    </a:prstGeom>
                    <a:noFill/>
                  </pic:spPr>
                </pic:pic>
              </a:graphicData>
            </a:graphic>
          </wp:anchor>
        </w:drawing>
      </w:r>
    </w:p>
    <w:p>
      <w:pPr>
        <w:spacing w:after="0" w:line="26" w:lineRule="exact"/>
        <w:rPr>
          <w:sz w:val="20"/>
          <w:szCs w:val="20"/>
          <w:color w:val="auto"/>
        </w:rPr>
      </w:pPr>
    </w:p>
    <w:p>
      <w:pPr>
        <w:ind w:left="5000"/>
        <w:spacing w:after="0"/>
        <w:rPr>
          <w:sz w:val="20"/>
          <w:szCs w:val="20"/>
          <w:color w:val="auto"/>
        </w:rPr>
      </w:pPr>
      <w:r>
        <w:rPr>
          <w:rFonts w:ascii="Arial" w:cs="Arial" w:eastAsia="Arial" w:hAnsi="Arial"/>
          <w:sz w:val="16"/>
          <w:szCs w:val="16"/>
          <w:color w:val="auto"/>
        </w:rPr>
        <w:t>Bryan L. Hughes</w:t>
      </w:r>
    </w:p>
    <w:p>
      <w:pPr>
        <w:spacing w:after="0" w:line="32" w:lineRule="exact"/>
        <w:rPr>
          <w:sz w:val="20"/>
          <w:szCs w:val="20"/>
          <w:color w:val="auto"/>
        </w:rPr>
      </w:pPr>
    </w:p>
    <w:p>
      <w:pPr>
        <w:ind w:left="5000"/>
        <w:spacing w:after="0"/>
        <w:rPr>
          <w:sz w:val="20"/>
          <w:szCs w:val="20"/>
          <w:color w:val="auto"/>
        </w:rPr>
      </w:pPr>
      <w:r>
        <w:rPr>
          <w:rFonts w:ascii="Arial" w:cs="Arial" w:eastAsia="Arial" w:hAnsi="Arial"/>
          <w:sz w:val="16"/>
          <w:szCs w:val="16"/>
          <w:color w:val="auto"/>
        </w:rPr>
        <w:t>Chief Financial Officer and Senior Vice President</w:t>
      </w:r>
    </w:p>
    <w:p>
      <w:pPr>
        <w:spacing w:after="0" w:line="32" w:lineRule="exact"/>
        <w:rPr>
          <w:sz w:val="20"/>
          <w:szCs w:val="20"/>
          <w:color w:val="auto"/>
        </w:rPr>
      </w:pPr>
    </w:p>
    <w:p>
      <w:pPr>
        <w:ind w:left="5000"/>
        <w:spacing w:after="0"/>
        <w:rPr>
          <w:sz w:val="20"/>
          <w:szCs w:val="20"/>
          <w:color w:val="auto"/>
        </w:rPr>
      </w:pPr>
      <w:r>
        <w:rPr>
          <w:rFonts w:ascii="Arial" w:cs="Arial" w:eastAsia="Arial" w:hAnsi="Arial"/>
          <w:sz w:val="16"/>
          <w:szCs w:val="16"/>
          <w:color w:val="auto"/>
        </w:rPr>
        <w:t>(Principal Financial and Accounting Officer)</w:t>
      </w:r>
    </w:p>
    <w:p>
      <w:pPr>
        <w:sectPr>
          <w:pgSz w:w="11900" w:h="16838" w:orient="portrait"/>
          <w:cols w:equalWidth="0" w:num="1">
            <w:col w:w="11220"/>
          </w:cols>
          <w:pgMar w:left="320" w:top="885" w:right="359" w:bottom="1440" w:gutter="0" w:footer="0" w:header="0"/>
        </w:sectPr>
      </w:pPr>
    </w:p>
    <w:bookmarkStart w:id="3" w:name="page4"/>
    <w:bookmarkEnd w:id="3"/>
    <w:p>
      <w:pPr>
        <w:jc w:val="right"/>
        <w:spacing w:after="0"/>
        <w:rPr>
          <w:sz w:val="20"/>
          <w:szCs w:val="20"/>
          <w:color w:val="auto"/>
        </w:rPr>
      </w:pPr>
      <w:r>
        <w:rPr>
          <w:rFonts w:ascii="Arial" w:cs="Arial" w:eastAsia="Arial" w:hAnsi="Arial"/>
          <w:sz w:val="16"/>
          <w:szCs w:val="16"/>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29210</wp:posOffset>
            </wp:positionV>
            <wp:extent cx="2957195" cy="8147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957195" cy="814705"/>
                    </a:xfrm>
                    <a:prstGeom prst="rect">
                      <a:avLst/>
                    </a:prstGeom>
                    <a:noFill/>
                  </pic:spPr>
                </pic:pic>
              </a:graphicData>
            </a:graphic>
          </wp:anchor>
        </w:drawing>
      </w:r>
    </w:p>
    <w:p>
      <w:pPr>
        <w:spacing w:after="0" w:line="200" w:lineRule="exact"/>
        <w:rPr>
          <w:sz w:val="20"/>
          <w:szCs w:val="20"/>
          <w:color w:val="auto"/>
        </w:rPr>
      </w:pPr>
    </w:p>
    <w:p>
      <w:pPr>
        <w:spacing w:after="0" w:line="282" w:lineRule="exact"/>
        <w:rPr>
          <w:sz w:val="20"/>
          <w:szCs w:val="20"/>
          <w:color w:val="auto"/>
        </w:rPr>
      </w:pPr>
    </w:p>
    <w:p>
      <w:pPr>
        <w:ind w:left="7020"/>
        <w:spacing w:after="0"/>
        <w:rPr>
          <w:sz w:val="20"/>
          <w:szCs w:val="20"/>
          <w:color w:val="auto"/>
        </w:rPr>
      </w:pPr>
      <w:r>
        <w:rPr>
          <w:rFonts w:ascii="Arial" w:cs="Arial" w:eastAsia="Arial" w:hAnsi="Arial"/>
          <w:sz w:val="43"/>
          <w:szCs w:val="43"/>
          <w:b w:val="1"/>
          <w:bCs w:val="1"/>
          <w:color w:val="auto"/>
        </w:rPr>
        <w:t>News Release</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WINNEBAGO INDUSTRIES REPORTS FOURTH QUARTER AND FULL YEAR FISCAL 2024 RESULTS</w:t>
      </w:r>
    </w:p>
    <w:p>
      <w:pPr>
        <w:spacing w:after="0" w:line="293" w:lineRule="exact"/>
        <w:rPr>
          <w:sz w:val="20"/>
          <w:szCs w:val="20"/>
          <w:color w:val="auto"/>
        </w:rPr>
      </w:pPr>
    </w:p>
    <w:p>
      <w:pPr>
        <w:jc w:val="center"/>
        <w:ind w:left="640"/>
        <w:spacing w:after="0"/>
        <w:rPr>
          <w:sz w:val="20"/>
          <w:szCs w:val="20"/>
          <w:color w:val="auto"/>
        </w:rPr>
      </w:pPr>
      <w:r>
        <w:rPr>
          <w:rFonts w:ascii="Arial" w:cs="Arial" w:eastAsia="Arial" w:hAnsi="Arial"/>
          <w:sz w:val="16"/>
          <w:szCs w:val="16"/>
          <w:b w:val="1"/>
          <w:bCs w:val="1"/>
          <w:color w:val="auto"/>
        </w:rPr>
        <w:t>-- Full Year Operating Cash Flow of $143.9 Million Supports Company’s Strategic Growth Investments --</w:t>
      </w:r>
    </w:p>
    <w:p>
      <w:pPr>
        <w:spacing w:after="0" w:line="208" w:lineRule="exact"/>
        <w:rPr>
          <w:sz w:val="20"/>
          <w:szCs w:val="20"/>
          <w:color w:val="auto"/>
        </w:rPr>
      </w:pPr>
    </w:p>
    <w:p>
      <w:pPr>
        <w:jc w:val="center"/>
        <w:ind w:left="640"/>
        <w:spacing w:after="0"/>
        <w:rPr>
          <w:sz w:val="20"/>
          <w:szCs w:val="20"/>
          <w:color w:val="auto"/>
        </w:rPr>
      </w:pPr>
      <w:r>
        <w:rPr>
          <w:rFonts w:ascii="Arial" w:cs="Arial" w:eastAsia="Arial" w:hAnsi="Arial"/>
          <w:sz w:val="16"/>
          <w:szCs w:val="16"/>
          <w:b w:val="1"/>
          <w:bCs w:val="1"/>
          <w:color w:val="auto"/>
        </w:rPr>
        <w:t>-- $106.8 Million Returned to Shareholders via Repurchases and Dividends in FY 2024, Despite Challenging Market Environment --</w:t>
      </w:r>
    </w:p>
    <w:p>
      <w:pPr>
        <w:spacing w:after="0" w:line="208" w:lineRule="exact"/>
        <w:rPr>
          <w:sz w:val="20"/>
          <w:szCs w:val="20"/>
          <w:color w:val="auto"/>
        </w:rPr>
      </w:pPr>
    </w:p>
    <w:p>
      <w:pPr>
        <w:jc w:val="center"/>
        <w:ind w:left="640"/>
        <w:spacing w:after="0"/>
        <w:rPr>
          <w:sz w:val="20"/>
          <w:szCs w:val="20"/>
          <w:color w:val="auto"/>
        </w:rPr>
      </w:pPr>
      <w:r>
        <w:rPr>
          <w:rFonts w:ascii="Arial" w:cs="Arial" w:eastAsia="Arial" w:hAnsi="Arial"/>
          <w:sz w:val="16"/>
          <w:szCs w:val="16"/>
          <w:b w:val="1"/>
          <w:bCs w:val="1"/>
          <w:color w:val="auto"/>
        </w:rPr>
        <w:t>-- Leadership Changes at Winnebago Branded Businesses Aimed at Strengthening Market Position --</w:t>
      </w:r>
    </w:p>
    <w:p>
      <w:pPr>
        <w:spacing w:after="0" w:line="208" w:lineRule="exact"/>
        <w:rPr>
          <w:sz w:val="20"/>
          <w:szCs w:val="20"/>
          <w:color w:val="auto"/>
        </w:rPr>
      </w:pPr>
    </w:p>
    <w:p>
      <w:pPr>
        <w:ind w:left="3940"/>
        <w:spacing w:after="0"/>
        <w:rPr>
          <w:sz w:val="20"/>
          <w:szCs w:val="20"/>
          <w:color w:val="auto"/>
        </w:rPr>
      </w:pPr>
      <w:r>
        <w:rPr>
          <w:rFonts w:ascii="Arial" w:cs="Arial" w:eastAsia="Arial" w:hAnsi="Arial"/>
          <w:sz w:val="16"/>
          <w:szCs w:val="16"/>
          <w:b w:val="1"/>
          <w:bCs w:val="1"/>
          <w:color w:val="auto"/>
        </w:rPr>
        <w:t>-- Company Issues Fiscal 2025 Financial Guidance --</w:t>
      </w:r>
    </w:p>
    <w:p>
      <w:pPr>
        <w:spacing w:after="0" w:line="302" w:lineRule="exact"/>
        <w:rPr>
          <w:sz w:val="20"/>
          <w:szCs w:val="20"/>
          <w:color w:val="auto"/>
        </w:rPr>
      </w:pPr>
    </w:p>
    <w:p>
      <w:pPr>
        <w:ind w:right="300" w:firstLine="648"/>
        <w:spacing w:after="0" w:line="409" w:lineRule="auto"/>
        <w:rPr>
          <w:sz w:val="20"/>
          <w:szCs w:val="20"/>
          <w:color w:val="auto"/>
        </w:rPr>
      </w:pPr>
      <w:r>
        <w:rPr>
          <w:rFonts w:ascii="Arial" w:cs="Arial" w:eastAsia="Arial" w:hAnsi="Arial"/>
          <w:sz w:val="16"/>
          <w:szCs w:val="16"/>
          <w:color w:val="auto"/>
        </w:rPr>
        <w:t>EDEN PRAIRIE, MINNESOTA, October 23, 2024 -- Winnebago Industries, Inc. (NYSE: WGO), a leading outdoor lifestyle product manufacturer, today reported financial results for the Company's fourth quarter and full year Fiscal 2024.</w:t>
      </w:r>
    </w:p>
    <w:p>
      <w:pPr>
        <w:spacing w:after="0" w:line="18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Fourth Quarter Fiscal 2024 Financial Summary</w:t>
      </w:r>
    </w:p>
    <w:p>
      <w:pPr>
        <w:spacing w:after="0" w:line="100" w:lineRule="exact"/>
        <w:rPr>
          <w:sz w:val="20"/>
          <w:szCs w:val="20"/>
          <w:color w:val="auto"/>
        </w:rPr>
      </w:pPr>
    </w:p>
    <w:p>
      <w:pPr>
        <w:ind w:left="640" w:hanging="308"/>
        <w:spacing w:after="0"/>
        <w:tabs>
          <w:tab w:leader="none" w:pos="640" w:val="left"/>
        </w:tabs>
        <w:numPr>
          <w:ilvl w:val="0"/>
          <w:numId w:val="2"/>
        </w:numPr>
        <w:rPr>
          <w:rFonts w:ascii="Arial" w:cs="Arial" w:eastAsia="Arial" w:hAnsi="Arial"/>
          <w:sz w:val="16"/>
          <w:szCs w:val="16"/>
          <w:color w:val="auto"/>
        </w:rPr>
      </w:pPr>
      <w:r>
        <w:rPr>
          <w:rFonts w:ascii="Arial" w:cs="Arial" w:eastAsia="Arial" w:hAnsi="Arial"/>
          <w:sz w:val="16"/>
          <w:szCs w:val="16"/>
          <w:color w:val="auto"/>
        </w:rPr>
        <w:t>Revenues of $720.9 million</w:t>
      </w:r>
    </w:p>
    <w:p>
      <w:pPr>
        <w:spacing w:after="0" w:line="99" w:lineRule="exact"/>
        <w:rPr>
          <w:rFonts w:ascii="Arial" w:cs="Arial" w:eastAsia="Arial" w:hAnsi="Arial"/>
          <w:sz w:val="16"/>
          <w:szCs w:val="16"/>
          <w:color w:val="auto"/>
        </w:rPr>
      </w:pPr>
    </w:p>
    <w:p>
      <w:pPr>
        <w:ind w:left="640" w:hanging="308"/>
        <w:spacing w:after="0"/>
        <w:tabs>
          <w:tab w:leader="none" w:pos="640" w:val="left"/>
        </w:tabs>
        <w:numPr>
          <w:ilvl w:val="0"/>
          <w:numId w:val="2"/>
        </w:numPr>
        <w:rPr>
          <w:rFonts w:ascii="Arial" w:cs="Arial" w:eastAsia="Arial" w:hAnsi="Arial"/>
          <w:sz w:val="16"/>
          <w:szCs w:val="16"/>
          <w:color w:val="auto"/>
        </w:rPr>
      </w:pPr>
      <w:r>
        <w:rPr>
          <w:rFonts w:ascii="Arial" w:cs="Arial" w:eastAsia="Arial" w:hAnsi="Arial"/>
          <w:sz w:val="16"/>
          <w:szCs w:val="16"/>
          <w:color w:val="auto"/>
        </w:rPr>
        <w:t>Gross profit of $94.2 million, representing 13.1% gross margin</w:t>
      </w:r>
    </w:p>
    <w:p>
      <w:pPr>
        <w:spacing w:after="0" w:line="99" w:lineRule="exact"/>
        <w:rPr>
          <w:rFonts w:ascii="Arial" w:cs="Arial" w:eastAsia="Arial" w:hAnsi="Arial"/>
          <w:sz w:val="16"/>
          <w:szCs w:val="16"/>
          <w:color w:val="auto"/>
        </w:rPr>
      </w:pPr>
    </w:p>
    <w:p>
      <w:pPr>
        <w:ind w:left="640" w:hanging="308"/>
        <w:spacing w:after="0"/>
        <w:tabs>
          <w:tab w:leader="none" w:pos="640" w:val="left"/>
        </w:tabs>
        <w:numPr>
          <w:ilvl w:val="0"/>
          <w:numId w:val="2"/>
        </w:numPr>
        <w:rPr>
          <w:rFonts w:ascii="Arial" w:cs="Arial" w:eastAsia="Arial" w:hAnsi="Arial"/>
          <w:sz w:val="16"/>
          <w:szCs w:val="16"/>
          <w:color w:val="auto"/>
        </w:rPr>
      </w:pPr>
      <w:r>
        <w:rPr>
          <w:rFonts w:ascii="Arial" w:cs="Arial" w:eastAsia="Arial" w:hAnsi="Arial"/>
          <w:sz w:val="16"/>
          <w:szCs w:val="16"/>
          <w:color w:val="auto"/>
        </w:rPr>
        <w:t>Net loss per diluted share of $1.01 (includes goodwill impairment)</w:t>
      </w:r>
    </w:p>
    <w:p>
      <w:pPr>
        <w:spacing w:after="0" w:line="89" w:lineRule="exact"/>
        <w:rPr>
          <w:rFonts w:ascii="Arial" w:cs="Arial" w:eastAsia="Arial" w:hAnsi="Arial"/>
          <w:sz w:val="16"/>
          <w:szCs w:val="16"/>
          <w:color w:val="auto"/>
        </w:rPr>
      </w:pPr>
    </w:p>
    <w:p>
      <w:pPr>
        <w:ind w:left="640" w:hanging="308"/>
        <w:spacing w:after="0"/>
        <w:tabs>
          <w:tab w:leader="none" w:pos="640" w:val="left"/>
        </w:tabs>
        <w:numPr>
          <w:ilvl w:val="0"/>
          <w:numId w:val="2"/>
        </w:numPr>
        <w:rPr>
          <w:rFonts w:ascii="Arial" w:cs="Arial" w:eastAsia="Arial" w:hAnsi="Arial"/>
          <w:sz w:val="16"/>
          <w:szCs w:val="16"/>
          <w:color w:val="auto"/>
        </w:rPr>
      </w:pPr>
      <w:r>
        <w:rPr>
          <w:rFonts w:ascii="Arial" w:cs="Arial" w:eastAsia="Arial" w:hAnsi="Arial"/>
          <w:sz w:val="16"/>
          <w:szCs w:val="16"/>
          <w:color w:val="auto"/>
        </w:rPr>
        <w:t>Adjusted net earnings per diluted share of $0.28</w:t>
      </w:r>
      <w:r>
        <w:rPr>
          <w:rFonts w:ascii="Arial" w:cs="Arial" w:eastAsia="Arial" w:hAnsi="Arial"/>
          <w:sz w:val="21"/>
          <w:szCs w:val="21"/>
          <w:color w:val="auto"/>
          <w:vertAlign w:val="superscript"/>
        </w:rPr>
        <w:t>(1)</w:t>
      </w:r>
    </w:p>
    <w:p>
      <w:pPr>
        <w:spacing w:after="0" w:line="52" w:lineRule="exact"/>
        <w:rPr>
          <w:rFonts w:ascii="Arial" w:cs="Arial" w:eastAsia="Arial" w:hAnsi="Arial"/>
          <w:sz w:val="16"/>
          <w:szCs w:val="16"/>
          <w:color w:val="auto"/>
        </w:rPr>
      </w:pPr>
    </w:p>
    <w:p>
      <w:pPr>
        <w:ind w:left="640" w:hanging="308"/>
        <w:spacing w:after="0"/>
        <w:tabs>
          <w:tab w:leader="none" w:pos="640" w:val="left"/>
        </w:tabs>
        <w:numPr>
          <w:ilvl w:val="0"/>
          <w:numId w:val="2"/>
        </w:numPr>
        <w:rPr>
          <w:rFonts w:ascii="Arial" w:cs="Arial" w:eastAsia="Arial" w:hAnsi="Arial"/>
          <w:sz w:val="16"/>
          <w:szCs w:val="16"/>
          <w:color w:val="auto"/>
        </w:rPr>
      </w:pPr>
      <w:r>
        <w:rPr>
          <w:rFonts w:ascii="Arial" w:cs="Arial" w:eastAsia="Arial" w:hAnsi="Arial"/>
          <w:sz w:val="16"/>
          <w:szCs w:val="16"/>
          <w:color w:val="auto"/>
        </w:rPr>
        <w:t>Net cash from operations of $40.7 million</w:t>
      </w:r>
    </w:p>
    <w:p>
      <w:pPr>
        <w:spacing w:after="0" w:line="32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Full Year Fiscal 2024 Financial Summary</w:t>
      </w:r>
    </w:p>
    <w:p>
      <w:pPr>
        <w:spacing w:after="0" w:line="100" w:lineRule="exact"/>
        <w:rPr>
          <w:sz w:val="20"/>
          <w:szCs w:val="20"/>
          <w:color w:val="auto"/>
        </w:rPr>
      </w:pPr>
    </w:p>
    <w:p>
      <w:pPr>
        <w:ind w:left="640" w:hanging="308"/>
        <w:spacing w:after="0"/>
        <w:tabs>
          <w:tab w:leader="none" w:pos="640" w:val="left"/>
        </w:tabs>
        <w:numPr>
          <w:ilvl w:val="0"/>
          <w:numId w:val="3"/>
        </w:numPr>
        <w:rPr>
          <w:rFonts w:ascii="Arial" w:cs="Arial" w:eastAsia="Arial" w:hAnsi="Arial"/>
          <w:sz w:val="16"/>
          <w:szCs w:val="16"/>
          <w:b w:val="1"/>
          <w:bCs w:val="1"/>
          <w:color w:val="auto"/>
        </w:rPr>
      </w:pPr>
      <w:r>
        <w:rPr>
          <w:rFonts w:ascii="Arial" w:cs="Arial" w:eastAsia="Arial" w:hAnsi="Arial"/>
          <w:sz w:val="16"/>
          <w:szCs w:val="16"/>
          <w:color w:val="auto"/>
        </w:rPr>
        <w:t>Revenues of $2,973.5 million</w:t>
      </w:r>
    </w:p>
    <w:p>
      <w:pPr>
        <w:spacing w:after="0" w:line="99" w:lineRule="exact"/>
        <w:rPr>
          <w:rFonts w:ascii="Arial" w:cs="Arial" w:eastAsia="Arial" w:hAnsi="Arial"/>
          <w:sz w:val="16"/>
          <w:szCs w:val="16"/>
          <w:b w:val="1"/>
          <w:bCs w:val="1"/>
          <w:color w:val="auto"/>
        </w:rPr>
      </w:pPr>
    </w:p>
    <w:p>
      <w:pPr>
        <w:ind w:left="640" w:hanging="308"/>
        <w:spacing w:after="0"/>
        <w:tabs>
          <w:tab w:leader="none" w:pos="640" w:val="left"/>
        </w:tabs>
        <w:numPr>
          <w:ilvl w:val="0"/>
          <w:numId w:val="3"/>
        </w:numPr>
        <w:rPr>
          <w:rFonts w:ascii="Arial" w:cs="Arial" w:eastAsia="Arial" w:hAnsi="Arial"/>
          <w:sz w:val="16"/>
          <w:szCs w:val="16"/>
          <w:color w:val="auto"/>
        </w:rPr>
      </w:pPr>
      <w:r>
        <w:rPr>
          <w:rFonts w:ascii="Arial" w:cs="Arial" w:eastAsia="Arial" w:hAnsi="Arial"/>
          <w:sz w:val="16"/>
          <w:szCs w:val="16"/>
          <w:color w:val="auto"/>
        </w:rPr>
        <w:t>Gross profit of $433.5 million, representing 14.6% gross margin</w:t>
      </w:r>
    </w:p>
    <w:p>
      <w:pPr>
        <w:spacing w:after="0" w:line="99" w:lineRule="exact"/>
        <w:rPr>
          <w:rFonts w:ascii="Arial" w:cs="Arial" w:eastAsia="Arial" w:hAnsi="Arial"/>
          <w:sz w:val="16"/>
          <w:szCs w:val="16"/>
          <w:color w:val="auto"/>
        </w:rPr>
      </w:pPr>
    </w:p>
    <w:p>
      <w:pPr>
        <w:ind w:left="640" w:hanging="308"/>
        <w:spacing w:after="0"/>
        <w:tabs>
          <w:tab w:leader="none" w:pos="640" w:val="left"/>
        </w:tabs>
        <w:numPr>
          <w:ilvl w:val="0"/>
          <w:numId w:val="3"/>
        </w:numPr>
        <w:rPr>
          <w:rFonts w:ascii="Arial" w:cs="Arial" w:eastAsia="Arial" w:hAnsi="Arial"/>
          <w:sz w:val="16"/>
          <w:szCs w:val="16"/>
          <w:color w:val="auto"/>
        </w:rPr>
      </w:pPr>
      <w:r>
        <w:rPr>
          <w:rFonts w:ascii="Arial" w:cs="Arial" w:eastAsia="Arial" w:hAnsi="Arial"/>
          <w:sz w:val="16"/>
          <w:szCs w:val="16"/>
          <w:color w:val="auto"/>
        </w:rPr>
        <w:t>Net earnings per diluted share of $0.44 (includes goodwill impairment and loss on note repurchase)</w:t>
      </w:r>
    </w:p>
    <w:p>
      <w:pPr>
        <w:spacing w:after="0" w:line="99" w:lineRule="exact"/>
        <w:rPr>
          <w:rFonts w:ascii="Arial" w:cs="Arial" w:eastAsia="Arial" w:hAnsi="Arial"/>
          <w:sz w:val="16"/>
          <w:szCs w:val="16"/>
          <w:color w:val="auto"/>
        </w:rPr>
      </w:pPr>
    </w:p>
    <w:p>
      <w:pPr>
        <w:ind w:left="640" w:hanging="308"/>
        <w:spacing w:after="0"/>
        <w:tabs>
          <w:tab w:leader="none" w:pos="640" w:val="left"/>
        </w:tabs>
        <w:numPr>
          <w:ilvl w:val="0"/>
          <w:numId w:val="3"/>
        </w:numPr>
        <w:rPr>
          <w:rFonts w:ascii="Arial" w:cs="Arial" w:eastAsia="Arial" w:hAnsi="Arial"/>
          <w:sz w:val="16"/>
          <w:szCs w:val="16"/>
          <w:color w:val="auto"/>
        </w:rPr>
      </w:pPr>
      <w:r>
        <w:rPr>
          <w:rFonts w:ascii="Arial" w:cs="Arial" w:eastAsia="Arial" w:hAnsi="Arial"/>
          <w:sz w:val="16"/>
          <w:szCs w:val="16"/>
          <w:color w:val="auto"/>
        </w:rPr>
        <w:t>Adjusted net earnings per diluted share of $3.40</w:t>
      </w:r>
      <w:r>
        <w:rPr>
          <w:rFonts w:ascii="Arial" w:cs="Arial" w:eastAsia="Arial" w:hAnsi="Arial"/>
          <w:sz w:val="21"/>
          <w:szCs w:val="21"/>
          <w:color w:val="auto"/>
          <w:vertAlign w:val="superscript"/>
        </w:rPr>
        <w:t>(1)</w:t>
      </w:r>
    </w:p>
    <w:p>
      <w:pPr>
        <w:spacing w:after="0" w:line="44" w:lineRule="exact"/>
        <w:rPr>
          <w:rFonts w:ascii="Arial" w:cs="Arial" w:eastAsia="Arial" w:hAnsi="Arial"/>
          <w:sz w:val="16"/>
          <w:szCs w:val="16"/>
          <w:color w:val="auto"/>
        </w:rPr>
      </w:pPr>
    </w:p>
    <w:p>
      <w:pPr>
        <w:ind w:left="640" w:hanging="308"/>
        <w:spacing w:after="0"/>
        <w:tabs>
          <w:tab w:leader="none" w:pos="640" w:val="left"/>
        </w:tabs>
        <w:numPr>
          <w:ilvl w:val="0"/>
          <w:numId w:val="3"/>
        </w:numPr>
        <w:rPr>
          <w:rFonts w:ascii="Arial" w:cs="Arial" w:eastAsia="Arial" w:hAnsi="Arial"/>
          <w:sz w:val="16"/>
          <w:szCs w:val="16"/>
          <w:color w:val="auto"/>
        </w:rPr>
      </w:pPr>
      <w:r>
        <w:rPr>
          <w:rFonts w:ascii="Arial" w:cs="Arial" w:eastAsia="Arial" w:hAnsi="Arial"/>
          <w:sz w:val="16"/>
          <w:szCs w:val="16"/>
          <w:color w:val="auto"/>
        </w:rPr>
        <w:t>Net cash from operations of $143.9 million</w:t>
      </w:r>
    </w:p>
    <w:p>
      <w:pPr>
        <w:spacing w:after="0" w:line="34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CEO Commentary</w:t>
      </w:r>
    </w:p>
    <w:p>
      <w:pPr>
        <w:spacing w:after="0" w:line="235" w:lineRule="exact"/>
        <w:rPr>
          <w:sz w:val="20"/>
          <w:szCs w:val="20"/>
          <w:color w:val="auto"/>
        </w:rPr>
      </w:pPr>
    </w:p>
    <w:p>
      <w:pPr>
        <w:ind w:right="80"/>
        <w:spacing w:after="0" w:line="377" w:lineRule="auto"/>
        <w:rPr>
          <w:sz w:val="20"/>
          <w:szCs w:val="20"/>
          <w:color w:val="auto"/>
        </w:rPr>
      </w:pPr>
      <w:r>
        <w:rPr>
          <w:rFonts w:ascii="Arial" w:cs="Arial" w:eastAsia="Arial" w:hAnsi="Arial"/>
          <w:sz w:val="16"/>
          <w:szCs w:val="16"/>
          <w:color w:val="auto"/>
        </w:rPr>
        <w:t>“Winnebago Industries’ fourth quarter performance fell short of our expectations, primarily reflecting the sluggish retail demand environment and operating inefficiencies within our Winnebago branded businesses,” said Michael Happe, the Company’s President and Chief Executive Officer. “The RV industry continues to face various headwinds, including uncertain retail conditions, higher inventory carrying costs and slightly elevated inventories in the motorhome segment, leading to continued dealer hesitancy and increased promotional efforts. Despite the challenging operating conditions, in the fourth quarter we continued to focus on the variables within our control. We prioritized profitability and cash generation, aggressively managed inventory, and invested in new products and technologies to drive future growth.</w:t>
      </w:r>
    </w:p>
    <w:p>
      <w:pPr>
        <w:spacing w:after="0" w:line="102" w:lineRule="exact"/>
        <w:rPr>
          <w:sz w:val="20"/>
          <w:szCs w:val="20"/>
          <w:color w:val="auto"/>
        </w:rPr>
      </w:pPr>
    </w:p>
    <w:p>
      <w:pPr>
        <w:ind w:right="180"/>
        <w:spacing w:after="0" w:line="389" w:lineRule="auto"/>
        <w:rPr>
          <w:sz w:val="20"/>
          <w:szCs w:val="20"/>
          <w:color w:val="auto"/>
        </w:rPr>
      </w:pPr>
      <w:r>
        <w:rPr>
          <w:rFonts w:ascii="Arial" w:cs="Arial" w:eastAsia="Arial" w:hAnsi="Arial"/>
          <w:sz w:val="16"/>
          <w:szCs w:val="16"/>
          <w:color w:val="auto"/>
        </w:rPr>
        <w:t>“As evidenced by the recent launch of the Lineage Series M, Grand Design’s first motorized RV, product innovation remains a centerpiece of our long-term strategy,” Happe said. “We are continuously evolving our offerings to strike the right balance between cutting-edge features and the growing consumer preference for affordability, highlighted by products such as the Grand</w:t>
      </w:r>
    </w:p>
    <w:p>
      <w:pPr>
        <w:sectPr>
          <w:pgSz w:w="11900" w:h="16838" w:orient="portrait"/>
          <w:cols w:equalWidth="0" w:num="1">
            <w:col w:w="11240"/>
          </w:cols>
          <w:pgMar w:left="320" w:top="895" w:right="339" w:bottom="1440" w:gutter="0" w:footer="0" w:header="0"/>
        </w:sect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w:t>
      </w:r>
    </w:p>
    <w:p>
      <w:pPr>
        <w:sectPr>
          <w:pgSz w:w="11900" w:h="16838" w:orient="portrait"/>
          <w:cols w:equalWidth="0" w:num="1">
            <w:col w:w="11240"/>
          </w:cols>
          <w:pgMar w:left="320" w:top="895" w:right="339" w:bottom="1440" w:gutter="0" w:footer="0" w:header="0"/>
          <w:type w:val="continuous"/>
        </w:sectPr>
      </w:pPr>
    </w:p>
    <w:bookmarkStart w:id="4" w:name="page5"/>
    <w:bookmarkEnd w:id="4"/>
    <w:p>
      <w:pPr>
        <w:ind w:right="80"/>
        <w:spacing w:after="0" w:line="409" w:lineRule="auto"/>
        <w:rPr>
          <w:sz w:val="20"/>
          <w:szCs w:val="20"/>
          <w:color w:val="auto"/>
        </w:rPr>
      </w:pPr>
      <w:r>
        <w:rPr>
          <w:rFonts w:ascii="Arial" w:cs="Arial" w:eastAsia="Arial" w:hAnsi="Arial"/>
          <w:sz w:val="16"/>
          <w:szCs w:val="16"/>
          <w:color w:val="auto"/>
        </w:rPr>
        <w:t>Design Reflection 100 Series, the Grand Design Influence and the Winnebago Access. As we begin Fiscal 2025, our RV and marine brands are intensifying their efforts to deliver exceptional value to consumers across a range of price points.</w:t>
      </w:r>
    </w:p>
    <w:p>
      <w:pPr>
        <w:spacing w:after="0" w:line="75" w:lineRule="exact"/>
        <w:rPr>
          <w:sz w:val="20"/>
          <w:szCs w:val="20"/>
          <w:color w:val="auto"/>
        </w:rPr>
      </w:pPr>
    </w:p>
    <w:p>
      <w:pPr>
        <w:ind w:right="200"/>
        <w:spacing w:after="0" w:line="373" w:lineRule="auto"/>
        <w:rPr>
          <w:sz w:val="20"/>
          <w:szCs w:val="20"/>
          <w:color w:val="auto"/>
        </w:rPr>
      </w:pPr>
      <w:r>
        <w:rPr>
          <w:rFonts w:ascii="Arial" w:cs="Arial" w:eastAsia="Arial" w:hAnsi="Arial"/>
          <w:sz w:val="16"/>
          <w:szCs w:val="16"/>
          <w:color w:val="auto"/>
        </w:rPr>
        <w:t>“In recent weeks, we have implemented leadership changes to enhance our Winnebago Motorhome and Winnebago Towables businesses, both of which have underperformed in recent quarters,” Happe said. “Chris West, who previously served as Senior Vice President of Enterprise Operations and Barletta Boats, has been named President of the Winnebago branded Motorhome and Specialty Vehicles business. Don Clark, President of Grand Design and a proven leader with an unmatched track record of success and understanding of the RV industry over the last 40 years, has been promoted to Group President and will augment his responsibilities by providing executive oversight for the Winnebago Towables business. The extensive industry knowledge and leadership skills Chris and Don bring to their new roles will be invaluable in further enhancing Winnebago brand’s influence, impact, and market share through new products and technology innovations.”</w:t>
      </w:r>
    </w:p>
    <w:p>
      <w:pPr>
        <w:spacing w:after="0" w:line="11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Fourth Quarter Fiscal 2024 Results</w:t>
      </w:r>
    </w:p>
    <w:p>
      <w:pPr>
        <w:spacing w:after="0" w:line="100" w:lineRule="exact"/>
        <w:rPr>
          <w:sz w:val="20"/>
          <w:szCs w:val="20"/>
          <w:color w:val="auto"/>
        </w:rPr>
      </w:pPr>
    </w:p>
    <w:p>
      <w:pPr>
        <w:ind w:right="340"/>
        <w:spacing w:after="0" w:line="409" w:lineRule="auto"/>
        <w:rPr>
          <w:sz w:val="20"/>
          <w:szCs w:val="20"/>
          <w:color w:val="auto"/>
        </w:rPr>
      </w:pPr>
      <w:r>
        <w:rPr>
          <w:rFonts w:ascii="Arial" w:cs="Arial" w:eastAsia="Arial" w:hAnsi="Arial"/>
          <w:sz w:val="16"/>
          <w:szCs w:val="16"/>
          <w:color w:val="auto"/>
        </w:rPr>
        <w:t>Revenues were $720.9 million, a decrease of 6.5% compared to $771.0 million in the fourth quarter of last year, driven primarily by product mix, partially offset by higher unit volume.</w:t>
      </w:r>
    </w:p>
    <w:p>
      <w:pPr>
        <w:spacing w:after="0" w:line="75" w:lineRule="exact"/>
        <w:rPr>
          <w:sz w:val="20"/>
          <w:szCs w:val="20"/>
          <w:color w:val="auto"/>
        </w:rPr>
      </w:pPr>
    </w:p>
    <w:p>
      <w:pPr>
        <w:ind w:right="220"/>
        <w:spacing w:after="0" w:line="409" w:lineRule="auto"/>
        <w:rPr>
          <w:sz w:val="20"/>
          <w:szCs w:val="20"/>
          <w:color w:val="auto"/>
        </w:rPr>
      </w:pPr>
      <w:r>
        <w:rPr>
          <w:rFonts w:ascii="Arial" w:cs="Arial" w:eastAsia="Arial" w:hAnsi="Arial"/>
          <w:sz w:val="16"/>
          <w:szCs w:val="16"/>
          <w:color w:val="auto"/>
        </w:rPr>
        <w:t>Gross profit was $94.2 million, a decrease of 26.1% compared to $127.5 million in the fourth quarter of last year. Gross profit margin decreased 340 basis points in the quarter to 13.1%, reflecting higher warranty expense, operational challenges, and deleverage.</w:t>
      </w:r>
    </w:p>
    <w:p>
      <w:pPr>
        <w:spacing w:after="0" w:line="88" w:lineRule="exact"/>
        <w:rPr>
          <w:sz w:val="20"/>
          <w:szCs w:val="20"/>
          <w:color w:val="auto"/>
        </w:rPr>
      </w:pPr>
    </w:p>
    <w:p>
      <w:pPr>
        <w:spacing w:after="0" w:line="374" w:lineRule="auto"/>
        <w:rPr>
          <w:sz w:val="20"/>
          <w:szCs w:val="20"/>
          <w:color w:val="auto"/>
        </w:rPr>
      </w:pPr>
      <w:r>
        <w:rPr>
          <w:rFonts w:ascii="Arial" w:cs="Arial" w:eastAsia="Arial" w:hAnsi="Arial"/>
          <w:sz w:val="16"/>
          <w:szCs w:val="16"/>
          <w:color w:val="auto"/>
        </w:rPr>
        <w:t>Operating expenses were $112.0 million, an increase of 60.4% compared to $70.0 million in the fourth quarter of last year. This increase was primarily driven by a $30.3 million impairment charge associated with the Chris-Craft reporting unit, start-up costs associated with the launch of the Grand Design motorized business, and strategic investments in engineering, digital technology development and increased data and information technology capabilities. The decline in fair value of the Chris-Craft reporting unit was driven primarily by softening in the marine industry as a result of sustained macroeconomic challenges impacting consumer demand, such as inflationary pressures and elevated interest rates, and the current uncertainty regarding the timing and degree of an economic recovery.</w:t>
      </w:r>
    </w:p>
    <w:p>
      <w:pPr>
        <w:spacing w:after="0" w:line="102" w:lineRule="exact"/>
        <w:rPr>
          <w:sz w:val="20"/>
          <w:szCs w:val="20"/>
          <w:color w:val="auto"/>
        </w:rPr>
      </w:pPr>
    </w:p>
    <w:p>
      <w:pPr>
        <w:spacing w:after="0"/>
        <w:rPr>
          <w:sz w:val="20"/>
          <w:szCs w:val="20"/>
          <w:color w:val="auto"/>
        </w:rPr>
      </w:pPr>
      <w:r>
        <w:rPr>
          <w:rFonts w:ascii="Arial" w:cs="Arial" w:eastAsia="Arial" w:hAnsi="Arial"/>
          <w:sz w:val="16"/>
          <w:szCs w:val="16"/>
          <w:color w:val="auto"/>
        </w:rPr>
        <w:t>Operating loss was $17.8 million compared to operating income of $57.5 million in the fourth quarter of last year.</w:t>
      </w:r>
    </w:p>
    <w:p>
      <w:pPr>
        <w:spacing w:after="0" w:line="248" w:lineRule="exact"/>
        <w:rPr>
          <w:sz w:val="20"/>
          <w:szCs w:val="20"/>
          <w:color w:val="auto"/>
        </w:rPr>
      </w:pPr>
    </w:p>
    <w:p>
      <w:pPr>
        <w:ind w:right="120"/>
        <w:spacing w:after="0" w:line="344" w:lineRule="auto"/>
        <w:rPr>
          <w:sz w:val="20"/>
          <w:szCs w:val="20"/>
          <w:color w:val="auto"/>
        </w:rPr>
      </w:pPr>
      <w:r>
        <w:rPr>
          <w:rFonts w:ascii="Arial" w:cs="Arial" w:eastAsia="Arial" w:hAnsi="Arial"/>
          <w:sz w:val="16"/>
          <w:szCs w:val="16"/>
          <w:color w:val="auto"/>
        </w:rPr>
        <w:t>Net loss was $29.1 million, compared to net income of $43.8 million in the fourth quarter of last year. Reported net loss per diluted share was $1.01, compared to reported net earnings per diluted share of $1.28 in the fourth quarter of last year. Adjusted earnings per diluted share was $0.28</w:t>
      </w:r>
      <w:r>
        <w:rPr>
          <w:rFonts w:ascii="Arial" w:cs="Arial" w:eastAsia="Arial" w:hAnsi="Arial"/>
          <w:sz w:val="21"/>
          <w:szCs w:val="21"/>
          <w:color w:val="auto"/>
          <w:vertAlign w:val="superscript"/>
        </w:rPr>
        <w:t>(1)</w:t>
      </w:r>
      <w:r>
        <w:rPr>
          <w:rFonts w:ascii="Arial" w:cs="Arial" w:eastAsia="Arial" w:hAnsi="Arial"/>
          <w:sz w:val="16"/>
          <w:szCs w:val="16"/>
          <w:color w:val="auto"/>
        </w:rPr>
        <w:t>, a decrease of 80.1% compared to adjusted earnings per diluted share of $1.41</w:t>
      </w:r>
      <w:r>
        <w:rPr>
          <w:rFonts w:ascii="Arial" w:cs="Arial" w:eastAsia="Arial" w:hAnsi="Arial"/>
          <w:sz w:val="21"/>
          <w:szCs w:val="21"/>
          <w:color w:val="auto"/>
          <w:vertAlign w:val="superscript"/>
        </w:rPr>
        <w:t>(1)</w:t>
      </w:r>
      <w:r>
        <w:rPr>
          <w:rFonts w:ascii="Arial" w:cs="Arial" w:eastAsia="Arial" w:hAnsi="Arial"/>
          <w:sz w:val="16"/>
          <w:szCs w:val="16"/>
          <w:color w:val="auto"/>
        </w:rPr>
        <w:t xml:space="preserve"> in the fourth quarter of last year.</w:t>
      </w:r>
    </w:p>
    <w:p>
      <w:pPr>
        <w:spacing w:after="0" w:line="30" w:lineRule="exact"/>
        <w:rPr>
          <w:sz w:val="20"/>
          <w:szCs w:val="20"/>
          <w:color w:val="auto"/>
        </w:rPr>
      </w:pPr>
    </w:p>
    <w:p>
      <w:pPr>
        <w:spacing w:after="0"/>
        <w:rPr>
          <w:sz w:val="20"/>
          <w:szCs w:val="20"/>
          <w:color w:val="auto"/>
        </w:rPr>
      </w:pPr>
      <w:r>
        <w:rPr>
          <w:rFonts w:ascii="Arial" w:cs="Arial" w:eastAsia="Arial" w:hAnsi="Arial"/>
          <w:sz w:val="16"/>
          <w:szCs w:val="16"/>
          <w:color w:val="auto"/>
        </w:rPr>
        <w:t>Consolidated Adjusted EBITDA was $28.7 million, a decrease of 60.6%, compared to $72.9 million last year.</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Full Year Fiscal 2024 Results</w:t>
      </w:r>
    </w:p>
    <w:p>
      <w:pPr>
        <w:spacing w:after="0" w:line="235" w:lineRule="exact"/>
        <w:rPr>
          <w:sz w:val="20"/>
          <w:szCs w:val="20"/>
          <w:color w:val="auto"/>
        </w:rPr>
      </w:pPr>
    </w:p>
    <w:p>
      <w:pPr>
        <w:ind w:right="400"/>
        <w:spacing w:after="0" w:line="409" w:lineRule="auto"/>
        <w:rPr>
          <w:sz w:val="20"/>
          <w:szCs w:val="20"/>
          <w:color w:val="auto"/>
        </w:rPr>
      </w:pPr>
      <w:r>
        <w:rPr>
          <w:rFonts w:ascii="Arial" w:cs="Arial" w:eastAsia="Arial" w:hAnsi="Arial"/>
          <w:sz w:val="16"/>
          <w:szCs w:val="16"/>
          <w:color w:val="auto"/>
        </w:rPr>
        <w:t>Revenues were $3.0 billion, a decrease of 14.8% compared to $3.5 billion in Fiscal 2023, driven primarily by product mix and lower unit sales related to market conditions.</w:t>
      </w:r>
    </w:p>
    <w:p>
      <w:pPr>
        <w:spacing w:after="0" w:line="88" w:lineRule="exact"/>
        <w:rPr>
          <w:sz w:val="20"/>
          <w:szCs w:val="20"/>
          <w:color w:val="auto"/>
        </w:rPr>
      </w:pPr>
    </w:p>
    <w:p>
      <w:pPr>
        <w:ind w:right="120"/>
        <w:spacing w:after="0" w:line="409" w:lineRule="auto"/>
        <w:rPr>
          <w:sz w:val="20"/>
          <w:szCs w:val="20"/>
          <w:color w:val="auto"/>
        </w:rPr>
      </w:pPr>
      <w:r>
        <w:rPr>
          <w:rFonts w:ascii="Arial" w:cs="Arial" w:eastAsia="Arial" w:hAnsi="Arial"/>
          <w:sz w:val="16"/>
          <w:szCs w:val="16"/>
          <w:color w:val="auto"/>
        </w:rPr>
        <w:t>Gross profit was $433.5 million, a decrease of 26.0% compared to $586.1 million in Fiscal 2023. Gross profit margin decreased 220 basis points year-over-year to 14.6% as a result of deleverage, higher warranty expense, and operational challenges.</w:t>
      </w:r>
    </w:p>
    <w:p>
      <w:pPr>
        <w:spacing w:after="0" w:line="75" w:lineRule="exact"/>
        <w:rPr>
          <w:sz w:val="20"/>
          <w:szCs w:val="20"/>
          <w:color w:val="auto"/>
        </w:rPr>
      </w:pPr>
    </w:p>
    <w:p>
      <w:pPr>
        <w:ind w:right="260"/>
        <w:spacing w:after="0" w:line="383" w:lineRule="auto"/>
        <w:rPr>
          <w:sz w:val="20"/>
          <w:szCs w:val="20"/>
          <w:color w:val="auto"/>
        </w:rPr>
      </w:pPr>
      <w:r>
        <w:rPr>
          <w:rFonts w:ascii="Arial" w:cs="Arial" w:eastAsia="Arial" w:hAnsi="Arial"/>
          <w:sz w:val="16"/>
          <w:szCs w:val="16"/>
          <w:color w:val="auto"/>
        </w:rPr>
        <w:t>Operating expenses were $333.3 million, an increase of 16.8% compared to $285.4 million in Fiscal 2023. The increase was primarily due to the goodwill impairment charge associated with the Chris-Craft reporting unit, a full year of Lithionics operations and increased intangible amortization, start-up costs associated with the launch of the Grand Design motorized business, and strategic investments in engineering, digital technology development, and increased data and information technology capabilities, partially offset by lower incentive-based compensation.</w:t>
      </w:r>
    </w:p>
    <w:p>
      <w:pPr>
        <w:spacing w:after="0" w:line="200" w:lineRule="exact"/>
        <w:rPr>
          <w:sz w:val="20"/>
          <w:szCs w:val="20"/>
          <w:color w:val="auto"/>
        </w:rPr>
      </w:pPr>
    </w:p>
    <w:p>
      <w:pPr>
        <w:spacing w:after="0" w:line="286"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w:t>
      </w:r>
    </w:p>
    <w:p>
      <w:pPr>
        <w:sectPr>
          <w:pgSz w:w="11900" w:h="16838" w:orient="portrait"/>
          <w:cols w:equalWidth="0" w:num="1">
            <w:col w:w="11220"/>
          </w:cols>
          <w:pgMar w:left="320" w:top="1084" w:right="359" w:bottom="1440" w:gutter="0" w:footer="0" w:header="0"/>
        </w:sectPr>
      </w:pPr>
    </w:p>
    <w:bookmarkStart w:id="5" w:name="page6"/>
    <w:bookmarkEnd w:id="5"/>
    <w:p>
      <w:pPr>
        <w:spacing w:after="0"/>
        <w:rPr>
          <w:sz w:val="20"/>
          <w:szCs w:val="20"/>
          <w:color w:val="auto"/>
        </w:rPr>
      </w:pPr>
      <w:r>
        <w:rPr>
          <w:rFonts w:ascii="Arial" w:cs="Arial" w:eastAsia="Arial" w:hAnsi="Arial"/>
          <w:sz w:val="16"/>
          <w:szCs w:val="16"/>
          <w:color w:val="auto"/>
        </w:rPr>
        <w:t>Operating income was $100.2 million, a decrease of 66.7% compared to $300.7 million in Fiscal 2023.</w:t>
      </w:r>
    </w:p>
    <w:p>
      <w:pPr>
        <w:spacing w:after="0" w:line="235" w:lineRule="exact"/>
        <w:rPr>
          <w:sz w:val="20"/>
          <w:szCs w:val="20"/>
          <w:color w:val="auto"/>
        </w:rPr>
      </w:pPr>
    </w:p>
    <w:p>
      <w:pPr>
        <w:ind w:right="160"/>
        <w:spacing w:after="0" w:line="344" w:lineRule="auto"/>
        <w:rPr>
          <w:sz w:val="20"/>
          <w:szCs w:val="20"/>
          <w:color w:val="auto"/>
        </w:rPr>
      </w:pPr>
      <w:r>
        <w:rPr>
          <w:rFonts w:ascii="Arial" w:cs="Arial" w:eastAsia="Arial" w:hAnsi="Arial"/>
          <w:sz w:val="16"/>
          <w:szCs w:val="16"/>
          <w:color w:val="auto"/>
        </w:rPr>
        <w:t>Net income was $13.0 million, compared to net income of $215.9 million in Fiscal 2023. Reported earnings per diluted share was $0.44, compared to reported earnings per diluted share of $6.23 in the same period last year. Adjusted earnings per diluted share was $3.40</w:t>
      </w:r>
      <w:r>
        <w:rPr>
          <w:rFonts w:ascii="Arial" w:cs="Arial" w:eastAsia="Arial" w:hAnsi="Arial"/>
          <w:sz w:val="21"/>
          <w:szCs w:val="21"/>
          <w:color w:val="auto"/>
          <w:vertAlign w:val="superscript"/>
        </w:rPr>
        <w:t>(1)</w:t>
      </w:r>
      <w:r>
        <w:rPr>
          <w:rFonts w:ascii="Arial" w:cs="Arial" w:eastAsia="Arial" w:hAnsi="Arial"/>
          <w:sz w:val="16"/>
          <w:szCs w:val="16"/>
          <w:color w:val="auto"/>
        </w:rPr>
        <w:t>, a decrease of 49.8% compared to adjusted earnings per diluted share of $6.77</w:t>
      </w:r>
      <w:r>
        <w:rPr>
          <w:rFonts w:ascii="Arial" w:cs="Arial" w:eastAsia="Arial" w:hAnsi="Arial"/>
          <w:sz w:val="21"/>
          <w:szCs w:val="21"/>
          <w:color w:val="auto"/>
          <w:vertAlign w:val="superscript"/>
        </w:rPr>
        <w:t>(1)</w:t>
      </w:r>
      <w:r>
        <w:rPr>
          <w:rFonts w:ascii="Arial" w:cs="Arial" w:eastAsia="Arial" w:hAnsi="Arial"/>
          <w:sz w:val="16"/>
          <w:szCs w:val="16"/>
          <w:color w:val="auto"/>
        </w:rPr>
        <w:t xml:space="preserve"> in Fiscal 2023.</w:t>
      </w:r>
    </w:p>
    <w:p>
      <w:pPr>
        <w:spacing w:after="0" w:line="30" w:lineRule="exact"/>
        <w:rPr>
          <w:sz w:val="20"/>
          <w:szCs w:val="20"/>
          <w:color w:val="auto"/>
        </w:rPr>
      </w:pPr>
    </w:p>
    <w:p>
      <w:pPr>
        <w:spacing w:after="0"/>
        <w:rPr>
          <w:sz w:val="20"/>
          <w:szCs w:val="20"/>
          <w:color w:val="auto"/>
        </w:rPr>
      </w:pPr>
      <w:r>
        <w:rPr>
          <w:rFonts w:ascii="Arial" w:cs="Arial" w:eastAsia="Arial" w:hAnsi="Arial"/>
          <w:sz w:val="16"/>
          <w:szCs w:val="16"/>
          <w:color w:val="auto"/>
        </w:rPr>
        <w:t>Consolidated Adjusted EBITDA was $190.6 million, a decrease of 46.3%, compared to $354.7 million last year.</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4660" w:type="dxa"/>
            <w:vAlign w:val="bottom"/>
            <w:gridSpan w:val="2"/>
          </w:tcPr>
          <w:p>
            <w:pPr>
              <w:spacing w:after="0"/>
              <w:rPr>
                <w:sz w:val="20"/>
                <w:szCs w:val="20"/>
                <w:color w:val="auto"/>
              </w:rPr>
            </w:pPr>
            <w:r>
              <w:rPr>
                <w:rFonts w:ascii="Arial" w:cs="Arial" w:eastAsia="Arial" w:hAnsi="Arial"/>
                <w:sz w:val="16"/>
                <w:szCs w:val="16"/>
                <w:b w:val="1"/>
                <w:bCs w:val="1"/>
                <w:color w:val="auto"/>
              </w:rPr>
              <w:t>Fourth Quarter and Fiscal 2024 Segments Summary</w:t>
            </w:r>
          </w:p>
        </w:tc>
        <w:tc>
          <w:tcPr>
            <w:tcW w:w="28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120" w:type="dxa"/>
            <w:vAlign w:val="bottom"/>
          </w:tcPr>
          <w:p>
            <w:pPr>
              <w:spacing w:after="0"/>
              <w:rPr>
                <w:sz w:val="19"/>
                <w:szCs w:val="19"/>
                <w:color w:val="auto"/>
              </w:rPr>
            </w:pPr>
          </w:p>
        </w:tc>
      </w:tr>
      <w:tr>
        <w:trPr>
          <w:trHeight w:val="345"/>
        </w:trPr>
        <w:tc>
          <w:tcPr>
            <w:tcW w:w="4660" w:type="dxa"/>
            <w:vAlign w:val="bottom"/>
            <w:gridSpan w:val="2"/>
          </w:tcPr>
          <w:p>
            <w:pPr>
              <w:spacing w:after="0"/>
              <w:rPr>
                <w:sz w:val="20"/>
                <w:szCs w:val="20"/>
                <w:color w:val="auto"/>
              </w:rPr>
            </w:pPr>
            <w:r>
              <w:rPr>
                <w:rFonts w:ascii="Arial" w:cs="Arial" w:eastAsia="Arial" w:hAnsi="Arial"/>
                <w:sz w:val="16"/>
                <w:szCs w:val="16"/>
                <w:color w:val="auto"/>
              </w:rPr>
              <w:t>Towable RV</w:t>
            </w:r>
          </w:p>
        </w:tc>
        <w:tc>
          <w:tcPr>
            <w:tcW w:w="28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120" w:type="dxa"/>
            <w:vAlign w:val="bottom"/>
          </w:tcPr>
          <w:p>
            <w:pPr>
              <w:spacing w:after="0"/>
              <w:rPr>
                <w:sz w:val="24"/>
                <w:szCs w:val="24"/>
                <w:color w:val="auto"/>
              </w:rPr>
            </w:pPr>
          </w:p>
        </w:tc>
      </w:tr>
      <w:tr>
        <w:trPr>
          <w:trHeight w:val="304"/>
        </w:trPr>
        <w:tc>
          <w:tcPr>
            <w:tcW w:w="860" w:type="dxa"/>
            <w:vAlign w:val="bottom"/>
            <w:tcBorders>
              <w:top w:val="single" w:sz="8" w:color="auto"/>
            </w:tcBorders>
          </w:tcPr>
          <w:p>
            <w:pPr>
              <w:spacing w:after="0"/>
              <w:rPr>
                <w:sz w:val="24"/>
                <w:szCs w:val="24"/>
                <w:color w:val="auto"/>
              </w:rPr>
            </w:pPr>
          </w:p>
        </w:tc>
        <w:tc>
          <w:tcPr>
            <w:tcW w:w="38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4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6"/>
                <w:szCs w:val="16"/>
                <w:b w:val="1"/>
                <w:bCs w:val="1"/>
                <w:color w:val="auto"/>
              </w:rPr>
              <w:t>Three Months Ended</w:t>
            </w:r>
          </w:p>
        </w:tc>
        <w:tc>
          <w:tcPr>
            <w:tcW w:w="2120" w:type="dxa"/>
            <w:vAlign w:val="bottom"/>
            <w:tcBorders>
              <w:bottom w:val="single" w:sz="8" w:color="auto"/>
            </w:tcBorders>
          </w:tcPr>
          <w:p>
            <w:pPr>
              <w:spacing w:after="0"/>
              <w:rPr>
                <w:sz w:val="24"/>
                <w:szCs w:val="24"/>
                <w:color w:val="auto"/>
              </w:rPr>
            </w:pPr>
          </w:p>
        </w:tc>
      </w:tr>
      <w:tr>
        <w:trPr>
          <w:trHeight w:val="209"/>
        </w:trPr>
        <w:tc>
          <w:tcPr>
            <w:tcW w:w="4660" w:type="dxa"/>
            <w:vAlign w:val="bottom"/>
            <w:gridSpan w:val="2"/>
          </w:tcPr>
          <w:p>
            <w:pPr>
              <w:ind w:left="20"/>
              <w:spacing w:after="0"/>
              <w:rPr>
                <w:sz w:val="20"/>
                <w:szCs w:val="20"/>
                <w:color w:val="auto"/>
              </w:rPr>
            </w:pPr>
            <w:r>
              <w:rPr>
                <w:rFonts w:ascii="Arial" w:cs="Arial" w:eastAsia="Arial" w:hAnsi="Arial"/>
                <w:sz w:val="14"/>
                <w:szCs w:val="14"/>
                <w:color w:val="auto"/>
              </w:rPr>
              <w:t>($, in millions)</w:t>
            </w:r>
          </w:p>
        </w:tc>
        <w:tc>
          <w:tcPr>
            <w:tcW w:w="280" w:type="dxa"/>
            <w:vAlign w:val="bottom"/>
          </w:tcPr>
          <w:p>
            <w:pPr>
              <w:spacing w:after="0"/>
              <w:rPr>
                <w:sz w:val="18"/>
                <w:szCs w:val="18"/>
                <w:color w:val="auto"/>
              </w:rPr>
            </w:pPr>
          </w:p>
        </w:tc>
        <w:tc>
          <w:tcPr>
            <w:tcW w:w="1960" w:type="dxa"/>
            <w:vAlign w:val="bottom"/>
            <w:gridSpan w:val="2"/>
          </w:tcPr>
          <w:p>
            <w:pPr>
              <w:ind w:left="160"/>
              <w:spacing w:after="0"/>
              <w:rPr>
                <w:sz w:val="20"/>
                <w:szCs w:val="20"/>
                <w:color w:val="auto"/>
              </w:rPr>
            </w:pPr>
            <w:r>
              <w:rPr>
                <w:rFonts w:ascii="Arial" w:cs="Arial" w:eastAsia="Arial" w:hAnsi="Arial"/>
                <w:sz w:val="16"/>
                <w:szCs w:val="16"/>
                <w:b w:val="1"/>
                <w:bCs w:val="1"/>
                <w:color w:val="auto"/>
              </w:rPr>
              <w:t>August 31, 2024</w:t>
            </w:r>
          </w:p>
        </w:tc>
        <w:tc>
          <w:tcPr>
            <w:tcW w:w="180" w:type="dxa"/>
            <w:vAlign w:val="bottom"/>
          </w:tcPr>
          <w:p>
            <w:pPr>
              <w:spacing w:after="0"/>
              <w:rPr>
                <w:sz w:val="18"/>
                <w:szCs w:val="18"/>
                <w:color w:val="auto"/>
              </w:rPr>
            </w:pPr>
          </w:p>
        </w:tc>
        <w:tc>
          <w:tcPr>
            <w:tcW w:w="204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rPr>
              <w:t>August 26, 2023</w:t>
            </w:r>
          </w:p>
        </w:tc>
        <w:tc>
          <w:tcPr>
            <w:tcW w:w="2120" w:type="dxa"/>
            <w:vAlign w:val="bottom"/>
          </w:tcPr>
          <w:p>
            <w:pPr>
              <w:jc w:val="right"/>
              <w:ind w:right="619"/>
              <w:spacing w:after="0" w:line="210" w:lineRule="exact"/>
              <w:rPr>
                <w:sz w:val="20"/>
                <w:szCs w:val="20"/>
                <w:color w:val="auto"/>
              </w:rPr>
            </w:pPr>
            <w:r>
              <w:rPr>
                <w:rFonts w:ascii="Arial" w:cs="Arial" w:eastAsia="Arial" w:hAnsi="Arial"/>
                <w:sz w:val="16"/>
                <w:szCs w:val="16"/>
                <w:b w:val="1"/>
                <w:bCs w:val="1"/>
                <w:color w:val="auto"/>
              </w:rPr>
              <w:t>Change</w:t>
            </w:r>
            <w:r>
              <w:rPr>
                <w:rFonts w:ascii="Arial" w:cs="Arial" w:eastAsia="Arial" w:hAnsi="Arial"/>
                <w:sz w:val="21"/>
                <w:szCs w:val="21"/>
                <w:b w:val="1"/>
                <w:bCs w:val="1"/>
                <w:color w:val="auto"/>
                <w:vertAlign w:val="superscript"/>
              </w:rPr>
              <w:t>(1)</w:t>
            </w:r>
          </w:p>
        </w:tc>
      </w:tr>
      <w:tr>
        <w:trPr>
          <w:trHeight w:val="209"/>
        </w:trPr>
        <w:tc>
          <w:tcPr>
            <w:tcW w:w="4660" w:type="dxa"/>
            <w:vAlign w:val="bottom"/>
            <w:tcBorders>
              <w:top w:val="single" w:sz="8" w:color="auto"/>
            </w:tcBorders>
            <w:gridSpan w:val="2"/>
            <w:shd w:val="clear" w:color="auto" w:fill="CCEEFF"/>
          </w:tcPr>
          <w:p>
            <w:pPr>
              <w:ind w:left="20"/>
              <w:spacing w:after="0"/>
              <w:rPr>
                <w:sz w:val="20"/>
                <w:szCs w:val="20"/>
                <w:color w:val="auto"/>
              </w:rPr>
            </w:pPr>
            <w:r>
              <w:rPr>
                <w:rFonts w:ascii="Arial" w:cs="Arial" w:eastAsia="Arial" w:hAnsi="Arial"/>
                <w:sz w:val="16"/>
                <w:szCs w:val="16"/>
                <w:color w:val="auto"/>
              </w:rPr>
              <w:t>Net revenues</w:t>
            </w:r>
          </w:p>
        </w:tc>
        <w:tc>
          <w:tcPr>
            <w:tcW w:w="280" w:type="dxa"/>
            <w:vAlign w:val="bottom"/>
            <w:tcBorders>
              <w:top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840" w:type="dxa"/>
            <w:vAlign w:val="bottom"/>
            <w:tcBorders>
              <w:top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317.0</w:t>
            </w: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940" w:type="dxa"/>
            <w:vAlign w:val="bottom"/>
            <w:tcBorders>
              <w:top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341.4</w:t>
            </w:r>
          </w:p>
        </w:tc>
        <w:tc>
          <w:tcPr>
            <w:tcW w:w="100" w:type="dxa"/>
            <w:vAlign w:val="bottom"/>
            <w:tcBorders>
              <w:top w:val="single" w:sz="8" w:color="CCEEFF"/>
            </w:tcBorders>
            <w:shd w:val="clear" w:color="auto" w:fill="CCEEFF"/>
          </w:tcPr>
          <w:p>
            <w:pPr>
              <w:spacing w:after="0"/>
              <w:rPr>
                <w:sz w:val="18"/>
                <w:szCs w:val="18"/>
                <w:color w:val="auto"/>
              </w:rPr>
            </w:pPr>
          </w:p>
        </w:tc>
        <w:tc>
          <w:tcPr>
            <w:tcW w:w="2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(7.2)%</w:t>
            </w:r>
          </w:p>
        </w:tc>
      </w:tr>
      <w:tr>
        <w:trPr>
          <w:trHeight w:val="215"/>
        </w:trPr>
        <w:tc>
          <w:tcPr>
            <w:tcW w:w="4660" w:type="dxa"/>
            <w:vAlign w:val="bottom"/>
            <w:gridSpan w:val="2"/>
          </w:tcPr>
          <w:p>
            <w:pPr>
              <w:ind w:left="20"/>
              <w:spacing w:after="0"/>
              <w:rPr>
                <w:sz w:val="20"/>
                <w:szCs w:val="20"/>
                <w:color w:val="auto"/>
              </w:rPr>
            </w:pPr>
            <w:r>
              <w:rPr>
                <w:rFonts w:ascii="Arial" w:cs="Arial" w:eastAsia="Arial" w:hAnsi="Arial"/>
                <w:sz w:val="16"/>
                <w:szCs w:val="16"/>
                <w:color w:val="auto"/>
              </w:rPr>
              <w:t>Adjusted EBITDA</w:t>
            </w: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840" w:type="dxa"/>
            <w:vAlign w:val="bottom"/>
          </w:tcPr>
          <w:p>
            <w:pPr>
              <w:jc w:val="right"/>
              <w:ind w:right="119"/>
              <w:spacing w:after="0"/>
              <w:rPr>
                <w:sz w:val="20"/>
                <w:szCs w:val="20"/>
                <w:color w:val="auto"/>
              </w:rPr>
            </w:pPr>
            <w:r>
              <w:rPr>
                <w:rFonts w:ascii="Arial" w:cs="Arial" w:eastAsia="Arial" w:hAnsi="Arial"/>
                <w:sz w:val="16"/>
                <w:szCs w:val="16"/>
                <w:color w:val="auto"/>
              </w:rPr>
              <w:t>20.6</w:t>
            </w:r>
          </w:p>
        </w:tc>
        <w:tc>
          <w:tcPr>
            <w:tcW w:w="1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940" w:type="dxa"/>
            <w:vAlign w:val="bottom"/>
          </w:tcPr>
          <w:p>
            <w:pPr>
              <w:jc w:val="right"/>
              <w:ind w:right="139"/>
              <w:spacing w:after="0"/>
              <w:rPr>
                <w:sz w:val="20"/>
                <w:szCs w:val="20"/>
                <w:color w:val="auto"/>
              </w:rPr>
            </w:pPr>
            <w:r>
              <w:rPr>
                <w:rFonts w:ascii="Arial" w:cs="Arial" w:eastAsia="Arial" w:hAnsi="Arial"/>
                <w:sz w:val="16"/>
                <w:szCs w:val="16"/>
                <w:color w:val="auto"/>
              </w:rPr>
              <w:t>42.7</w:t>
            </w:r>
          </w:p>
        </w:tc>
        <w:tc>
          <w:tcPr>
            <w:tcW w:w="100" w:type="dxa"/>
            <w:vAlign w:val="bottom"/>
          </w:tcPr>
          <w:p>
            <w:pPr>
              <w:spacing w:after="0"/>
              <w:rPr>
                <w:sz w:val="18"/>
                <w:szCs w:val="18"/>
                <w:color w:val="auto"/>
              </w:rPr>
            </w:pPr>
          </w:p>
        </w:tc>
        <w:tc>
          <w:tcPr>
            <w:tcW w:w="2120" w:type="dxa"/>
            <w:vAlign w:val="bottom"/>
          </w:tcPr>
          <w:p>
            <w:pPr>
              <w:jc w:val="right"/>
              <w:spacing w:after="0"/>
              <w:rPr>
                <w:sz w:val="20"/>
                <w:szCs w:val="20"/>
                <w:color w:val="auto"/>
              </w:rPr>
            </w:pPr>
            <w:r>
              <w:rPr>
                <w:rFonts w:ascii="Arial" w:cs="Arial" w:eastAsia="Arial" w:hAnsi="Arial"/>
                <w:sz w:val="16"/>
                <w:szCs w:val="16"/>
                <w:color w:val="auto"/>
              </w:rPr>
              <w:t>(51.9)%</w:t>
            </w:r>
          </w:p>
        </w:tc>
      </w:tr>
      <w:tr>
        <w:trPr>
          <w:trHeight w:val="217"/>
        </w:trPr>
        <w:tc>
          <w:tcPr>
            <w:tcW w:w="466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Adjusted EBITDA Margin</w:t>
            </w:r>
          </w:p>
        </w:tc>
        <w:tc>
          <w:tcPr>
            <w:tcW w:w="280" w:type="dxa"/>
            <w:vAlign w:val="bottom"/>
            <w:shd w:val="clear" w:color="auto" w:fill="CCEEFF"/>
          </w:tcPr>
          <w:p>
            <w:pPr>
              <w:spacing w:after="0"/>
              <w:rPr>
                <w:sz w:val="18"/>
                <w:szCs w:val="18"/>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6.5 %</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12.5 %</w:t>
            </w:r>
          </w:p>
        </w:tc>
        <w:tc>
          <w:tcPr>
            <w:tcW w:w="100" w:type="dxa"/>
            <w:vAlign w:val="bottom"/>
            <w:shd w:val="clear" w:color="auto" w:fill="CCEEFF"/>
          </w:tcPr>
          <w:p>
            <w:pPr>
              <w:spacing w:after="0"/>
              <w:rPr>
                <w:sz w:val="18"/>
                <w:szCs w:val="18"/>
                <w:color w:val="auto"/>
              </w:rPr>
            </w:pPr>
          </w:p>
        </w:tc>
        <w:tc>
          <w:tcPr>
            <w:tcW w:w="21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(600) bps</w:t>
            </w:r>
          </w:p>
        </w:tc>
      </w:tr>
    </w:tbl>
    <w:p>
      <w:pPr>
        <w:spacing w:after="0" w:line="61" w:lineRule="exact"/>
        <w:rPr>
          <w:sz w:val="20"/>
          <w:szCs w:val="20"/>
          <w:color w:val="auto"/>
        </w:rPr>
      </w:pPr>
    </w:p>
    <w:p>
      <w:pPr>
        <w:ind w:left="280" w:hanging="272"/>
        <w:spacing w:after="0"/>
        <w:tabs>
          <w:tab w:leader="none" w:pos="280" w:val="left"/>
        </w:tabs>
        <w:numPr>
          <w:ilvl w:val="0"/>
          <w:numId w:val="4"/>
        </w:numPr>
        <w:rPr>
          <w:rFonts w:ascii="Arial" w:cs="Arial" w:eastAsia="Arial" w:hAnsi="Arial"/>
          <w:sz w:val="21"/>
          <w:szCs w:val="21"/>
          <w:color w:val="auto"/>
          <w:vertAlign w:val="superscript"/>
        </w:rPr>
      </w:pPr>
      <w:r>
        <w:rPr>
          <w:rFonts w:ascii="Arial" w:cs="Arial" w:eastAsia="Arial" w:hAnsi="Arial"/>
          <w:sz w:val="14"/>
          <w:szCs w:val="14"/>
          <w:color w:val="auto"/>
        </w:rPr>
        <w:t>Amounts are calculated based on unrounded numbers and therefore may not recalculate using the rounded numbers provided.</w:t>
      </w:r>
    </w:p>
    <w:p>
      <w:pPr>
        <w:spacing w:after="0" w:line="304" w:lineRule="exact"/>
        <w:rPr>
          <w:rFonts w:ascii="Arial" w:cs="Arial" w:eastAsia="Arial" w:hAnsi="Arial"/>
          <w:sz w:val="21"/>
          <w:szCs w:val="21"/>
          <w:color w:val="auto"/>
          <w:vertAlign w:val="superscript"/>
        </w:rPr>
      </w:pPr>
    </w:p>
    <w:p>
      <w:pPr>
        <w:ind w:left="660" w:right="480" w:hanging="328"/>
        <w:spacing w:after="0" w:line="369" w:lineRule="auto"/>
        <w:tabs>
          <w:tab w:leader="none" w:pos="649" w:val="left"/>
        </w:tabs>
        <w:numPr>
          <w:ilvl w:val="1"/>
          <w:numId w:val="4"/>
        </w:numPr>
        <w:rPr>
          <w:rFonts w:ascii="Arial" w:cs="Arial" w:eastAsia="Arial" w:hAnsi="Arial"/>
          <w:sz w:val="16"/>
          <w:szCs w:val="16"/>
          <w:color w:val="auto"/>
        </w:rPr>
      </w:pPr>
      <w:r>
        <w:rPr>
          <w:rFonts w:ascii="Arial" w:cs="Arial" w:eastAsia="Arial" w:hAnsi="Arial"/>
          <w:sz w:val="16"/>
          <w:szCs w:val="16"/>
          <w:color w:val="auto"/>
        </w:rPr>
        <w:t>Revenues for the Towable RV segment were down compared to the prior year, primarily driven by a reduction in average selling price per unit related to product mix, partially offset by an increase in unit volume.</w:t>
      </w:r>
    </w:p>
    <w:p>
      <w:pPr>
        <w:spacing w:after="0" w:line="1" w:lineRule="exact"/>
        <w:rPr>
          <w:rFonts w:ascii="Arial" w:cs="Arial" w:eastAsia="Arial" w:hAnsi="Arial"/>
          <w:sz w:val="16"/>
          <w:szCs w:val="16"/>
          <w:color w:val="auto"/>
        </w:rPr>
      </w:pPr>
    </w:p>
    <w:p>
      <w:pPr>
        <w:ind w:left="660" w:right="60" w:hanging="328"/>
        <w:spacing w:after="0" w:line="380" w:lineRule="auto"/>
        <w:tabs>
          <w:tab w:leader="none" w:pos="649" w:val="left"/>
        </w:tabs>
        <w:numPr>
          <w:ilvl w:val="1"/>
          <w:numId w:val="4"/>
        </w:numPr>
        <w:rPr>
          <w:rFonts w:ascii="Arial" w:cs="Arial" w:eastAsia="Arial" w:hAnsi="Arial"/>
          <w:sz w:val="16"/>
          <w:szCs w:val="16"/>
          <w:color w:val="auto"/>
        </w:rPr>
      </w:pPr>
      <w:r>
        <w:rPr>
          <w:rFonts w:ascii="Arial" w:cs="Arial" w:eastAsia="Arial" w:hAnsi="Arial"/>
          <w:sz w:val="16"/>
          <w:szCs w:val="16"/>
          <w:color w:val="auto"/>
        </w:rPr>
        <w:t>Segment Adjusted EBITDA margin decreased compared to the prior year, primarily driven by higher warranty expense due to a favorable prior year trend, deleverage from a reduction in average selling price per unit related to product mix, and operational challenges in our Winnebago branded towable business.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466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gridSpan w:val="4"/>
          </w:tcPr>
          <w:p>
            <w:pPr>
              <w:jc w:val="center"/>
              <w:ind w:right="400"/>
              <w:spacing w:after="0"/>
              <w:rPr>
                <w:sz w:val="20"/>
                <w:szCs w:val="20"/>
                <w:color w:val="auto"/>
              </w:rPr>
            </w:pPr>
            <w:r>
              <w:rPr>
                <w:rFonts w:ascii="Arial" w:cs="Arial" w:eastAsia="Arial" w:hAnsi="Arial"/>
                <w:sz w:val="16"/>
                <w:szCs w:val="16"/>
                <w:b w:val="1"/>
                <w:bCs w:val="1"/>
                <w:color w:val="auto"/>
                <w:w w:val="99"/>
              </w:rPr>
              <w:t>Year Ended</w:t>
            </w:r>
          </w:p>
        </w:tc>
        <w:tc>
          <w:tcPr>
            <w:tcW w:w="2120" w:type="dxa"/>
            <w:vAlign w:val="bottom"/>
            <w:tcBorders>
              <w:bottom w:val="single" w:sz="8" w:color="auto"/>
            </w:tcBorders>
          </w:tcPr>
          <w:p>
            <w:pPr>
              <w:spacing w:after="0"/>
              <w:rPr>
                <w:sz w:val="18"/>
                <w:szCs w:val="18"/>
                <w:color w:val="auto"/>
              </w:rPr>
            </w:pPr>
          </w:p>
        </w:tc>
      </w:tr>
      <w:tr>
        <w:trPr>
          <w:trHeight w:val="210"/>
        </w:trPr>
        <w:tc>
          <w:tcPr>
            <w:tcW w:w="4660" w:type="dxa"/>
            <w:vAlign w:val="bottom"/>
          </w:tcPr>
          <w:p>
            <w:pPr>
              <w:ind w:left="20"/>
              <w:spacing w:after="0"/>
              <w:rPr>
                <w:sz w:val="20"/>
                <w:szCs w:val="20"/>
                <w:color w:val="auto"/>
              </w:rPr>
            </w:pPr>
            <w:r>
              <w:rPr>
                <w:rFonts w:ascii="Arial" w:cs="Arial" w:eastAsia="Arial" w:hAnsi="Arial"/>
                <w:sz w:val="14"/>
                <w:szCs w:val="14"/>
                <w:color w:val="auto"/>
              </w:rPr>
              <w:t>($, in millions)</w:t>
            </w:r>
          </w:p>
        </w:tc>
        <w:tc>
          <w:tcPr>
            <w:tcW w:w="360" w:type="dxa"/>
            <w:vAlign w:val="bottom"/>
          </w:tcPr>
          <w:p>
            <w:pPr>
              <w:spacing w:after="0"/>
              <w:rPr>
                <w:sz w:val="18"/>
                <w:szCs w:val="18"/>
                <w:color w:val="auto"/>
              </w:rPr>
            </w:pPr>
          </w:p>
        </w:tc>
        <w:tc>
          <w:tcPr>
            <w:tcW w:w="1880" w:type="dxa"/>
            <w:vAlign w:val="bottom"/>
            <w:gridSpan w:val="3"/>
          </w:tcPr>
          <w:p>
            <w:pPr>
              <w:ind w:left="80"/>
              <w:spacing w:after="0"/>
              <w:rPr>
                <w:sz w:val="20"/>
                <w:szCs w:val="20"/>
                <w:color w:val="auto"/>
              </w:rPr>
            </w:pPr>
            <w:r>
              <w:rPr>
                <w:rFonts w:ascii="Arial" w:cs="Arial" w:eastAsia="Arial" w:hAnsi="Arial"/>
                <w:sz w:val="16"/>
                <w:szCs w:val="16"/>
                <w:b w:val="1"/>
                <w:bCs w:val="1"/>
                <w:color w:val="auto"/>
              </w:rPr>
              <w:t>August 31, 2024</w:t>
            </w: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920" w:type="dxa"/>
            <w:vAlign w:val="bottom"/>
            <w:gridSpan w:val="4"/>
          </w:tcPr>
          <w:p>
            <w:pPr>
              <w:jc w:val="center"/>
              <w:ind w:right="420"/>
              <w:spacing w:after="0"/>
              <w:rPr>
                <w:sz w:val="20"/>
                <w:szCs w:val="20"/>
                <w:color w:val="auto"/>
              </w:rPr>
            </w:pPr>
            <w:r>
              <w:rPr>
                <w:rFonts w:ascii="Arial" w:cs="Arial" w:eastAsia="Arial" w:hAnsi="Arial"/>
                <w:sz w:val="16"/>
                <w:szCs w:val="16"/>
                <w:b w:val="1"/>
                <w:bCs w:val="1"/>
                <w:color w:val="auto"/>
              </w:rPr>
              <w:t>August 26, 2023</w:t>
            </w:r>
          </w:p>
        </w:tc>
        <w:tc>
          <w:tcPr>
            <w:tcW w:w="2120" w:type="dxa"/>
            <w:vAlign w:val="bottom"/>
          </w:tcPr>
          <w:p>
            <w:pPr>
              <w:jc w:val="right"/>
              <w:ind w:right="619"/>
              <w:spacing w:after="0" w:line="210" w:lineRule="exact"/>
              <w:rPr>
                <w:sz w:val="20"/>
                <w:szCs w:val="20"/>
                <w:color w:val="auto"/>
              </w:rPr>
            </w:pPr>
            <w:r>
              <w:rPr>
                <w:rFonts w:ascii="Arial" w:cs="Arial" w:eastAsia="Arial" w:hAnsi="Arial"/>
                <w:sz w:val="16"/>
                <w:szCs w:val="16"/>
                <w:b w:val="1"/>
                <w:bCs w:val="1"/>
                <w:color w:val="auto"/>
              </w:rPr>
              <w:t>Change</w:t>
            </w:r>
            <w:r>
              <w:rPr>
                <w:rFonts w:ascii="Arial" w:cs="Arial" w:eastAsia="Arial" w:hAnsi="Arial"/>
                <w:sz w:val="21"/>
                <w:szCs w:val="21"/>
                <w:b w:val="1"/>
                <w:bCs w:val="1"/>
                <w:color w:val="auto"/>
                <w:vertAlign w:val="superscript"/>
              </w:rPr>
              <w:t>(1)</w:t>
            </w:r>
          </w:p>
        </w:tc>
      </w:tr>
      <w:tr>
        <w:trPr>
          <w:trHeight w:val="210"/>
        </w:trPr>
        <w:tc>
          <w:tcPr>
            <w:tcW w:w="46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Net revenues</w:t>
            </w:r>
          </w:p>
        </w:tc>
        <w:tc>
          <w:tcPr>
            <w:tcW w:w="360" w:type="dxa"/>
            <w:vAlign w:val="bottom"/>
            <w:tcBorders>
              <w:top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760" w:type="dxa"/>
            <w:vAlign w:val="bottom"/>
            <w:tcBorders>
              <w:top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1,318.8</w:t>
            </w:r>
          </w:p>
        </w:tc>
        <w:tc>
          <w:tcPr>
            <w:tcW w:w="6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gridSpan w:val="2"/>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780" w:type="dxa"/>
            <w:vAlign w:val="bottom"/>
            <w:tcBorders>
              <w:top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1,415.3</w:t>
            </w:r>
          </w:p>
        </w:tc>
        <w:tc>
          <w:tcPr>
            <w:tcW w:w="4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2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(6.8)%</w:t>
            </w:r>
          </w:p>
        </w:tc>
      </w:tr>
      <w:tr>
        <w:trPr>
          <w:trHeight w:val="215"/>
        </w:trPr>
        <w:tc>
          <w:tcPr>
            <w:tcW w:w="4660" w:type="dxa"/>
            <w:vAlign w:val="bottom"/>
          </w:tcPr>
          <w:p>
            <w:pPr>
              <w:ind w:left="20"/>
              <w:spacing w:after="0"/>
              <w:rPr>
                <w:sz w:val="20"/>
                <w:szCs w:val="20"/>
                <w:color w:val="auto"/>
              </w:rPr>
            </w:pPr>
            <w:r>
              <w:rPr>
                <w:rFonts w:ascii="Arial" w:cs="Arial" w:eastAsia="Arial" w:hAnsi="Arial"/>
                <w:sz w:val="16"/>
                <w:szCs w:val="16"/>
                <w:color w:val="auto"/>
              </w:rPr>
              <w:t>Adjusted EBITDA</w:t>
            </w: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760" w:type="dxa"/>
            <w:vAlign w:val="bottom"/>
          </w:tcPr>
          <w:p>
            <w:pPr>
              <w:jc w:val="right"/>
              <w:ind w:right="119"/>
              <w:spacing w:after="0"/>
              <w:rPr>
                <w:sz w:val="20"/>
                <w:szCs w:val="20"/>
                <w:color w:val="auto"/>
              </w:rPr>
            </w:pPr>
            <w:r>
              <w:rPr>
                <w:rFonts w:ascii="Arial" w:cs="Arial" w:eastAsia="Arial" w:hAnsi="Arial"/>
                <w:sz w:val="16"/>
                <w:szCs w:val="16"/>
                <w:color w:val="auto"/>
              </w:rPr>
              <w:t>122.4</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gridSpan w:val="2"/>
          </w:tcPr>
          <w:p>
            <w:pPr>
              <w:jc w:val="right"/>
              <w:ind w:right="119"/>
              <w:spacing w:after="0"/>
              <w:rPr>
                <w:sz w:val="20"/>
                <w:szCs w:val="20"/>
                <w:color w:val="auto"/>
              </w:rPr>
            </w:pPr>
            <w:r>
              <w:rPr>
                <w:rFonts w:ascii="Arial" w:cs="Arial" w:eastAsia="Arial" w:hAnsi="Arial"/>
                <w:sz w:val="16"/>
                <w:szCs w:val="16"/>
                <w:color w:val="auto"/>
                <w:w w:val="89"/>
              </w:rPr>
              <w:t>$</w:t>
            </w:r>
          </w:p>
        </w:tc>
        <w:tc>
          <w:tcPr>
            <w:tcW w:w="1780" w:type="dxa"/>
            <w:vAlign w:val="bottom"/>
          </w:tcPr>
          <w:p>
            <w:pPr>
              <w:jc w:val="right"/>
              <w:ind w:right="99"/>
              <w:spacing w:after="0"/>
              <w:rPr>
                <w:sz w:val="20"/>
                <w:szCs w:val="20"/>
                <w:color w:val="auto"/>
              </w:rPr>
            </w:pPr>
            <w:r>
              <w:rPr>
                <w:rFonts w:ascii="Arial" w:cs="Arial" w:eastAsia="Arial" w:hAnsi="Arial"/>
                <w:sz w:val="16"/>
                <w:szCs w:val="16"/>
                <w:color w:val="auto"/>
              </w:rPr>
              <w:t>172.1</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120" w:type="dxa"/>
            <w:vAlign w:val="bottom"/>
          </w:tcPr>
          <w:p>
            <w:pPr>
              <w:jc w:val="right"/>
              <w:spacing w:after="0"/>
              <w:rPr>
                <w:sz w:val="20"/>
                <w:szCs w:val="20"/>
                <w:color w:val="auto"/>
              </w:rPr>
            </w:pPr>
            <w:r>
              <w:rPr>
                <w:rFonts w:ascii="Arial" w:cs="Arial" w:eastAsia="Arial" w:hAnsi="Arial"/>
                <w:sz w:val="16"/>
                <w:szCs w:val="16"/>
                <w:color w:val="auto"/>
              </w:rPr>
              <w:t>(28.9)%</w:t>
            </w:r>
          </w:p>
        </w:tc>
      </w:tr>
      <w:tr>
        <w:trPr>
          <w:trHeight w:val="217"/>
        </w:trPr>
        <w:tc>
          <w:tcPr>
            <w:tcW w:w="46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Adjusted EBITDA Margin</w:t>
            </w:r>
          </w:p>
        </w:tc>
        <w:tc>
          <w:tcPr>
            <w:tcW w:w="360" w:type="dxa"/>
            <w:vAlign w:val="bottom"/>
            <w:shd w:val="clear" w:color="auto" w:fill="CCEEFF"/>
          </w:tcPr>
          <w:p>
            <w:pPr>
              <w:spacing w:after="0"/>
              <w:rPr>
                <w:sz w:val="18"/>
                <w:szCs w:val="18"/>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9.3 %</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12.2 %</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1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(290) bps</w:t>
            </w:r>
          </w:p>
        </w:tc>
      </w:tr>
      <w:tr>
        <w:trPr>
          <w:trHeight w:val="580"/>
        </w:trPr>
        <w:tc>
          <w:tcPr>
            <w:tcW w:w="4660" w:type="dxa"/>
            <w:vAlign w:val="bottom"/>
          </w:tcPr>
          <w:p>
            <w:pPr>
              <w:ind w:left="20"/>
              <w:spacing w:after="0"/>
              <w:rPr>
                <w:sz w:val="20"/>
                <w:szCs w:val="20"/>
                <w:color w:val="auto"/>
              </w:rPr>
            </w:pPr>
            <w:r>
              <w:rPr>
                <w:rFonts w:ascii="Arial" w:cs="Arial" w:eastAsia="Arial" w:hAnsi="Arial"/>
                <w:sz w:val="14"/>
                <w:szCs w:val="14"/>
                <w:color w:val="auto"/>
              </w:rPr>
              <w:t>($, in millions)</w:t>
            </w:r>
          </w:p>
        </w:tc>
        <w:tc>
          <w:tcPr>
            <w:tcW w:w="360" w:type="dxa"/>
            <w:vAlign w:val="bottom"/>
          </w:tcPr>
          <w:p>
            <w:pPr>
              <w:spacing w:after="0"/>
              <w:rPr>
                <w:sz w:val="24"/>
                <w:szCs w:val="24"/>
                <w:color w:val="auto"/>
              </w:rPr>
            </w:pPr>
          </w:p>
        </w:tc>
        <w:tc>
          <w:tcPr>
            <w:tcW w:w="1880" w:type="dxa"/>
            <w:vAlign w:val="bottom"/>
            <w:gridSpan w:val="3"/>
          </w:tcPr>
          <w:p>
            <w:pPr>
              <w:ind w:left="180"/>
              <w:spacing w:after="0"/>
              <w:rPr>
                <w:sz w:val="20"/>
                <w:szCs w:val="20"/>
                <w:color w:val="auto"/>
              </w:rPr>
            </w:pPr>
            <w:r>
              <w:rPr>
                <w:rFonts w:ascii="Arial" w:cs="Arial" w:eastAsia="Arial" w:hAnsi="Arial"/>
                <w:sz w:val="16"/>
                <w:szCs w:val="16"/>
                <w:b w:val="1"/>
                <w:bCs w:val="1"/>
                <w:color w:val="auto"/>
              </w:rPr>
              <w:t>August 31, 2024</w:t>
            </w: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920" w:type="dxa"/>
            <w:vAlign w:val="bottom"/>
            <w:gridSpan w:val="4"/>
          </w:tcPr>
          <w:p>
            <w:pPr>
              <w:jc w:val="center"/>
              <w:ind w:right="400"/>
              <w:spacing w:after="0"/>
              <w:rPr>
                <w:sz w:val="20"/>
                <w:szCs w:val="20"/>
                <w:color w:val="auto"/>
              </w:rPr>
            </w:pPr>
            <w:r>
              <w:rPr>
                <w:rFonts w:ascii="Arial" w:cs="Arial" w:eastAsia="Arial" w:hAnsi="Arial"/>
                <w:sz w:val="16"/>
                <w:szCs w:val="16"/>
                <w:b w:val="1"/>
                <w:bCs w:val="1"/>
                <w:color w:val="auto"/>
              </w:rPr>
              <w:t>August 26, 2023</w:t>
            </w:r>
          </w:p>
        </w:tc>
        <w:tc>
          <w:tcPr>
            <w:tcW w:w="2120" w:type="dxa"/>
            <w:vAlign w:val="bottom"/>
          </w:tcPr>
          <w:p>
            <w:pPr>
              <w:jc w:val="right"/>
              <w:ind w:right="639"/>
              <w:spacing w:after="0"/>
              <w:rPr>
                <w:sz w:val="20"/>
                <w:szCs w:val="20"/>
                <w:color w:val="auto"/>
              </w:rPr>
            </w:pPr>
            <w:r>
              <w:rPr>
                <w:rFonts w:ascii="Arial" w:cs="Arial" w:eastAsia="Arial" w:hAnsi="Arial"/>
                <w:sz w:val="16"/>
                <w:szCs w:val="16"/>
                <w:b w:val="1"/>
                <w:bCs w:val="1"/>
                <w:color w:val="auto"/>
              </w:rPr>
              <w:t>Change</w:t>
            </w:r>
            <w:r>
              <w:rPr>
                <w:rFonts w:ascii="Arial" w:cs="Arial" w:eastAsia="Arial" w:hAnsi="Arial"/>
                <w:sz w:val="21"/>
                <w:szCs w:val="21"/>
                <w:b w:val="1"/>
                <w:bCs w:val="1"/>
                <w:color w:val="auto"/>
                <w:vertAlign w:val="superscript"/>
              </w:rPr>
              <w:t>(1)</w:t>
            </w:r>
          </w:p>
        </w:tc>
      </w:tr>
      <w:tr>
        <w:trPr>
          <w:trHeight w:val="210"/>
        </w:trPr>
        <w:tc>
          <w:tcPr>
            <w:tcW w:w="46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Backlog</w:t>
            </w:r>
          </w:p>
        </w:tc>
        <w:tc>
          <w:tcPr>
            <w:tcW w:w="36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137.1</w:t>
            </w:r>
          </w:p>
        </w:tc>
        <w:tc>
          <w:tcPr>
            <w:tcW w:w="6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208.1</w:t>
            </w:r>
          </w:p>
        </w:tc>
        <w:tc>
          <w:tcPr>
            <w:tcW w:w="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2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(34.1)%</w:t>
            </w:r>
          </w:p>
        </w:tc>
      </w:tr>
    </w:tbl>
    <w:p>
      <w:pPr>
        <w:spacing w:after="0" w:line="75" w:lineRule="exact"/>
        <w:rPr>
          <w:sz w:val="20"/>
          <w:szCs w:val="20"/>
          <w:color w:val="auto"/>
        </w:rPr>
      </w:pPr>
    </w:p>
    <w:p>
      <w:pPr>
        <w:ind w:left="280" w:hanging="272"/>
        <w:spacing w:after="0"/>
        <w:tabs>
          <w:tab w:leader="none" w:pos="280" w:val="left"/>
        </w:tabs>
        <w:numPr>
          <w:ilvl w:val="0"/>
          <w:numId w:val="5"/>
        </w:numPr>
        <w:rPr>
          <w:rFonts w:ascii="Arial" w:cs="Arial" w:eastAsia="Arial" w:hAnsi="Arial"/>
          <w:sz w:val="21"/>
          <w:szCs w:val="21"/>
          <w:color w:val="auto"/>
          <w:vertAlign w:val="superscript"/>
        </w:rPr>
      </w:pPr>
      <w:r>
        <w:rPr>
          <w:rFonts w:ascii="Arial" w:cs="Arial" w:eastAsia="Arial" w:hAnsi="Arial"/>
          <w:sz w:val="14"/>
          <w:szCs w:val="14"/>
          <w:color w:val="auto"/>
        </w:rPr>
        <w:t>Amounts are calculated based on unrounded numbers and therefore may not recalculate using the rounded numbers provided.</w:t>
      </w:r>
    </w:p>
    <w:p>
      <w:pPr>
        <w:spacing w:after="0" w:line="290" w:lineRule="exact"/>
        <w:rPr>
          <w:rFonts w:ascii="Arial" w:cs="Arial" w:eastAsia="Arial" w:hAnsi="Arial"/>
          <w:sz w:val="21"/>
          <w:szCs w:val="21"/>
          <w:color w:val="auto"/>
          <w:vertAlign w:val="superscript"/>
        </w:rPr>
      </w:pPr>
    </w:p>
    <w:p>
      <w:pPr>
        <w:ind w:left="660" w:right="480" w:hanging="328"/>
        <w:spacing w:after="0" w:line="369" w:lineRule="auto"/>
        <w:tabs>
          <w:tab w:leader="none" w:pos="649" w:val="left"/>
        </w:tabs>
        <w:numPr>
          <w:ilvl w:val="1"/>
          <w:numId w:val="5"/>
        </w:numPr>
        <w:rPr>
          <w:rFonts w:ascii="Arial" w:cs="Arial" w:eastAsia="Arial" w:hAnsi="Arial"/>
          <w:sz w:val="16"/>
          <w:szCs w:val="16"/>
          <w:color w:val="auto"/>
        </w:rPr>
      </w:pPr>
      <w:r>
        <w:rPr>
          <w:rFonts w:ascii="Arial" w:cs="Arial" w:eastAsia="Arial" w:hAnsi="Arial"/>
          <w:sz w:val="16"/>
          <w:szCs w:val="16"/>
          <w:color w:val="auto"/>
        </w:rPr>
        <w:t>Revenues for the Towable RV segment were down compared to the prior year, primarily driven by a reduction in average selling price per unit related to product mix and targeted price reductions, partially offset by an increase in unit volume.</w:t>
      </w:r>
    </w:p>
    <w:p>
      <w:pPr>
        <w:spacing w:after="0" w:line="1" w:lineRule="exact"/>
        <w:rPr>
          <w:rFonts w:ascii="Arial" w:cs="Arial" w:eastAsia="Arial" w:hAnsi="Arial"/>
          <w:sz w:val="16"/>
          <w:szCs w:val="16"/>
          <w:color w:val="auto"/>
        </w:rPr>
      </w:pPr>
    </w:p>
    <w:p>
      <w:pPr>
        <w:ind w:left="660" w:right="620" w:hanging="328"/>
        <w:spacing w:after="0" w:line="369" w:lineRule="auto"/>
        <w:tabs>
          <w:tab w:leader="none" w:pos="649" w:val="left"/>
        </w:tabs>
        <w:numPr>
          <w:ilvl w:val="1"/>
          <w:numId w:val="5"/>
        </w:numPr>
        <w:rPr>
          <w:rFonts w:ascii="Arial" w:cs="Arial" w:eastAsia="Arial" w:hAnsi="Arial"/>
          <w:sz w:val="16"/>
          <w:szCs w:val="16"/>
          <w:color w:val="auto"/>
        </w:rPr>
      </w:pPr>
      <w:r>
        <w:rPr>
          <w:rFonts w:ascii="Arial" w:cs="Arial" w:eastAsia="Arial" w:hAnsi="Arial"/>
          <w:sz w:val="16"/>
          <w:szCs w:val="16"/>
          <w:color w:val="auto"/>
        </w:rPr>
        <w:t>Segment Adjusted EBITDA margin decreased compared to the prior year, primarily driven by deleverage, higher warranty expense due to a favorable prior year trend, and operational challenges at our Winnebago branded towable business.</w:t>
      </w:r>
    </w:p>
    <w:p>
      <w:pPr>
        <w:spacing w:after="0" w:line="1" w:lineRule="exact"/>
        <w:rPr>
          <w:rFonts w:ascii="Arial" w:cs="Arial" w:eastAsia="Arial" w:hAnsi="Arial"/>
          <w:sz w:val="16"/>
          <w:szCs w:val="16"/>
          <w:color w:val="auto"/>
        </w:rPr>
      </w:pPr>
    </w:p>
    <w:p>
      <w:pPr>
        <w:ind w:left="640" w:hanging="308"/>
        <w:spacing w:after="0"/>
        <w:tabs>
          <w:tab w:leader="none" w:pos="640" w:val="left"/>
        </w:tabs>
        <w:numPr>
          <w:ilvl w:val="1"/>
          <w:numId w:val="5"/>
        </w:numPr>
        <w:rPr>
          <w:rFonts w:ascii="Arial" w:cs="Arial" w:eastAsia="Arial" w:hAnsi="Arial"/>
          <w:sz w:val="16"/>
          <w:szCs w:val="16"/>
          <w:color w:val="auto"/>
        </w:rPr>
      </w:pPr>
      <w:r>
        <w:rPr>
          <w:rFonts w:ascii="Arial" w:cs="Arial" w:eastAsia="Arial" w:hAnsi="Arial"/>
          <w:sz w:val="16"/>
          <w:szCs w:val="16"/>
          <w:color w:val="auto"/>
        </w:rPr>
        <w:t>Backlog decreased due to current market conditions and a cautious dealer network as well as reduced order lead times due to production capacity.</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w:t>
      </w:r>
    </w:p>
    <w:p>
      <w:pPr>
        <w:sectPr>
          <w:pgSz w:w="11900" w:h="16838" w:orient="portrait"/>
          <w:cols w:equalWidth="0" w:num="1">
            <w:col w:w="11240"/>
          </w:cols>
          <w:pgMar w:left="320" w:top="1084" w:right="3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184"/>
        </w:trPr>
        <w:tc>
          <w:tcPr>
            <w:tcW w:w="4660" w:type="dxa"/>
            <w:vAlign w:val="bottom"/>
            <w:gridSpan w:val="2"/>
          </w:tcPr>
          <w:p>
            <w:pPr>
              <w:spacing w:after="0"/>
              <w:rPr>
                <w:sz w:val="20"/>
                <w:szCs w:val="20"/>
                <w:color w:val="auto"/>
              </w:rPr>
            </w:pPr>
            <w:r>
              <w:rPr>
                <w:rFonts w:ascii="Arial" w:cs="Arial" w:eastAsia="Arial" w:hAnsi="Arial"/>
                <w:sz w:val="16"/>
                <w:szCs w:val="16"/>
                <w:color w:val="auto"/>
              </w:rPr>
              <w:t>Motorhome RV</w:t>
            </w:r>
          </w:p>
        </w:tc>
        <w:tc>
          <w:tcPr>
            <w:tcW w:w="28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120" w:type="dxa"/>
            <w:vAlign w:val="bottom"/>
          </w:tcPr>
          <w:p>
            <w:pPr>
              <w:spacing w:after="0"/>
              <w:rPr>
                <w:sz w:val="16"/>
                <w:szCs w:val="16"/>
                <w:color w:val="auto"/>
              </w:rPr>
            </w:pPr>
          </w:p>
        </w:tc>
      </w:tr>
      <w:tr>
        <w:trPr>
          <w:trHeight w:val="304"/>
        </w:trPr>
        <w:tc>
          <w:tcPr>
            <w:tcW w:w="1100" w:type="dxa"/>
            <w:vAlign w:val="bottom"/>
            <w:tcBorders>
              <w:top w:val="single" w:sz="8" w:color="auto"/>
            </w:tcBorders>
          </w:tcPr>
          <w:p>
            <w:pPr>
              <w:spacing w:after="0"/>
              <w:rPr>
                <w:sz w:val="24"/>
                <w:szCs w:val="24"/>
                <w:color w:val="auto"/>
              </w:rPr>
            </w:pPr>
          </w:p>
        </w:tc>
        <w:tc>
          <w:tcPr>
            <w:tcW w:w="356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4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6"/>
                <w:szCs w:val="16"/>
                <w:b w:val="1"/>
                <w:bCs w:val="1"/>
                <w:color w:val="auto"/>
              </w:rPr>
              <w:t>Three Months Ended</w:t>
            </w:r>
          </w:p>
        </w:tc>
        <w:tc>
          <w:tcPr>
            <w:tcW w:w="2120" w:type="dxa"/>
            <w:vAlign w:val="bottom"/>
            <w:tcBorders>
              <w:bottom w:val="single" w:sz="8" w:color="auto"/>
            </w:tcBorders>
          </w:tcPr>
          <w:p>
            <w:pPr>
              <w:spacing w:after="0"/>
              <w:rPr>
                <w:sz w:val="24"/>
                <w:szCs w:val="24"/>
                <w:color w:val="auto"/>
              </w:rPr>
            </w:pPr>
          </w:p>
        </w:tc>
      </w:tr>
      <w:tr>
        <w:trPr>
          <w:trHeight w:val="210"/>
        </w:trPr>
        <w:tc>
          <w:tcPr>
            <w:tcW w:w="4660" w:type="dxa"/>
            <w:vAlign w:val="bottom"/>
            <w:gridSpan w:val="2"/>
          </w:tcPr>
          <w:p>
            <w:pPr>
              <w:ind w:left="20"/>
              <w:spacing w:after="0"/>
              <w:rPr>
                <w:sz w:val="20"/>
                <w:szCs w:val="20"/>
                <w:color w:val="auto"/>
              </w:rPr>
            </w:pPr>
            <w:r>
              <w:rPr>
                <w:rFonts w:ascii="Arial" w:cs="Arial" w:eastAsia="Arial" w:hAnsi="Arial"/>
                <w:sz w:val="14"/>
                <w:szCs w:val="14"/>
                <w:color w:val="auto"/>
              </w:rPr>
              <w:t>($, in millions)</w:t>
            </w:r>
          </w:p>
        </w:tc>
        <w:tc>
          <w:tcPr>
            <w:tcW w:w="280" w:type="dxa"/>
            <w:vAlign w:val="bottom"/>
          </w:tcPr>
          <w:p>
            <w:pPr>
              <w:spacing w:after="0"/>
              <w:rPr>
                <w:sz w:val="18"/>
                <w:szCs w:val="18"/>
                <w:color w:val="auto"/>
              </w:rPr>
            </w:pPr>
          </w:p>
        </w:tc>
        <w:tc>
          <w:tcPr>
            <w:tcW w:w="1960" w:type="dxa"/>
            <w:vAlign w:val="bottom"/>
            <w:gridSpan w:val="2"/>
          </w:tcPr>
          <w:p>
            <w:pPr>
              <w:ind w:left="160"/>
              <w:spacing w:after="0"/>
              <w:rPr>
                <w:sz w:val="20"/>
                <w:szCs w:val="20"/>
                <w:color w:val="auto"/>
              </w:rPr>
            </w:pPr>
            <w:r>
              <w:rPr>
                <w:rFonts w:ascii="Arial" w:cs="Arial" w:eastAsia="Arial" w:hAnsi="Arial"/>
                <w:sz w:val="16"/>
                <w:szCs w:val="16"/>
                <w:b w:val="1"/>
                <w:bCs w:val="1"/>
                <w:color w:val="auto"/>
              </w:rPr>
              <w:t>August 31, 2024</w:t>
            </w:r>
          </w:p>
        </w:tc>
        <w:tc>
          <w:tcPr>
            <w:tcW w:w="180" w:type="dxa"/>
            <w:vAlign w:val="bottom"/>
          </w:tcPr>
          <w:p>
            <w:pPr>
              <w:spacing w:after="0"/>
              <w:rPr>
                <w:sz w:val="18"/>
                <w:szCs w:val="18"/>
                <w:color w:val="auto"/>
              </w:rPr>
            </w:pPr>
          </w:p>
        </w:tc>
        <w:tc>
          <w:tcPr>
            <w:tcW w:w="204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rPr>
              <w:t>August 26, 2023</w:t>
            </w:r>
          </w:p>
        </w:tc>
        <w:tc>
          <w:tcPr>
            <w:tcW w:w="2120" w:type="dxa"/>
            <w:vAlign w:val="bottom"/>
          </w:tcPr>
          <w:p>
            <w:pPr>
              <w:jc w:val="right"/>
              <w:ind w:right="619"/>
              <w:spacing w:after="0" w:line="210" w:lineRule="exact"/>
              <w:rPr>
                <w:sz w:val="20"/>
                <w:szCs w:val="20"/>
                <w:color w:val="auto"/>
              </w:rPr>
            </w:pPr>
            <w:r>
              <w:rPr>
                <w:rFonts w:ascii="Arial" w:cs="Arial" w:eastAsia="Arial" w:hAnsi="Arial"/>
                <w:sz w:val="16"/>
                <w:szCs w:val="16"/>
                <w:b w:val="1"/>
                <w:bCs w:val="1"/>
                <w:color w:val="auto"/>
              </w:rPr>
              <w:t>Change</w:t>
            </w:r>
            <w:r>
              <w:rPr>
                <w:rFonts w:ascii="Arial" w:cs="Arial" w:eastAsia="Arial" w:hAnsi="Arial"/>
                <w:sz w:val="21"/>
                <w:szCs w:val="21"/>
                <w:b w:val="1"/>
                <w:bCs w:val="1"/>
                <w:color w:val="auto"/>
                <w:vertAlign w:val="superscript"/>
              </w:rPr>
              <w:t>(1)</w:t>
            </w:r>
          </w:p>
        </w:tc>
      </w:tr>
      <w:tr>
        <w:trPr>
          <w:trHeight w:val="209"/>
        </w:trPr>
        <w:tc>
          <w:tcPr>
            <w:tcW w:w="4660" w:type="dxa"/>
            <w:vAlign w:val="bottom"/>
            <w:tcBorders>
              <w:top w:val="single" w:sz="8" w:color="auto"/>
            </w:tcBorders>
            <w:gridSpan w:val="2"/>
            <w:shd w:val="clear" w:color="auto" w:fill="CCEEFF"/>
          </w:tcPr>
          <w:p>
            <w:pPr>
              <w:ind w:left="20"/>
              <w:spacing w:after="0"/>
              <w:rPr>
                <w:sz w:val="20"/>
                <w:szCs w:val="20"/>
                <w:color w:val="auto"/>
              </w:rPr>
            </w:pPr>
            <w:r>
              <w:rPr>
                <w:rFonts w:ascii="Arial" w:cs="Arial" w:eastAsia="Arial" w:hAnsi="Arial"/>
                <w:sz w:val="16"/>
                <w:szCs w:val="16"/>
                <w:color w:val="auto"/>
              </w:rPr>
              <w:t>Net revenues</w:t>
            </w:r>
          </w:p>
        </w:tc>
        <w:tc>
          <w:tcPr>
            <w:tcW w:w="280" w:type="dxa"/>
            <w:vAlign w:val="bottom"/>
            <w:tcBorders>
              <w:top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840" w:type="dxa"/>
            <w:vAlign w:val="bottom"/>
            <w:tcBorders>
              <w:top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308.0</w:t>
            </w: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940" w:type="dxa"/>
            <w:vAlign w:val="bottom"/>
            <w:tcBorders>
              <w:top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317.7</w:t>
            </w:r>
          </w:p>
        </w:tc>
        <w:tc>
          <w:tcPr>
            <w:tcW w:w="100" w:type="dxa"/>
            <w:vAlign w:val="bottom"/>
            <w:tcBorders>
              <w:top w:val="single" w:sz="8" w:color="CCEEFF"/>
            </w:tcBorders>
            <w:shd w:val="clear" w:color="auto" w:fill="CCEEFF"/>
          </w:tcPr>
          <w:p>
            <w:pPr>
              <w:spacing w:after="0"/>
              <w:rPr>
                <w:sz w:val="18"/>
                <w:szCs w:val="18"/>
                <w:color w:val="auto"/>
              </w:rPr>
            </w:pPr>
          </w:p>
        </w:tc>
        <w:tc>
          <w:tcPr>
            <w:tcW w:w="2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w:t>
            </w:r>
          </w:p>
        </w:tc>
      </w:tr>
      <w:tr>
        <w:trPr>
          <w:trHeight w:val="215"/>
        </w:trPr>
        <w:tc>
          <w:tcPr>
            <w:tcW w:w="4660" w:type="dxa"/>
            <w:vAlign w:val="bottom"/>
            <w:gridSpan w:val="2"/>
          </w:tcPr>
          <w:p>
            <w:pPr>
              <w:ind w:left="20"/>
              <w:spacing w:after="0"/>
              <w:rPr>
                <w:sz w:val="20"/>
                <w:szCs w:val="20"/>
                <w:color w:val="auto"/>
              </w:rPr>
            </w:pPr>
            <w:r>
              <w:rPr>
                <w:rFonts w:ascii="Arial" w:cs="Arial" w:eastAsia="Arial" w:hAnsi="Arial"/>
                <w:sz w:val="16"/>
                <w:szCs w:val="16"/>
                <w:color w:val="auto"/>
              </w:rPr>
              <w:t>Adjusted EBITDA</w:t>
            </w: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840" w:type="dxa"/>
            <w:vAlign w:val="bottom"/>
          </w:tcPr>
          <w:p>
            <w:pPr>
              <w:jc w:val="right"/>
              <w:ind w:right="119"/>
              <w:spacing w:after="0"/>
              <w:rPr>
                <w:sz w:val="20"/>
                <w:szCs w:val="20"/>
                <w:color w:val="auto"/>
              </w:rPr>
            </w:pPr>
            <w:r>
              <w:rPr>
                <w:rFonts w:ascii="Arial" w:cs="Arial" w:eastAsia="Arial" w:hAnsi="Arial"/>
                <w:sz w:val="16"/>
                <w:szCs w:val="16"/>
                <w:color w:val="auto"/>
              </w:rPr>
              <w:t>13.0</w:t>
            </w:r>
          </w:p>
        </w:tc>
        <w:tc>
          <w:tcPr>
            <w:tcW w:w="1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940" w:type="dxa"/>
            <w:vAlign w:val="bottom"/>
          </w:tcPr>
          <w:p>
            <w:pPr>
              <w:jc w:val="right"/>
              <w:ind w:right="139"/>
              <w:spacing w:after="0"/>
              <w:rPr>
                <w:sz w:val="20"/>
                <w:szCs w:val="20"/>
                <w:color w:val="auto"/>
              </w:rPr>
            </w:pPr>
            <w:r>
              <w:rPr>
                <w:rFonts w:ascii="Arial" w:cs="Arial" w:eastAsia="Arial" w:hAnsi="Arial"/>
                <w:sz w:val="16"/>
                <w:szCs w:val="16"/>
                <w:color w:val="auto"/>
              </w:rPr>
              <w:t>22.4</w:t>
            </w:r>
          </w:p>
        </w:tc>
        <w:tc>
          <w:tcPr>
            <w:tcW w:w="100" w:type="dxa"/>
            <w:vAlign w:val="bottom"/>
          </w:tcPr>
          <w:p>
            <w:pPr>
              <w:spacing w:after="0"/>
              <w:rPr>
                <w:sz w:val="18"/>
                <w:szCs w:val="18"/>
                <w:color w:val="auto"/>
              </w:rPr>
            </w:pPr>
          </w:p>
        </w:tc>
        <w:tc>
          <w:tcPr>
            <w:tcW w:w="2120" w:type="dxa"/>
            <w:vAlign w:val="bottom"/>
          </w:tcPr>
          <w:p>
            <w:pPr>
              <w:jc w:val="right"/>
              <w:spacing w:after="0"/>
              <w:rPr>
                <w:sz w:val="20"/>
                <w:szCs w:val="20"/>
                <w:color w:val="auto"/>
              </w:rPr>
            </w:pPr>
            <w:r>
              <w:rPr>
                <w:rFonts w:ascii="Arial" w:cs="Arial" w:eastAsia="Arial" w:hAnsi="Arial"/>
                <w:sz w:val="16"/>
                <w:szCs w:val="16"/>
                <w:color w:val="auto"/>
              </w:rPr>
              <w:t>(41.9)%</w:t>
            </w:r>
          </w:p>
        </w:tc>
      </w:tr>
      <w:tr>
        <w:trPr>
          <w:trHeight w:val="217"/>
        </w:trPr>
        <w:tc>
          <w:tcPr>
            <w:tcW w:w="466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Adjusted EBITDA Margin</w:t>
            </w:r>
          </w:p>
        </w:tc>
        <w:tc>
          <w:tcPr>
            <w:tcW w:w="280" w:type="dxa"/>
            <w:vAlign w:val="bottom"/>
            <w:shd w:val="clear" w:color="auto" w:fill="CCEEFF"/>
          </w:tcPr>
          <w:p>
            <w:pPr>
              <w:spacing w:after="0"/>
              <w:rPr>
                <w:sz w:val="18"/>
                <w:szCs w:val="18"/>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4.2 %</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7.0 %</w:t>
            </w:r>
          </w:p>
        </w:tc>
        <w:tc>
          <w:tcPr>
            <w:tcW w:w="100" w:type="dxa"/>
            <w:vAlign w:val="bottom"/>
            <w:shd w:val="clear" w:color="auto" w:fill="CCEEFF"/>
          </w:tcPr>
          <w:p>
            <w:pPr>
              <w:spacing w:after="0"/>
              <w:rPr>
                <w:sz w:val="18"/>
                <w:szCs w:val="18"/>
                <w:color w:val="auto"/>
              </w:rPr>
            </w:pPr>
          </w:p>
        </w:tc>
        <w:tc>
          <w:tcPr>
            <w:tcW w:w="21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(280) bps</w:t>
            </w:r>
          </w:p>
        </w:tc>
      </w:tr>
    </w:tbl>
    <w:p>
      <w:pPr>
        <w:spacing w:after="0" w:line="75" w:lineRule="exact"/>
        <w:rPr>
          <w:sz w:val="20"/>
          <w:szCs w:val="20"/>
          <w:color w:val="auto"/>
        </w:rPr>
      </w:pPr>
    </w:p>
    <w:p>
      <w:pPr>
        <w:ind w:left="280" w:hanging="272"/>
        <w:spacing w:after="0"/>
        <w:tabs>
          <w:tab w:leader="none" w:pos="280" w:val="left"/>
        </w:tabs>
        <w:numPr>
          <w:ilvl w:val="0"/>
          <w:numId w:val="6"/>
        </w:numPr>
        <w:rPr>
          <w:rFonts w:ascii="Arial" w:cs="Arial" w:eastAsia="Arial" w:hAnsi="Arial"/>
          <w:sz w:val="21"/>
          <w:szCs w:val="21"/>
          <w:color w:val="auto"/>
          <w:vertAlign w:val="superscript"/>
        </w:rPr>
      </w:pPr>
      <w:r>
        <w:rPr>
          <w:rFonts w:ascii="Arial" w:cs="Arial" w:eastAsia="Arial" w:hAnsi="Arial"/>
          <w:sz w:val="14"/>
          <w:szCs w:val="14"/>
          <w:color w:val="auto"/>
        </w:rPr>
        <w:t>Amounts are calculated based on unrounded numbers and therefore may not recalculate using the rounded numbers provided.</w:t>
      </w:r>
    </w:p>
    <w:p>
      <w:pPr>
        <w:spacing w:after="0" w:line="290" w:lineRule="exact"/>
        <w:rPr>
          <w:rFonts w:ascii="Arial" w:cs="Arial" w:eastAsia="Arial" w:hAnsi="Arial"/>
          <w:sz w:val="21"/>
          <w:szCs w:val="21"/>
          <w:color w:val="auto"/>
          <w:vertAlign w:val="superscript"/>
        </w:rPr>
      </w:pPr>
    </w:p>
    <w:p>
      <w:pPr>
        <w:ind w:left="660" w:right="680" w:hanging="328"/>
        <w:spacing w:after="0" w:line="369" w:lineRule="auto"/>
        <w:tabs>
          <w:tab w:leader="none" w:pos="649" w:val="left"/>
        </w:tabs>
        <w:numPr>
          <w:ilvl w:val="1"/>
          <w:numId w:val="6"/>
        </w:numPr>
        <w:rPr>
          <w:rFonts w:ascii="Arial" w:cs="Arial" w:eastAsia="Arial" w:hAnsi="Arial"/>
          <w:sz w:val="16"/>
          <w:szCs w:val="16"/>
          <w:color w:val="auto"/>
        </w:rPr>
      </w:pPr>
      <w:r>
        <w:rPr>
          <w:rFonts w:ascii="Arial" w:cs="Arial" w:eastAsia="Arial" w:hAnsi="Arial"/>
          <w:sz w:val="16"/>
          <w:szCs w:val="16"/>
          <w:color w:val="auto"/>
        </w:rPr>
        <w:t>Revenues for the Motorhome RV segment were down from the prior year due to product mix and a decline in unit volume related to market conditions, partially offset by price increases related to higher motorized chassis costs.</w:t>
      </w:r>
    </w:p>
    <w:p>
      <w:pPr>
        <w:spacing w:after="0" w:line="1" w:lineRule="exact"/>
        <w:rPr>
          <w:rFonts w:ascii="Arial" w:cs="Arial" w:eastAsia="Arial" w:hAnsi="Arial"/>
          <w:sz w:val="16"/>
          <w:szCs w:val="16"/>
          <w:color w:val="auto"/>
        </w:rPr>
      </w:pPr>
    </w:p>
    <w:p>
      <w:pPr>
        <w:ind w:left="660" w:right="120" w:hanging="328"/>
        <w:spacing w:after="0" w:line="369" w:lineRule="auto"/>
        <w:tabs>
          <w:tab w:leader="none" w:pos="649" w:val="left"/>
        </w:tabs>
        <w:numPr>
          <w:ilvl w:val="1"/>
          <w:numId w:val="6"/>
        </w:numPr>
        <w:rPr>
          <w:rFonts w:ascii="Arial" w:cs="Arial" w:eastAsia="Arial" w:hAnsi="Arial"/>
          <w:sz w:val="16"/>
          <w:szCs w:val="16"/>
          <w:color w:val="auto"/>
        </w:rPr>
      </w:pPr>
      <w:r>
        <w:rPr>
          <w:rFonts w:ascii="Arial" w:cs="Arial" w:eastAsia="Arial" w:hAnsi="Arial"/>
          <w:sz w:val="16"/>
          <w:szCs w:val="16"/>
          <w:color w:val="auto"/>
        </w:rPr>
        <w:t>Segment Adjusted EBITDA margin decreased compared to the prior year primarily due to deleverage, operational challenges, and higher warranty expense.</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466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gridSpan w:val="4"/>
          </w:tcPr>
          <w:p>
            <w:pPr>
              <w:jc w:val="center"/>
              <w:ind w:right="400"/>
              <w:spacing w:after="0"/>
              <w:rPr>
                <w:sz w:val="20"/>
                <w:szCs w:val="20"/>
                <w:color w:val="auto"/>
              </w:rPr>
            </w:pPr>
            <w:r>
              <w:rPr>
                <w:rFonts w:ascii="Arial" w:cs="Arial" w:eastAsia="Arial" w:hAnsi="Arial"/>
                <w:sz w:val="16"/>
                <w:szCs w:val="16"/>
                <w:b w:val="1"/>
                <w:bCs w:val="1"/>
                <w:color w:val="auto"/>
                <w:w w:val="99"/>
              </w:rPr>
              <w:t>Year Ended</w:t>
            </w:r>
          </w:p>
        </w:tc>
        <w:tc>
          <w:tcPr>
            <w:tcW w:w="2120" w:type="dxa"/>
            <w:vAlign w:val="bottom"/>
            <w:tcBorders>
              <w:bottom w:val="single" w:sz="8" w:color="auto"/>
            </w:tcBorders>
          </w:tcPr>
          <w:p>
            <w:pPr>
              <w:spacing w:after="0"/>
              <w:rPr>
                <w:sz w:val="18"/>
                <w:szCs w:val="18"/>
                <w:color w:val="auto"/>
              </w:rPr>
            </w:pPr>
          </w:p>
        </w:tc>
      </w:tr>
      <w:tr>
        <w:trPr>
          <w:trHeight w:val="209"/>
        </w:trPr>
        <w:tc>
          <w:tcPr>
            <w:tcW w:w="4660" w:type="dxa"/>
            <w:vAlign w:val="bottom"/>
          </w:tcPr>
          <w:p>
            <w:pPr>
              <w:ind w:left="20"/>
              <w:spacing w:after="0"/>
              <w:rPr>
                <w:sz w:val="20"/>
                <w:szCs w:val="20"/>
                <w:color w:val="auto"/>
              </w:rPr>
            </w:pPr>
            <w:r>
              <w:rPr>
                <w:rFonts w:ascii="Arial" w:cs="Arial" w:eastAsia="Arial" w:hAnsi="Arial"/>
                <w:sz w:val="14"/>
                <w:szCs w:val="14"/>
                <w:color w:val="auto"/>
              </w:rPr>
              <w:t>($, in millions)</w:t>
            </w:r>
          </w:p>
        </w:tc>
        <w:tc>
          <w:tcPr>
            <w:tcW w:w="360" w:type="dxa"/>
            <w:vAlign w:val="bottom"/>
          </w:tcPr>
          <w:p>
            <w:pPr>
              <w:spacing w:after="0"/>
              <w:rPr>
                <w:sz w:val="18"/>
                <w:szCs w:val="18"/>
                <w:color w:val="auto"/>
              </w:rPr>
            </w:pPr>
          </w:p>
        </w:tc>
        <w:tc>
          <w:tcPr>
            <w:tcW w:w="1880" w:type="dxa"/>
            <w:vAlign w:val="bottom"/>
            <w:gridSpan w:val="3"/>
          </w:tcPr>
          <w:p>
            <w:pPr>
              <w:ind w:left="80"/>
              <w:spacing w:after="0"/>
              <w:rPr>
                <w:sz w:val="20"/>
                <w:szCs w:val="20"/>
                <w:color w:val="auto"/>
              </w:rPr>
            </w:pPr>
            <w:r>
              <w:rPr>
                <w:rFonts w:ascii="Arial" w:cs="Arial" w:eastAsia="Arial" w:hAnsi="Arial"/>
                <w:sz w:val="16"/>
                <w:szCs w:val="16"/>
                <w:b w:val="1"/>
                <w:bCs w:val="1"/>
                <w:color w:val="auto"/>
              </w:rPr>
              <w:t>August 31, 2024</w:t>
            </w: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920" w:type="dxa"/>
            <w:vAlign w:val="bottom"/>
            <w:gridSpan w:val="4"/>
          </w:tcPr>
          <w:p>
            <w:pPr>
              <w:jc w:val="center"/>
              <w:ind w:right="420"/>
              <w:spacing w:after="0"/>
              <w:rPr>
                <w:sz w:val="20"/>
                <w:szCs w:val="20"/>
                <w:color w:val="auto"/>
              </w:rPr>
            </w:pPr>
            <w:r>
              <w:rPr>
                <w:rFonts w:ascii="Arial" w:cs="Arial" w:eastAsia="Arial" w:hAnsi="Arial"/>
                <w:sz w:val="16"/>
                <w:szCs w:val="16"/>
                <w:b w:val="1"/>
                <w:bCs w:val="1"/>
                <w:color w:val="auto"/>
              </w:rPr>
              <w:t>August 26, 2023</w:t>
            </w:r>
          </w:p>
        </w:tc>
        <w:tc>
          <w:tcPr>
            <w:tcW w:w="2120" w:type="dxa"/>
            <w:vAlign w:val="bottom"/>
          </w:tcPr>
          <w:p>
            <w:pPr>
              <w:jc w:val="right"/>
              <w:ind w:right="619"/>
              <w:spacing w:after="0" w:line="210" w:lineRule="exact"/>
              <w:rPr>
                <w:sz w:val="20"/>
                <w:szCs w:val="20"/>
                <w:color w:val="auto"/>
              </w:rPr>
            </w:pPr>
            <w:r>
              <w:rPr>
                <w:rFonts w:ascii="Arial" w:cs="Arial" w:eastAsia="Arial" w:hAnsi="Arial"/>
                <w:sz w:val="16"/>
                <w:szCs w:val="16"/>
                <w:b w:val="1"/>
                <w:bCs w:val="1"/>
                <w:color w:val="auto"/>
              </w:rPr>
              <w:t>Change</w:t>
            </w:r>
            <w:r>
              <w:rPr>
                <w:rFonts w:ascii="Arial" w:cs="Arial" w:eastAsia="Arial" w:hAnsi="Arial"/>
                <w:sz w:val="21"/>
                <w:szCs w:val="21"/>
                <w:b w:val="1"/>
                <w:bCs w:val="1"/>
                <w:color w:val="auto"/>
                <w:vertAlign w:val="superscript"/>
              </w:rPr>
              <w:t>(1)</w:t>
            </w:r>
          </w:p>
        </w:tc>
      </w:tr>
      <w:tr>
        <w:trPr>
          <w:trHeight w:val="210"/>
        </w:trPr>
        <w:tc>
          <w:tcPr>
            <w:tcW w:w="46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Net revenues</w:t>
            </w:r>
          </w:p>
        </w:tc>
        <w:tc>
          <w:tcPr>
            <w:tcW w:w="360" w:type="dxa"/>
            <w:vAlign w:val="bottom"/>
            <w:tcBorders>
              <w:top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760" w:type="dxa"/>
            <w:vAlign w:val="bottom"/>
            <w:tcBorders>
              <w:top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1,279.8</w:t>
            </w:r>
          </w:p>
        </w:tc>
        <w:tc>
          <w:tcPr>
            <w:tcW w:w="6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gridSpan w:val="2"/>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780" w:type="dxa"/>
            <w:vAlign w:val="bottom"/>
            <w:tcBorders>
              <w:top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1,560.1</w:t>
            </w:r>
          </w:p>
        </w:tc>
        <w:tc>
          <w:tcPr>
            <w:tcW w:w="4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2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(18.0)%</w:t>
            </w:r>
          </w:p>
        </w:tc>
      </w:tr>
      <w:tr>
        <w:trPr>
          <w:trHeight w:val="215"/>
        </w:trPr>
        <w:tc>
          <w:tcPr>
            <w:tcW w:w="4660" w:type="dxa"/>
            <w:vAlign w:val="bottom"/>
          </w:tcPr>
          <w:p>
            <w:pPr>
              <w:ind w:left="20"/>
              <w:spacing w:after="0"/>
              <w:rPr>
                <w:sz w:val="20"/>
                <w:szCs w:val="20"/>
                <w:color w:val="auto"/>
              </w:rPr>
            </w:pPr>
            <w:r>
              <w:rPr>
                <w:rFonts w:ascii="Arial" w:cs="Arial" w:eastAsia="Arial" w:hAnsi="Arial"/>
                <w:sz w:val="16"/>
                <w:szCs w:val="16"/>
                <w:color w:val="auto"/>
              </w:rPr>
              <w:t>Adjusted EBITDA</w:t>
            </w: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760" w:type="dxa"/>
            <w:vAlign w:val="bottom"/>
          </w:tcPr>
          <w:p>
            <w:pPr>
              <w:jc w:val="right"/>
              <w:ind w:right="119"/>
              <w:spacing w:after="0"/>
              <w:rPr>
                <w:sz w:val="20"/>
                <w:szCs w:val="20"/>
                <w:color w:val="auto"/>
              </w:rPr>
            </w:pPr>
            <w:r>
              <w:rPr>
                <w:rFonts w:ascii="Arial" w:cs="Arial" w:eastAsia="Arial" w:hAnsi="Arial"/>
                <w:sz w:val="16"/>
                <w:szCs w:val="16"/>
                <w:color w:val="auto"/>
              </w:rPr>
              <w:t>73.7</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gridSpan w:val="2"/>
          </w:tcPr>
          <w:p>
            <w:pPr>
              <w:jc w:val="right"/>
              <w:ind w:right="119"/>
              <w:spacing w:after="0"/>
              <w:rPr>
                <w:sz w:val="20"/>
                <w:szCs w:val="20"/>
                <w:color w:val="auto"/>
              </w:rPr>
            </w:pPr>
            <w:r>
              <w:rPr>
                <w:rFonts w:ascii="Arial" w:cs="Arial" w:eastAsia="Arial" w:hAnsi="Arial"/>
                <w:sz w:val="16"/>
                <w:szCs w:val="16"/>
                <w:color w:val="auto"/>
                <w:w w:val="89"/>
              </w:rPr>
              <w:t>$</w:t>
            </w:r>
          </w:p>
        </w:tc>
        <w:tc>
          <w:tcPr>
            <w:tcW w:w="1780" w:type="dxa"/>
            <w:vAlign w:val="bottom"/>
          </w:tcPr>
          <w:p>
            <w:pPr>
              <w:jc w:val="right"/>
              <w:ind w:right="99"/>
              <w:spacing w:after="0"/>
              <w:rPr>
                <w:sz w:val="20"/>
                <w:szCs w:val="20"/>
                <w:color w:val="auto"/>
              </w:rPr>
            </w:pPr>
            <w:r>
              <w:rPr>
                <w:rFonts w:ascii="Arial" w:cs="Arial" w:eastAsia="Arial" w:hAnsi="Arial"/>
                <w:sz w:val="16"/>
                <w:szCs w:val="16"/>
                <w:color w:val="auto"/>
              </w:rPr>
              <w:t>142.0</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120" w:type="dxa"/>
            <w:vAlign w:val="bottom"/>
          </w:tcPr>
          <w:p>
            <w:pPr>
              <w:jc w:val="right"/>
              <w:spacing w:after="0"/>
              <w:rPr>
                <w:sz w:val="20"/>
                <w:szCs w:val="20"/>
                <w:color w:val="auto"/>
              </w:rPr>
            </w:pPr>
            <w:r>
              <w:rPr>
                <w:rFonts w:ascii="Arial" w:cs="Arial" w:eastAsia="Arial" w:hAnsi="Arial"/>
                <w:sz w:val="16"/>
                <w:szCs w:val="16"/>
                <w:color w:val="auto"/>
              </w:rPr>
              <w:t>(48.1)%</w:t>
            </w:r>
          </w:p>
        </w:tc>
      </w:tr>
      <w:tr>
        <w:trPr>
          <w:trHeight w:val="217"/>
        </w:trPr>
        <w:tc>
          <w:tcPr>
            <w:tcW w:w="46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Adjusted EBITDA Margin</w:t>
            </w:r>
          </w:p>
        </w:tc>
        <w:tc>
          <w:tcPr>
            <w:tcW w:w="360" w:type="dxa"/>
            <w:vAlign w:val="bottom"/>
            <w:shd w:val="clear" w:color="auto" w:fill="CCEEFF"/>
          </w:tcPr>
          <w:p>
            <w:pPr>
              <w:spacing w:after="0"/>
              <w:rPr>
                <w:sz w:val="18"/>
                <w:szCs w:val="18"/>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5.8 %</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9.1 %</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1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(330) bps</w:t>
            </w:r>
          </w:p>
        </w:tc>
      </w:tr>
      <w:tr>
        <w:trPr>
          <w:trHeight w:val="567"/>
        </w:trPr>
        <w:tc>
          <w:tcPr>
            <w:tcW w:w="4660" w:type="dxa"/>
            <w:vAlign w:val="bottom"/>
          </w:tcPr>
          <w:p>
            <w:pPr>
              <w:ind w:left="20"/>
              <w:spacing w:after="0"/>
              <w:rPr>
                <w:sz w:val="20"/>
                <w:szCs w:val="20"/>
                <w:color w:val="auto"/>
              </w:rPr>
            </w:pPr>
            <w:r>
              <w:rPr>
                <w:rFonts w:ascii="Arial" w:cs="Arial" w:eastAsia="Arial" w:hAnsi="Arial"/>
                <w:sz w:val="14"/>
                <w:szCs w:val="14"/>
                <w:color w:val="auto"/>
              </w:rPr>
              <w:t>($, in millions)</w:t>
            </w:r>
          </w:p>
        </w:tc>
        <w:tc>
          <w:tcPr>
            <w:tcW w:w="360" w:type="dxa"/>
            <w:vAlign w:val="bottom"/>
          </w:tcPr>
          <w:p>
            <w:pPr>
              <w:spacing w:after="0"/>
              <w:rPr>
                <w:sz w:val="24"/>
                <w:szCs w:val="24"/>
                <w:color w:val="auto"/>
              </w:rPr>
            </w:pPr>
          </w:p>
        </w:tc>
        <w:tc>
          <w:tcPr>
            <w:tcW w:w="1880" w:type="dxa"/>
            <w:vAlign w:val="bottom"/>
            <w:gridSpan w:val="3"/>
          </w:tcPr>
          <w:p>
            <w:pPr>
              <w:ind w:left="180"/>
              <w:spacing w:after="0"/>
              <w:rPr>
                <w:sz w:val="20"/>
                <w:szCs w:val="20"/>
                <w:color w:val="auto"/>
              </w:rPr>
            </w:pPr>
            <w:r>
              <w:rPr>
                <w:rFonts w:ascii="Arial" w:cs="Arial" w:eastAsia="Arial" w:hAnsi="Arial"/>
                <w:sz w:val="16"/>
                <w:szCs w:val="16"/>
                <w:b w:val="1"/>
                <w:bCs w:val="1"/>
                <w:color w:val="auto"/>
              </w:rPr>
              <w:t>August 31, 2024</w:t>
            </w: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920" w:type="dxa"/>
            <w:vAlign w:val="bottom"/>
            <w:gridSpan w:val="4"/>
          </w:tcPr>
          <w:p>
            <w:pPr>
              <w:jc w:val="center"/>
              <w:ind w:right="400"/>
              <w:spacing w:after="0"/>
              <w:rPr>
                <w:sz w:val="20"/>
                <w:szCs w:val="20"/>
                <w:color w:val="auto"/>
              </w:rPr>
            </w:pPr>
            <w:r>
              <w:rPr>
                <w:rFonts w:ascii="Arial" w:cs="Arial" w:eastAsia="Arial" w:hAnsi="Arial"/>
                <w:sz w:val="16"/>
                <w:szCs w:val="16"/>
                <w:b w:val="1"/>
                <w:bCs w:val="1"/>
                <w:color w:val="auto"/>
              </w:rPr>
              <w:t>August 26, 2023</w:t>
            </w:r>
          </w:p>
        </w:tc>
        <w:tc>
          <w:tcPr>
            <w:tcW w:w="2120" w:type="dxa"/>
            <w:vAlign w:val="bottom"/>
          </w:tcPr>
          <w:p>
            <w:pPr>
              <w:jc w:val="right"/>
              <w:ind w:right="639"/>
              <w:spacing w:after="0"/>
              <w:rPr>
                <w:sz w:val="20"/>
                <w:szCs w:val="20"/>
                <w:color w:val="auto"/>
              </w:rPr>
            </w:pPr>
            <w:r>
              <w:rPr>
                <w:rFonts w:ascii="Arial" w:cs="Arial" w:eastAsia="Arial" w:hAnsi="Arial"/>
                <w:sz w:val="16"/>
                <w:szCs w:val="16"/>
                <w:b w:val="1"/>
                <w:bCs w:val="1"/>
                <w:color w:val="auto"/>
              </w:rPr>
              <w:t>Change</w:t>
            </w:r>
            <w:r>
              <w:rPr>
                <w:rFonts w:ascii="Arial" w:cs="Arial" w:eastAsia="Arial" w:hAnsi="Arial"/>
                <w:sz w:val="21"/>
                <w:szCs w:val="21"/>
                <w:b w:val="1"/>
                <w:bCs w:val="1"/>
                <w:color w:val="auto"/>
                <w:vertAlign w:val="superscript"/>
              </w:rPr>
              <w:t>(1)</w:t>
            </w:r>
          </w:p>
        </w:tc>
      </w:tr>
      <w:tr>
        <w:trPr>
          <w:trHeight w:val="209"/>
        </w:trPr>
        <w:tc>
          <w:tcPr>
            <w:tcW w:w="46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Backlog</w:t>
            </w:r>
          </w:p>
        </w:tc>
        <w:tc>
          <w:tcPr>
            <w:tcW w:w="36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234.4</w:t>
            </w:r>
          </w:p>
        </w:tc>
        <w:tc>
          <w:tcPr>
            <w:tcW w:w="6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688.6</w:t>
            </w:r>
          </w:p>
        </w:tc>
        <w:tc>
          <w:tcPr>
            <w:tcW w:w="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2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(66.0)%</w:t>
            </w:r>
          </w:p>
        </w:tc>
      </w:tr>
    </w:tbl>
    <w:p>
      <w:pPr>
        <w:spacing w:after="0" w:line="75" w:lineRule="exact"/>
        <w:rPr>
          <w:sz w:val="20"/>
          <w:szCs w:val="20"/>
          <w:color w:val="auto"/>
        </w:rPr>
      </w:pPr>
    </w:p>
    <w:p>
      <w:pPr>
        <w:ind w:left="280" w:hanging="272"/>
        <w:spacing w:after="0"/>
        <w:tabs>
          <w:tab w:leader="none" w:pos="280" w:val="left"/>
        </w:tabs>
        <w:numPr>
          <w:ilvl w:val="0"/>
          <w:numId w:val="7"/>
        </w:numPr>
        <w:rPr>
          <w:rFonts w:ascii="Arial" w:cs="Arial" w:eastAsia="Arial" w:hAnsi="Arial"/>
          <w:sz w:val="21"/>
          <w:szCs w:val="21"/>
          <w:color w:val="auto"/>
          <w:vertAlign w:val="superscript"/>
        </w:rPr>
      </w:pPr>
      <w:r>
        <w:rPr>
          <w:rFonts w:ascii="Arial" w:cs="Arial" w:eastAsia="Arial" w:hAnsi="Arial"/>
          <w:sz w:val="14"/>
          <w:szCs w:val="14"/>
          <w:color w:val="auto"/>
        </w:rPr>
        <w:t>Amounts are calculated based on unrounded numbers and therefore may not recalculate using the rounded numbers provided.</w:t>
      </w:r>
    </w:p>
    <w:p>
      <w:pPr>
        <w:spacing w:after="0" w:line="290" w:lineRule="exact"/>
        <w:rPr>
          <w:rFonts w:ascii="Arial" w:cs="Arial" w:eastAsia="Arial" w:hAnsi="Arial"/>
          <w:sz w:val="21"/>
          <w:szCs w:val="21"/>
          <w:color w:val="auto"/>
          <w:vertAlign w:val="superscript"/>
        </w:rPr>
      </w:pPr>
    </w:p>
    <w:p>
      <w:pPr>
        <w:ind w:left="660" w:right="280" w:hanging="328"/>
        <w:spacing w:after="0" w:line="369" w:lineRule="auto"/>
        <w:tabs>
          <w:tab w:leader="none" w:pos="649" w:val="left"/>
        </w:tabs>
        <w:numPr>
          <w:ilvl w:val="1"/>
          <w:numId w:val="7"/>
        </w:numPr>
        <w:rPr>
          <w:rFonts w:ascii="Arial" w:cs="Arial" w:eastAsia="Arial" w:hAnsi="Arial"/>
          <w:sz w:val="16"/>
          <w:szCs w:val="16"/>
          <w:color w:val="auto"/>
        </w:rPr>
      </w:pPr>
      <w:r>
        <w:rPr>
          <w:rFonts w:ascii="Arial" w:cs="Arial" w:eastAsia="Arial" w:hAnsi="Arial"/>
          <w:sz w:val="16"/>
          <w:szCs w:val="16"/>
          <w:color w:val="auto"/>
        </w:rPr>
        <w:t>Revenues for the Motorhome RV segment were down from the prior year due to a decline in unit volume related to market conditions and higher levels of discounts and allowances, partially offset by price increases related to higher motorized chassis cost.</w:t>
      </w:r>
    </w:p>
    <w:p>
      <w:pPr>
        <w:spacing w:after="0" w:line="1" w:lineRule="exact"/>
        <w:rPr>
          <w:rFonts w:ascii="Arial" w:cs="Arial" w:eastAsia="Arial" w:hAnsi="Arial"/>
          <w:sz w:val="16"/>
          <w:szCs w:val="16"/>
          <w:color w:val="auto"/>
        </w:rPr>
      </w:pPr>
    </w:p>
    <w:p>
      <w:pPr>
        <w:ind w:left="660" w:right="240" w:hanging="328"/>
        <w:spacing w:after="0" w:line="369" w:lineRule="auto"/>
        <w:tabs>
          <w:tab w:leader="none" w:pos="649" w:val="left"/>
        </w:tabs>
        <w:numPr>
          <w:ilvl w:val="1"/>
          <w:numId w:val="7"/>
        </w:numPr>
        <w:rPr>
          <w:rFonts w:ascii="Arial" w:cs="Arial" w:eastAsia="Arial" w:hAnsi="Arial"/>
          <w:sz w:val="16"/>
          <w:szCs w:val="16"/>
          <w:color w:val="auto"/>
        </w:rPr>
      </w:pPr>
      <w:r>
        <w:rPr>
          <w:rFonts w:ascii="Arial" w:cs="Arial" w:eastAsia="Arial" w:hAnsi="Arial"/>
          <w:sz w:val="16"/>
          <w:szCs w:val="16"/>
          <w:color w:val="auto"/>
        </w:rPr>
        <w:t>Segment Adjusted EBITDA margin decreased compared to the prior year, primarily due to deleverage, higher warranty expense, and operational challenges, partially offset by cost containment efforts.</w:t>
      </w:r>
    </w:p>
    <w:p>
      <w:pPr>
        <w:spacing w:after="0" w:line="1" w:lineRule="exact"/>
        <w:rPr>
          <w:rFonts w:ascii="Arial" w:cs="Arial" w:eastAsia="Arial" w:hAnsi="Arial"/>
          <w:sz w:val="16"/>
          <w:szCs w:val="16"/>
          <w:color w:val="auto"/>
        </w:rPr>
      </w:pPr>
    </w:p>
    <w:p>
      <w:pPr>
        <w:ind w:left="640" w:hanging="308"/>
        <w:spacing w:after="0"/>
        <w:tabs>
          <w:tab w:leader="none" w:pos="640" w:val="left"/>
        </w:tabs>
        <w:numPr>
          <w:ilvl w:val="1"/>
          <w:numId w:val="7"/>
        </w:numPr>
        <w:rPr>
          <w:rFonts w:ascii="Arial" w:cs="Arial" w:eastAsia="Arial" w:hAnsi="Arial"/>
          <w:sz w:val="16"/>
          <w:szCs w:val="16"/>
          <w:color w:val="auto"/>
        </w:rPr>
      </w:pPr>
      <w:r>
        <w:rPr>
          <w:rFonts w:ascii="Arial" w:cs="Arial" w:eastAsia="Arial" w:hAnsi="Arial"/>
          <w:sz w:val="16"/>
          <w:szCs w:val="16"/>
          <w:color w:val="auto"/>
        </w:rPr>
        <w:t>Backlog decreased due to current market conditions and a cautious dealer network.</w:t>
      </w: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680" w:type="dxa"/>
            <w:vAlign w:val="bottom"/>
            <w:gridSpan w:val="2"/>
          </w:tcPr>
          <w:p>
            <w:pPr>
              <w:spacing w:after="0"/>
              <w:rPr>
                <w:sz w:val="20"/>
                <w:szCs w:val="20"/>
                <w:color w:val="auto"/>
              </w:rPr>
            </w:pPr>
            <w:r>
              <w:rPr>
                <w:rFonts w:ascii="Arial" w:cs="Arial" w:eastAsia="Arial" w:hAnsi="Arial"/>
                <w:sz w:val="16"/>
                <w:szCs w:val="16"/>
                <w:color w:val="auto"/>
              </w:rPr>
              <w:t>Marine</w:t>
            </w:r>
          </w:p>
        </w:tc>
        <w:tc>
          <w:tcPr>
            <w:tcW w:w="28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120" w:type="dxa"/>
            <w:vAlign w:val="bottom"/>
          </w:tcPr>
          <w:p>
            <w:pPr>
              <w:spacing w:after="0"/>
              <w:rPr>
                <w:sz w:val="16"/>
                <w:szCs w:val="16"/>
                <w:color w:val="auto"/>
              </w:rPr>
            </w:pPr>
          </w:p>
        </w:tc>
      </w:tr>
      <w:tr>
        <w:trPr>
          <w:trHeight w:val="304"/>
        </w:trPr>
        <w:tc>
          <w:tcPr>
            <w:tcW w:w="500" w:type="dxa"/>
            <w:vAlign w:val="bottom"/>
            <w:tcBorders>
              <w:top w:val="single" w:sz="8" w:color="auto"/>
            </w:tcBorders>
          </w:tcPr>
          <w:p>
            <w:pPr>
              <w:spacing w:after="0"/>
              <w:rPr>
                <w:sz w:val="24"/>
                <w:szCs w:val="24"/>
                <w:color w:val="auto"/>
              </w:rPr>
            </w:pPr>
          </w:p>
        </w:tc>
        <w:tc>
          <w:tcPr>
            <w:tcW w:w="418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4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6"/>
                <w:szCs w:val="16"/>
                <w:b w:val="1"/>
                <w:bCs w:val="1"/>
                <w:color w:val="auto"/>
              </w:rPr>
              <w:t>Three Months Ended</w:t>
            </w:r>
          </w:p>
        </w:tc>
        <w:tc>
          <w:tcPr>
            <w:tcW w:w="2120" w:type="dxa"/>
            <w:vAlign w:val="bottom"/>
            <w:tcBorders>
              <w:bottom w:val="single" w:sz="8" w:color="auto"/>
            </w:tcBorders>
          </w:tcPr>
          <w:p>
            <w:pPr>
              <w:spacing w:after="0"/>
              <w:rPr>
                <w:sz w:val="24"/>
                <w:szCs w:val="24"/>
                <w:color w:val="auto"/>
              </w:rPr>
            </w:pPr>
          </w:p>
        </w:tc>
      </w:tr>
      <w:tr>
        <w:trPr>
          <w:trHeight w:val="210"/>
        </w:trPr>
        <w:tc>
          <w:tcPr>
            <w:tcW w:w="4680" w:type="dxa"/>
            <w:vAlign w:val="bottom"/>
            <w:gridSpan w:val="2"/>
          </w:tcPr>
          <w:p>
            <w:pPr>
              <w:ind w:left="20"/>
              <w:spacing w:after="0"/>
              <w:rPr>
                <w:sz w:val="20"/>
                <w:szCs w:val="20"/>
                <w:color w:val="auto"/>
              </w:rPr>
            </w:pPr>
            <w:r>
              <w:rPr>
                <w:rFonts w:ascii="Arial" w:cs="Arial" w:eastAsia="Arial" w:hAnsi="Arial"/>
                <w:sz w:val="14"/>
                <w:szCs w:val="14"/>
                <w:color w:val="auto"/>
              </w:rPr>
              <w:t>($, in millions)</w:t>
            </w:r>
          </w:p>
        </w:tc>
        <w:tc>
          <w:tcPr>
            <w:tcW w:w="280" w:type="dxa"/>
            <w:vAlign w:val="bottom"/>
          </w:tcPr>
          <w:p>
            <w:pPr>
              <w:spacing w:after="0"/>
              <w:rPr>
                <w:sz w:val="18"/>
                <w:szCs w:val="18"/>
                <w:color w:val="auto"/>
              </w:rPr>
            </w:pPr>
          </w:p>
        </w:tc>
        <w:tc>
          <w:tcPr>
            <w:tcW w:w="1940" w:type="dxa"/>
            <w:vAlign w:val="bottom"/>
            <w:gridSpan w:val="2"/>
          </w:tcPr>
          <w:p>
            <w:pPr>
              <w:ind w:left="160"/>
              <w:spacing w:after="0"/>
              <w:rPr>
                <w:sz w:val="20"/>
                <w:szCs w:val="20"/>
                <w:color w:val="auto"/>
              </w:rPr>
            </w:pPr>
            <w:r>
              <w:rPr>
                <w:rFonts w:ascii="Arial" w:cs="Arial" w:eastAsia="Arial" w:hAnsi="Arial"/>
                <w:sz w:val="16"/>
                <w:szCs w:val="16"/>
                <w:b w:val="1"/>
                <w:bCs w:val="1"/>
                <w:color w:val="auto"/>
              </w:rPr>
              <w:t>August 31, 2024</w:t>
            </w:r>
          </w:p>
        </w:tc>
        <w:tc>
          <w:tcPr>
            <w:tcW w:w="180" w:type="dxa"/>
            <w:vAlign w:val="bottom"/>
          </w:tcPr>
          <w:p>
            <w:pPr>
              <w:spacing w:after="0"/>
              <w:rPr>
                <w:sz w:val="18"/>
                <w:szCs w:val="18"/>
                <w:color w:val="auto"/>
              </w:rPr>
            </w:pPr>
          </w:p>
        </w:tc>
        <w:tc>
          <w:tcPr>
            <w:tcW w:w="204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rPr>
              <w:t>August 26, 2023</w:t>
            </w:r>
          </w:p>
        </w:tc>
        <w:tc>
          <w:tcPr>
            <w:tcW w:w="2120" w:type="dxa"/>
            <w:vAlign w:val="bottom"/>
          </w:tcPr>
          <w:p>
            <w:pPr>
              <w:jc w:val="right"/>
              <w:ind w:right="619"/>
              <w:spacing w:after="0" w:line="210" w:lineRule="exact"/>
              <w:rPr>
                <w:sz w:val="20"/>
                <w:szCs w:val="20"/>
                <w:color w:val="auto"/>
              </w:rPr>
            </w:pPr>
            <w:r>
              <w:rPr>
                <w:rFonts w:ascii="Arial" w:cs="Arial" w:eastAsia="Arial" w:hAnsi="Arial"/>
                <w:sz w:val="16"/>
                <w:szCs w:val="16"/>
                <w:b w:val="1"/>
                <w:bCs w:val="1"/>
                <w:color w:val="auto"/>
              </w:rPr>
              <w:t>Change</w:t>
            </w:r>
            <w:r>
              <w:rPr>
                <w:rFonts w:ascii="Arial" w:cs="Arial" w:eastAsia="Arial" w:hAnsi="Arial"/>
                <w:sz w:val="21"/>
                <w:szCs w:val="21"/>
                <w:b w:val="1"/>
                <w:bCs w:val="1"/>
                <w:color w:val="auto"/>
                <w:vertAlign w:val="superscript"/>
              </w:rPr>
              <w:t>(1)</w:t>
            </w:r>
          </w:p>
        </w:tc>
      </w:tr>
      <w:tr>
        <w:trPr>
          <w:trHeight w:val="210"/>
        </w:trPr>
        <w:tc>
          <w:tcPr>
            <w:tcW w:w="4680" w:type="dxa"/>
            <w:vAlign w:val="bottom"/>
            <w:tcBorders>
              <w:top w:val="single" w:sz="8" w:color="auto"/>
            </w:tcBorders>
            <w:gridSpan w:val="2"/>
            <w:shd w:val="clear" w:color="auto" w:fill="CCEEFF"/>
          </w:tcPr>
          <w:p>
            <w:pPr>
              <w:ind w:left="20"/>
              <w:spacing w:after="0"/>
              <w:rPr>
                <w:sz w:val="20"/>
                <w:szCs w:val="20"/>
                <w:color w:val="auto"/>
              </w:rPr>
            </w:pPr>
            <w:r>
              <w:rPr>
                <w:rFonts w:ascii="Arial" w:cs="Arial" w:eastAsia="Arial" w:hAnsi="Arial"/>
                <w:sz w:val="16"/>
                <w:szCs w:val="16"/>
                <w:color w:val="auto"/>
              </w:rPr>
              <w:t>Net revenues</w:t>
            </w:r>
          </w:p>
        </w:tc>
        <w:tc>
          <w:tcPr>
            <w:tcW w:w="280" w:type="dxa"/>
            <w:vAlign w:val="bottom"/>
            <w:tcBorders>
              <w:top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820" w:type="dxa"/>
            <w:vAlign w:val="bottom"/>
            <w:tcBorders>
              <w:top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80.5</w:t>
            </w: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940" w:type="dxa"/>
            <w:vAlign w:val="bottom"/>
            <w:tcBorders>
              <w:top w:val="single" w:sz="8" w:color="auto"/>
            </w:tcBorders>
            <w:shd w:val="clear" w:color="auto" w:fill="CCEEFF"/>
          </w:tcPr>
          <w:p>
            <w:pPr>
              <w:ind w:left="1420"/>
              <w:spacing w:after="0"/>
              <w:rPr>
                <w:sz w:val="20"/>
                <w:szCs w:val="20"/>
                <w:color w:val="auto"/>
              </w:rPr>
            </w:pPr>
            <w:r>
              <w:rPr>
                <w:rFonts w:ascii="Arial" w:cs="Arial" w:eastAsia="Arial" w:hAnsi="Arial"/>
                <w:sz w:val="16"/>
                <w:szCs w:val="16"/>
                <w:color w:val="auto"/>
              </w:rPr>
              <w:t>96.4</w:t>
            </w:r>
          </w:p>
        </w:tc>
        <w:tc>
          <w:tcPr>
            <w:tcW w:w="100" w:type="dxa"/>
            <w:vAlign w:val="bottom"/>
            <w:tcBorders>
              <w:top w:val="single" w:sz="8" w:color="CCEEFF"/>
            </w:tcBorders>
            <w:shd w:val="clear" w:color="auto" w:fill="CCEEFF"/>
          </w:tcPr>
          <w:p>
            <w:pPr>
              <w:spacing w:after="0"/>
              <w:rPr>
                <w:sz w:val="18"/>
                <w:szCs w:val="18"/>
                <w:color w:val="auto"/>
              </w:rPr>
            </w:pPr>
          </w:p>
        </w:tc>
        <w:tc>
          <w:tcPr>
            <w:tcW w:w="2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(16.6)%</w:t>
            </w:r>
          </w:p>
        </w:tc>
      </w:tr>
      <w:tr>
        <w:trPr>
          <w:trHeight w:val="215"/>
        </w:trPr>
        <w:tc>
          <w:tcPr>
            <w:tcW w:w="4680" w:type="dxa"/>
            <w:vAlign w:val="bottom"/>
            <w:gridSpan w:val="2"/>
          </w:tcPr>
          <w:p>
            <w:pPr>
              <w:ind w:left="20"/>
              <w:spacing w:after="0"/>
              <w:rPr>
                <w:sz w:val="20"/>
                <w:szCs w:val="20"/>
                <w:color w:val="auto"/>
              </w:rPr>
            </w:pPr>
            <w:r>
              <w:rPr>
                <w:rFonts w:ascii="Arial" w:cs="Arial" w:eastAsia="Arial" w:hAnsi="Arial"/>
                <w:sz w:val="16"/>
                <w:szCs w:val="16"/>
                <w:color w:val="auto"/>
              </w:rPr>
              <w:t>Adjusted EBITDA</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820" w:type="dxa"/>
            <w:vAlign w:val="bottom"/>
          </w:tcPr>
          <w:p>
            <w:pPr>
              <w:jc w:val="right"/>
              <w:ind w:right="119"/>
              <w:spacing w:after="0"/>
              <w:rPr>
                <w:sz w:val="20"/>
                <w:szCs w:val="20"/>
                <w:color w:val="auto"/>
              </w:rPr>
            </w:pPr>
            <w:r>
              <w:rPr>
                <w:rFonts w:ascii="Arial" w:cs="Arial" w:eastAsia="Arial" w:hAnsi="Arial"/>
                <w:sz w:val="16"/>
                <w:szCs w:val="16"/>
                <w:color w:val="auto"/>
              </w:rPr>
              <w:t>5.5</w:t>
            </w:r>
          </w:p>
        </w:tc>
        <w:tc>
          <w:tcPr>
            <w:tcW w:w="1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940" w:type="dxa"/>
            <w:vAlign w:val="bottom"/>
          </w:tcPr>
          <w:p>
            <w:pPr>
              <w:ind w:left="1420"/>
              <w:spacing w:after="0"/>
              <w:rPr>
                <w:sz w:val="20"/>
                <w:szCs w:val="20"/>
                <w:color w:val="auto"/>
              </w:rPr>
            </w:pPr>
            <w:r>
              <w:rPr>
                <w:rFonts w:ascii="Arial" w:cs="Arial" w:eastAsia="Arial" w:hAnsi="Arial"/>
                <w:sz w:val="16"/>
                <w:szCs w:val="16"/>
                <w:color w:val="auto"/>
              </w:rPr>
              <w:t>10.3</w:t>
            </w:r>
          </w:p>
        </w:tc>
        <w:tc>
          <w:tcPr>
            <w:tcW w:w="100" w:type="dxa"/>
            <w:vAlign w:val="bottom"/>
          </w:tcPr>
          <w:p>
            <w:pPr>
              <w:spacing w:after="0"/>
              <w:rPr>
                <w:sz w:val="18"/>
                <w:szCs w:val="18"/>
                <w:color w:val="auto"/>
              </w:rPr>
            </w:pPr>
          </w:p>
        </w:tc>
        <w:tc>
          <w:tcPr>
            <w:tcW w:w="2120" w:type="dxa"/>
            <w:vAlign w:val="bottom"/>
          </w:tcPr>
          <w:p>
            <w:pPr>
              <w:jc w:val="right"/>
              <w:spacing w:after="0"/>
              <w:rPr>
                <w:sz w:val="20"/>
                <w:szCs w:val="20"/>
                <w:color w:val="auto"/>
              </w:rPr>
            </w:pPr>
            <w:r>
              <w:rPr>
                <w:rFonts w:ascii="Arial" w:cs="Arial" w:eastAsia="Arial" w:hAnsi="Arial"/>
                <w:sz w:val="16"/>
                <w:szCs w:val="16"/>
                <w:color w:val="auto"/>
              </w:rPr>
              <w:t>(45.7)%</w:t>
            </w:r>
          </w:p>
        </w:tc>
      </w:tr>
      <w:tr>
        <w:trPr>
          <w:trHeight w:val="217"/>
        </w:trPr>
        <w:tc>
          <w:tcPr>
            <w:tcW w:w="468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Adjusted EBITDA Margin</w:t>
            </w:r>
          </w:p>
        </w:tc>
        <w:tc>
          <w:tcPr>
            <w:tcW w:w="280" w:type="dxa"/>
            <w:vAlign w:val="bottom"/>
            <w:shd w:val="clear" w:color="auto" w:fill="CCEEFF"/>
          </w:tcPr>
          <w:p>
            <w:pPr>
              <w:spacing w:after="0"/>
              <w:rPr>
                <w:sz w:val="18"/>
                <w:szCs w:val="18"/>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6.9 %</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940" w:type="dxa"/>
            <w:vAlign w:val="bottom"/>
            <w:shd w:val="clear" w:color="auto" w:fill="CCEEFF"/>
          </w:tcPr>
          <w:p>
            <w:pPr>
              <w:ind w:left="1420"/>
              <w:spacing w:after="0"/>
              <w:rPr>
                <w:sz w:val="20"/>
                <w:szCs w:val="20"/>
                <w:color w:val="auto"/>
              </w:rPr>
            </w:pPr>
            <w:r>
              <w:rPr>
                <w:rFonts w:ascii="Arial" w:cs="Arial" w:eastAsia="Arial" w:hAnsi="Arial"/>
                <w:sz w:val="16"/>
                <w:szCs w:val="16"/>
                <w:color w:val="auto"/>
              </w:rPr>
              <w:t>10.6 %</w:t>
            </w:r>
          </w:p>
        </w:tc>
        <w:tc>
          <w:tcPr>
            <w:tcW w:w="100" w:type="dxa"/>
            <w:vAlign w:val="bottom"/>
            <w:shd w:val="clear" w:color="auto" w:fill="CCEEFF"/>
          </w:tcPr>
          <w:p>
            <w:pPr>
              <w:spacing w:after="0"/>
              <w:rPr>
                <w:sz w:val="18"/>
                <w:szCs w:val="18"/>
                <w:color w:val="auto"/>
              </w:rPr>
            </w:pPr>
          </w:p>
        </w:tc>
        <w:tc>
          <w:tcPr>
            <w:tcW w:w="21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(370) bps</w:t>
            </w:r>
          </w:p>
        </w:tc>
      </w:tr>
    </w:tbl>
    <w:p>
      <w:pPr>
        <w:spacing w:after="0" w:line="61" w:lineRule="exact"/>
        <w:rPr>
          <w:sz w:val="20"/>
          <w:szCs w:val="20"/>
          <w:color w:val="auto"/>
        </w:rPr>
      </w:pPr>
    </w:p>
    <w:p>
      <w:pPr>
        <w:ind w:left="280" w:hanging="272"/>
        <w:spacing w:after="0"/>
        <w:tabs>
          <w:tab w:leader="none" w:pos="280" w:val="left"/>
        </w:tabs>
        <w:numPr>
          <w:ilvl w:val="0"/>
          <w:numId w:val="8"/>
        </w:numPr>
        <w:rPr>
          <w:rFonts w:ascii="Arial" w:cs="Arial" w:eastAsia="Arial" w:hAnsi="Arial"/>
          <w:sz w:val="21"/>
          <w:szCs w:val="21"/>
          <w:color w:val="auto"/>
          <w:vertAlign w:val="superscript"/>
        </w:rPr>
      </w:pPr>
      <w:r>
        <w:rPr>
          <w:rFonts w:ascii="Arial" w:cs="Arial" w:eastAsia="Arial" w:hAnsi="Arial"/>
          <w:sz w:val="14"/>
          <w:szCs w:val="14"/>
          <w:color w:val="auto"/>
        </w:rPr>
        <w:t>Amounts are calculated based on unrounded numbers and therefore may not recalculate using the rounded numbers provided.</w:t>
      </w:r>
    </w:p>
    <w:p>
      <w:pPr>
        <w:spacing w:after="0" w:line="304" w:lineRule="exact"/>
        <w:rPr>
          <w:rFonts w:ascii="Arial" w:cs="Arial" w:eastAsia="Arial" w:hAnsi="Arial"/>
          <w:sz w:val="21"/>
          <w:szCs w:val="21"/>
          <w:color w:val="auto"/>
          <w:vertAlign w:val="superscript"/>
        </w:rPr>
      </w:pPr>
    </w:p>
    <w:p>
      <w:pPr>
        <w:ind w:left="660" w:right="320" w:hanging="328"/>
        <w:spacing w:after="0" w:line="369" w:lineRule="auto"/>
        <w:tabs>
          <w:tab w:leader="none" w:pos="649" w:val="left"/>
        </w:tabs>
        <w:numPr>
          <w:ilvl w:val="1"/>
          <w:numId w:val="8"/>
        </w:numPr>
        <w:rPr>
          <w:rFonts w:ascii="Arial" w:cs="Arial" w:eastAsia="Arial" w:hAnsi="Arial"/>
          <w:sz w:val="16"/>
          <w:szCs w:val="16"/>
          <w:color w:val="auto"/>
        </w:rPr>
      </w:pPr>
      <w:r>
        <w:rPr>
          <w:rFonts w:ascii="Arial" w:cs="Arial" w:eastAsia="Arial" w:hAnsi="Arial"/>
          <w:sz w:val="16"/>
          <w:szCs w:val="16"/>
          <w:color w:val="auto"/>
        </w:rPr>
        <w:t>Revenues for the Marine segment were down from the prior year, primarily driven by product mix, and a decline in unit volume related to market conditions and dealer destocking, partially offset by targeted price increases.</w:t>
      </w:r>
    </w:p>
    <w:p>
      <w:pPr>
        <w:spacing w:after="0" w:line="1" w:lineRule="exact"/>
        <w:rPr>
          <w:rFonts w:ascii="Arial" w:cs="Arial" w:eastAsia="Arial" w:hAnsi="Arial"/>
          <w:sz w:val="16"/>
          <w:szCs w:val="16"/>
          <w:color w:val="auto"/>
        </w:rPr>
      </w:pPr>
    </w:p>
    <w:p>
      <w:pPr>
        <w:ind w:left="660" w:right="520" w:hanging="328"/>
        <w:spacing w:after="0" w:line="409" w:lineRule="auto"/>
        <w:tabs>
          <w:tab w:leader="none" w:pos="649" w:val="left"/>
        </w:tabs>
        <w:numPr>
          <w:ilvl w:val="1"/>
          <w:numId w:val="8"/>
        </w:numPr>
        <w:rPr>
          <w:rFonts w:ascii="Arial" w:cs="Arial" w:eastAsia="Arial" w:hAnsi="Arial"/>
          <w:sz w:val="16"/>
          <w:szCs w:val="16"/>
          <w:color w:val="auto"/>
        </w:rPr>
      </w:pPr>
      <w:r>
        <w:rPr>
          <w:rFonts w:ascii="Arial" w:cs="Arial" w:eastAsia="Arial" w:hAnsi="Arial"/>
          <w:sz w:val="16"/>
          <w:szCs w:val="16"/>
          <w:color w:val="auto"/>
        </w:rPr>
        <w:t>Segment Adjusted EBITDA margin decreased compared to the prior year, primarily due to deleverage, and higher discounts and allowances, partially offset by targeted price increases.</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w:t>
      </w:r>
    </w:p>
    <w:p>
      <w:pPr>
        <w:sectPr>
          <w:pgSz w:w="11900" w:h="16838" w:orient="portrait"/>
          <w:cols w:equalWidth="0" w:num="1">
            <w:col w:w="11240"/>
          </w:cols>
          <w:pgMar w:left="320" w:top="1171" w:right="3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17"/>
        </w:trPr>
        <w:tc>
          <w:tcPr>
            <w:tcW w:w="466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gridSpan w:val="4"/>
          </w:tcPr>
          <w:p>
            <w:pPr>
              <w:jc w:val="center"/>
              <w:ind w:right="400"/>
              <w:spacing w:after="0"/>
              <w:rPr>
                <w:sz w:val="20"/>
                <w:szCs w:val="20"/>
                <w:color w:val="auto"/>
              </w:rPr>
            </w:pPr>
            <w:r>
              <w:rPr>
                <w:rFonts w:ascii="Arial" w:cs="Arial" w:eastAsia="Arial" w:hAnsi="Arial"/>
                <w:sz w:val="16"/>
                <w:szCs w:val="16"/>
                <w:b w:val="1"/>
                <w:bCs w:val="1"/>
                <w:color w:val="auto"/>
                <w:w w:val="99"/>
              </w:rPr>
              <w:t>Year Ended</w:t>
            </w:r>
          </w:p>
        </w:tc>
        <w:tc>
          <w:tcPr>
            <w:tcW w:w="2120" w:type="dxa"/>
            <w:vAlign w:val="bottom"/>
            <w:tcBorders>
              <w:bottom w:val="single" w:sz="8" w:color="auto"/>
            </w:tcBorders>
          </w:tcPr>
          <w:p>
            <w:pPr>
              <w:spacing w:after="0"/>
              <w:rPr>
                <w:sz w:val="18"/>
                <w:szCs w:val="18"/>
                <w:color w:val="auto"/>
              </w:rPr>
            </w:pPr>
          </w:p>
        </w:tc>
      </w:tr>
      <w:tr>
        <w:trPr>
          <w:trHeight w:val="210"/>
        </w:trPr>
        <w:tc>
          <w:tcPr>
            <w:tcW w:w="4660" w:type="dxa"/>
            <w:vAlign w:val="bottom"/>
          </w:tcPr>
          <w:p>
            <w:pPr>
              <w:ind w:left="20"/>
              <w:spacing w:after="0"/>
              <w:rPr>
                <w:sz w:val="20"/>
                <w:szCs w:val="20"/>
                <w:color w:val="auto"/>
              </w:rPr>
            </w:pPr>
            <w:r>
              <w:rPr>
                <w:rFonts w:ascii="Arial" w:cs="Arial" w:eastAsia="Arial" w:hAnsi="Arial"/>
                <w:sz w:val="14"/>
                <w:szCs w:val="14"/>
                <w:color w:val="auto"/>
              </w:rPr>
              <w:t>($, in millions)</w:t>
            </w:r>
          </w:p>
        </w:tc>
        <w:tc>
          <w:tcPr>
            <w:tcW w:w="360" w:type="dxa"/>
            <w:vAlign w:val="bottom"/>
          </w:tcPr>
          <w:p>
            <w:pPr>
              <w:spacing w:after="0"/>
              <w:rPr>
                <w:sz w:val="18"/>
                <w:szCs w:val="18"/>
                <w:color w:val="auto"/>
              </w:rPr>
            </w:pPr>
          </w:p>
        </w:tc>
        <w:tc>
          <w:tcPr>
            <w:tcW w:w="1880" w:type="dxa"/>
            <w:vAlign w:val="bottom"/>
            <w:gridSpan w:val="3"/>
          </w:tcPr>
          <w:p>
            <w:pPr>
              <w:ind w:left="80"/>
              <w:spacing w:after="0"/>
              <w:rPr>
                <w:sz w:val="20"/>
                <w:szCs w:val="20"/>
                <w:color w:val="auto"/>
              </w:rPr>
            </w:pPr>
            <w:r>
              <w:rPr>
                <w:rFonts w:ascii="Arial" w:cs="Arial" w:eastAsia="Arial" w:hAnsi="Arial"/>
                <w:sz w:val="16"/>
                <w:szCs w:val="16"/>
                <w:b w:val="1"/>
                <w:bCs w:val="1"/>
                <w:color w:val="auto"/>
              </w:rPr>
              <w:t>August 31, 2024</w:t>
            </w: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920" w:type="dxa"/>
            <w:vAlign w:val="bottom"/>
            <w:gridSpan w:val="4"/>
          </w:tcPr>
          <w:p>
            <w:pPr>
              <w:jc w:val="center"/>
              <w:ind w:right="420"/>
              <w:spacing w:after="0"/>
              <w:rPr>
                <w:sz w:val="20"/>
                <w:szCs w:val="20"/>
                <w:color w:val="auto"/>
              </w:rPr>
            </w:pPr>
            <w:r>
              <w:rPr>
                <w:rFonts w:ascii="Arial" w:cs="Arial" w:eastAsia="Arial" w:hAnsi="Arial"/>
                <w:sz w:val="16"/>
                <w:szCs w:val="16"/>
                <w:b w:val="1"/>
                <w:bCs w:val="1"/>
                <w:color w:val="auto"/>
              </w:rPr>
              <w:t>August 26, 2023</w:t>
            </w:r>
          </w:p>
        </w:tc>
        <w:tc>
          <w:tcPr>
            <w:tcW w:w="2120" w:type="dxa"/>
            <w:vAlign w:val="bottom"/>
          </w:tcPr>
          <w:p>
            <w:pPr>
              <w:jc w:val="right"/>
              <w:ind w:right="619"/>
              <w:spacing w:after="0" w:line="210" w:lineRule="exact"/>
              <w:rPr>
                <w:sz w:val="20"/>
                <w:szCs w:val="20"/>
                <w:color w:val="auto"/>
              </w:rPr>
            </w:pPr>
            <w:r>
              <w:rPr>
                <w:rFonts w:ascii="Arial" w:cs="Arial" w:eastAsia="Arial" w:hAnsi="Arial"/>
                <w:sz w:val="16"/>
                <w:szCs w:val="16"/>
                <w:b w:val="1"/>
                <w:bCs w:val="1"/>
                <w:color w:val="auto"/>
              </w:rPr>
              <w:t>Change</w:t>
            </w:r>
            <w:r>
              <w:rPr>
                <w:rFonts w:ascii="Arial" w:cs="Arial" w:eastAsia="Arial" w:hAnsi="Arial"/>
                <w:sz w:val="21"/>
                <w:szCs w:val="21"/>
                <w:b w:val="1"/>
                <w:bCs w:val="1"/>
                <w:color w:val="auto"/>
                <w:vertAlign w:val="superscript"/>
              </w:rPr>
              <w:t>(1)</w:t>
            </w:r>
          </w:p>
        </w:tc>
      </w:tr>
      <w:tr>
        <w:trPr>
          <w:trHeight w:val="209"/>
        </w:trPr>
        <w:tc>
          <w:tcPr>
            <w:tcW w:w="46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Net revenues</w:t>
            </w:r>
          </w:p>
        </w:tc>
        <w:tc>
          <w:tcPr>
            <w:tcW w:w="360" w:type="dxa"/>
            <w:vAlign w:val="bottom"/>
            <w:tcBorders>
              <w:top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760" w:type="dxa"/>
            <w:vAlign w:val="bottom"/>
            <w:tcBorders>
              <w:top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325.5</w:t>
            </w:r>
          </w:p>
        </w:tc>
        <w:tc>
          <w:tcPr>
            <w:tcW w:w="6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gridSpan w:val="2"/>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780" w:type="dxa"/>
            <w:vAlign w:val="bottom"/>
            <w:tcBorders>
              <w:top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469.7</w:t>
            </w:r>
          </w:p>
        </w:tc>
        <w:tc>
          <w:tcPr>
            <w:tcW w:w="4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2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(30.7)%</w:t>
            </w:r>
          </w:p>
        </w:tc>
      </w:tr>
      <w:tr>
        <w:trPr>
          <w:trHeight w:val="215"/>
        </w:trPr>
        <w:tc>
          <w:tcPr>
            <w:tcW w:w="4660" w:type="dxa"/>
            <w:vAlign w:val="bottom"/>
          </w:tcPr>
          <w:p>
            <w:pPr>
              <w:ind w:left="20"/>
              <w:spacing w:after="0"/>
              <w:rPr>
                <w:sz w:val="20"/>
                <w:szCs w:val="20"/>
                <w:color w:val="auto"/>
              </w:rPr>
            </w:pPr>
            <w:r>
              <w:rPr>
                <w:rFonts w:ascii="Arial" w:cs="Arial" w:eastAsia="Arial" w:hAnsi="Arial"/>
                <w:sz w:val="16"/>
                <w:szCs w:val="16"/>
                <w:color w:val="auto"/>
              </w:rPr>
              <w:t>Adjusted EBITDA</w:t>
            </w: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760" w:type="dxa"/>
            <w:vAlign w:val="bottom"/>
          </w:tcPr>
          <w:p>
            <w:pPr>
              <w:jc w:val="right"/>
              <w:ind w:right="119"/>
              <w:spacing w:after="0"/>
              <w:rPr>
                <w:sz w:val="20"/>
                <w:szCs w:val="20"/>
                <w:color w:val="auto"/>
              </w:rPr>
            </w:pPr>
            <w:r>
              <w:rPr>
                <w:rFonts w:ascii="Arial" w:cs="Arial" w:eastAsia="Arial" w:hAnsi="Arial"/>
                <w:sz w:val="16"/>
                <w:szCs w:val="16"/>
                <w:color w:val="auto"/>
              </w:rPr>
              <w:t>25.6</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gridSpan w:val="2"/>
          </w:tcPr>
          <w:p>
            <w:pPr>
              <w:jc w:val="right"/>
              <w:ind w:right="119"/>
              <w:spacing w:after="0"/>
              <w:rPr>
                <w:sz w:val="20"/>
                <w:szCs w:val="20"/>
                <w:color w:val="auto"/>
              </w:rPr>
            </w:pPr>
            <w:r>
              <w:rPr>
                <w:rFonts w:ascii="Arial" w:cs="Arial" w:eastAsia="Arial" w:hAnsi="Arial"/>
                <w:sz w:val="16"/>
                <w:szCs w:val="16"/>
                <w:color w:val="auto"/>
                <w:w w:val="89"/>
              </w:rPr>
              <w:t>$</w:t>
            </w:r>
          </w:p>
        </w:tc>
        <w:tc>
          <w:tcPr>
            <w:tcW w:w="1780" w:type="dxa"/>
            <w:vAlign w:val="bottom"/>
          </w:tcPr>
          <w:p>
            <w:pPr>
              <w:ind w:left="1300"/>
              <w:spacing w:after="0"/>
              <w:rPr>
                <w:sz w:val="20"/>
                <w:szCs w:val="20"/>
                <w:color w:val="auto"/>
              </w:rPr>
            </w:pPr>
            <w:r>
              <w:rPr>
                <w:rFonts w:ascii="Arial" w:cs="Arial" w:eastAsia="Arial" w:hAnsi="Arial"/>
                <w:sz w:val="16"/>
                <w:szCs w:val="16"/>
                <w:color w:val="auto"/>
              </w:rPr>
              <w:t>60.5</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120" w:type="dxa"/>
            <w:vAlign w:val="bottom"/>
          </w:tcPr>
          <w:p>
            <w:pPr>
              <w:jc w:val="right"/>
              <w:spacing w:after="0"/>
              <w:rPr>
                <w:sz w:val="20"/>
                <w:szCs w:val="20"/>
                <w:color w:val="auto"/>
              </w:rPr>
            </w:pPr>
            <w:r>
              <w:rPr>
                <w:rFonts w:ascii="Arial" w:cs="Arial" w:eastAsia="Arial" w:hAnsi="Arial"/>
                <w:sz w:val="16"/>
                <w:szCs w:val="16"/>
                <w:color w:val="auto"/>
              </w:rPr>
              <w:t>(57.6)%</w:t>
            </w:r>
          </w:p>
        </w:tc>
      </w:tr>
      <w:tr>
        <w:trPr>
          <w:trHeight w:val="217"/>
        </w:trPr>
        <w:tc>
          <w:tcPr>
            <w:tcW w:w="46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Adjusted EBITDA Margin</w:t>
            </w:r>
          </w:p>
        </w:tc>
        <w:tc>
          <w:tcPr>
            <w:tcW w:w="360" w:type="dxa"/>
            <w:vAlign w:val="bottom"/>
            <w:shd w:val="clear" w:color="auto" w:fill="CCEEFF"/>
          </w:tcPr>
          <w:p>
            <w:pPr>
              <w:spacing w:after="0"/>
              <w:rPr>
                <w:sz w:val="18"/>
                <w:szCs w:val="18"/>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7.9 %</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ind w:left="1300"/>
              <w:spacing w:after="0"/>
              <w:rPr>
                <w:sz w:val="20"/>
                <w:szCs w:val="20"/>
                <w:color w:val="auto"/>
              </w:rPr>
            </w:pPr>
            <w:r>
              <w:rPr>
                <w:rFonts w:ascii="Arial" w:cs="Arial" w:eastAsia="Arial" w:hAnsi="Arial"/>
                <w:sz w:val="16"/>
                <w:szCs w:val="16"/>
                <w:color w:val="auto"/>
              </w:rPr>
              <w:t>12.9 %</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1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(500) bps</w:t>
            </w:r>
          </w:p>
        </w:tc>
      </w:tr>
      <w:tr>
        <w:trPr>
          <w:trHeight w:val="580"/>
        </w:trPr>
        <w:tc>
          <w:tcPr>
            <w:tcW w:w="4660" w:type="dxa"/>
            <w:vAlign w:val="bottom"/>
          </w:tcPr>
          <w:p>
            <w:pPr>
              <w:ind w:left="20"/>
              <w:spacing w:after="0"/>
              <w:rPr>
                <w:sz w:val="20"/>
                <w:szCs w:val="20"/>
                <w:color w:val="auto"/>
              </w:rPr>
            </w:pPr>
            <w:r>
              <w:rPr>
                <w:rFonts w:ascii="Arial" w:cs="Arial" w:eastAsia="Arial" w:hAnsi="Arial"/>
                <w:sz w:val="14"/>
                <w:szCs w:val="14"/>
                <w:color w:val="auto"/>
              </w:rPr>
              <w:t>($, in millions)</w:t>
            </w:r>
          </w:p>
        </w:tc>
        <w:tc>
          <w:tcPr>
            <w:tcW w:w="360" w:type="dxa"/>
            <w:vAlign w:val="bottom"/>
          </w:tcPr>
          <w:p>
            <w:pPr>
              <w:spacing w:after="0"/>
              <w:rPr>
                <w:sz w:val="24"/>
                <w:szCs w:val="24"/>
                <w:color w:val="auto"/>
              </w:rPr>
            </w:pPr>
          </w:p>
        </w:tc>
        <w:tc>
          <w:tcPr>
            <w:tcW w:w="1880" w:type="dxa"/>
            <w:vAlign w:val="bottom"/>
            <w:gridSpan w:val="3"/>
          </w:tcPr>
          <w:p>
            <w:pPr>
              <w:ind w:left="180"/>
              <w:spacing w:after="0"/>
              <w:rPr>
                <w:sz w:val="20"/>
                <w:szCs w:val="20"/>
                <w:color w:val="auto"/>
              </w:rPr>
            </w:pPr>
            <w:r>
              <w:rPr>
                <w:rFonts w:ascii="Arial" w:cs="Arial" w:eastAsia="Arial" w:hAnsi="Arial"/>
                <w:sz w:val="16"/>
                <w:szCs w:val="16"/>
                <w:b w:val="1"/>
                <w:bCs w:val="1"/>
                <w:color w:val="auto"/>
              </w:rPr>
              <w:t>August 31, 2024</w:t>
            </w: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920" w:type="dxa"/>
            <w:vAlign w:val="bottom"/>
            <w:gridSpan w:val="4"/>
          </w:tcPr>
          <w:p>
            <w:pPr>
              <w:jc w:val="center"/>
              <w:ind w:right="400"/>
              <w:spacing w:after="0"/>
              <w:rPr>
                <w:sz w:val="20"/>
                <w:szCs w:val="20"/>
                <w:color w:val="auto"/>
              </w:rPr>
            </w:pPr>
            <w:r>
              <w:rPr>
                <w:rFonts w:ascii="Arial" w:cs="Arial" w:eastAsia="Arial" w:hAnsi="Arial"/>
                <w:sz w:val="16"/>
                <w:szCs w:val="16"/>
                <w:b w:val="1"/>
                <w:bCs w:val="1"/>
                <w:color w:val="auto"/>
              </w:rPr>
              <w:t>August 26, 2023</w:t>
            </w:r>
          </w:p>
        </w:tc>
        <w:tc>
          <w:tcPr>
            <w:tcW w:w="2120" w:type="dxa"/>
            <w:vAlign w:val="bottom"/>
          </w:tcPr>
          <w:p>
            <w:pPr>
              <w:jc w:val="right"/>
              <w:ind w:right="639"/>
              <w:spacing w:after="0"/>
              <w:rPr>
                <w:sz w:val="20"/>
                <w:szCs w:val="20"/>
                <w:color w:val="auto"/>
              </w:rPr>
            </w:pPr>
            <w:r>
              <w:rPr>
                <w:rFonts w:ascii="Arial" w:cs="Arial" w:eastAsia="Arial" w:hAnsi="Arial"/>
                <w:sz w:val="16"/>
                <w:szCs w:val="16"/>
                <w:b w:val="1"/>
                <w:bCs w:val="1"/>
                <w:color w:val="auto"/>
              </w:rPr>
              <w:t>Change</w:t>
            </w:r>
            <w:r>
              <w:rPr>
                <w:rFonts w:ascii="Arial" w:cs="Arial" w:eastAsia="Arial" w:hAnsi="Arial"/>
                <w:sz w:val="21"/>
                <w:szCs w:val="21"/>
                <w:b w:val="1"/>
                <w:bCs w:val="1"/>
                <w:color w:val="auto"/>
                <w:vertAlign w:val="superscript"/>
              </w:rPr>
              <w:t>(1)</w:t>
            </w:r>
          </w:p>
        </w:tc>
      </w:tr>
      <w:tr>
        <w:trPr>
          <w:trHeight w:val="209"/>
        </w:trPr>
        <w:tc>
          <w:tcPr>
            <w:tcW w:w="46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Backlog</w:t>
            </w:r>
          </w:p>
        </w:tc>
        <w:tc>
          <w:tcPr>
            <w:tcW w:w="36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260.0</w:t>
            </w:r>
          </w:p>
        </w:tc>
        <w:tc>
          <w:tcPr>
            <w:tcW w:w="6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780" w:type="dxa"/>
            <w:vAlign w:val="bottom"/>
            <w:tcBorders>
              <w:top w:val="single" w:sz="8" w:color="auto"/>
            </w:tcBorders>
            <w:shd w:val="clear" w:color="auto" w:fill="CCEEFF"/>
          </w:tcPr>
          <w:p>
            <w:pPr>
              <w:ind w:left="1300"/>
              <w:spacing w:after="0"/>
              <w:rPr>
                <w:sz w:val="20"/>
                <w:szCs w:val="20"/>
                <w:color w:val="auto"/>
              </w:rPr>
            </w:pPr>
            <w:r>
              <w:rPr>
                <w:rFonts w:ascii="Arial" w:cs="Arial" w:eastAsia="Arial" w:hAnsi="Arial"/>
                <w:sz w:val="16"/>
                <w:szCs w:val="16"/>
                <w:color w:val="auto"/>
              </w:rPr>
              <w:t>194.7</w:t>
            </w:r>
          </w:p>
        </w:tc>
        <w:tc>
          <w:tcPr>
            <w:tcW w:w="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2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33.5 %</w:t>
            </w:r>
          </w:p>
        </w:tc>
      </w:tr>
    </w:tbl>
    <w:p>
      <w:pPr>
        <w:spacing w:after="0" w:line="61" w:lineRule="exact"/>
        <w:rPr>
          <w:sz w:val="20"/>
          <w:szCs w:val="20"/>
          <w:color w:val="auto"/>
        </w:rPr>
      </w:pPr>
    </w:p>
    <w:p>
      <w:pPr>
        <w:ind w:left="280" w:hanging="272"/>
        <w:spacing w:after="0"/>
        <w:tabs>
          <w:tab w:leader="none" w:pos="280" w:val="left"/>
        </w:tabs>
        <w:numPr>
          <w:ilvl w:val="0"/>
          <w:numId w:val="9"/>
        </w:numPr>
        <w:rPr>
          <w:rFonts w:ascii="Arial" w:cs="Arial" w:eastAsia="Arial" w:hAnsi="Arial"/>
          <w:sz w:val="21"/>
          <w:szCs w:val="21"/>
          <w:color w:val="auto"/>
          <w:vertAlign w:val="superscript"/>
        </w:rPr>
      </w:pPr>
      <w:r>
        <w:rPr>
          <w:rFonts w:ascii="Arial" w:cs="Arial" w:eastAsia="Arial" w:hAnsi="Arial"/>
          <w:sz w:val="14"/>
          <w:szCs w:val="14"/>
          <w:color w:val="auto"/>
        </w:rPr>
        <w:t>Amounts are calculated based on unrounded numbers and therefore may not recalculate using the rounded numbers provided.</w:t>
      </w:r>
    </w:p>
    <w:p>
      <w:pPr>
        <w:spacing w:after="0" w:line="304" w:lineRule="exact"/>
        <w:rPr>
          <w:rFonts w:ascii="Arial" w:cs="Arial" w:eastAsia="Arial" w:hAnsi="Arial"/>
          <w:sz w:val="21"/>
          <w:szCs w:val="21"/>
          <w:color w:val="auto"/>
          <w:vertAlign w:val="superscript"/>
        </w:rPr>
      </w:pPr>
    </w:p>
    <w:p>
      <w:pPr>
        <w:ind w:left="660" w:right="480" w:hanging="328"/>
        <w:spacing w:after="0" w:line="369" w:lineRule="auto"/>
        <w:tabs>
          <w:tab w:leader="none" w:pos="649" w:val="left"/>
        </w:tabs>
        <w:numPr>
          <w:ilvl w:val="1"/>
          <w:numId w:val="9"/>
        </w:numPr>
        <w:rPr>
          <w:rFonts w:ascii="Arial" w:cs="Arial" w:eastAsia="Arial" w:hAnsi="Arial"/>
          <w:sz w:val="16"/>
          <w:szCs w:val="16"/>
          <w:color w:val="auto"/>
        </w:rPr>
      </w:pPr>
      <w:r>
        <w:rPr>
          <w:rFonts w:ascii="Arial" w:cs="Arial" w:eastAsia="Arial" w:hAnsi="Arial"/>
          <w:sz w:val="16"/>
          <w:szCs w:val="16"/>
          <w:color w:val="auto"/>
        </w:rPr>
        <w:t>Revenues for the Marine segment were down from the prior year, primarily driven by a decline in unit volume related to market conditions and product mix.</w:t>
      </w:r>
    </w:p>
    <w:p>
      <w:pPr>
        <w:spacing w:after="0" w:line="1" w:lineRule="exact"/>
        <w:rPr>
          <w:rFonts w:ascii="Arial" w:cs="Arial" w:eastAsia="Arial" w:hAnsi="Arial"/>
          <w:sz w:val="16"/>
          <w:szCs w:val="16"/>
          <w:color w:val="auto"/>
        </w:rPr>
      </w:pPr>
    </w:p>
    <w:p>
      <w:pPr>
        <w:ind w:left="660" w:right="400" w:hanging="328"/>
        <w:spacing w:after="0" w:line="361" w:lineRule="auto"/>
        <w:tabs>
          <w:tab w:leader="none" w:pos="649" w:val="left"/>
        </w:tabs>
        <w:numPr>
          <w:ilvl w:val="1"/>
          <w:numId w:val="9"/>
        </w:numPr>
        <w:rPr>
          <w:rFonts w:ascii="Arial" w:cs="Arial" w:eastAsia="Arial" w:hAnsi="Arial"/>
          <w:sz w:val="16"/>
          <w:szCs w:val="16"/>
          <w:color w:val="auto"/>
        </w:rPr>
      </w:pPr>
      <w:r>
        <w:rPr>
          <w:rFonts w:ascii="Arial" w:cs="Arial" w:eastAsia="Arial" w:hAnsi="Arial"/>
          <w:sz w:val="16"/>
          <w:szCs w:val="16"/>
          <w:color w:val="auto"/>
        </w:rPr>
        <w:t>Segment Adjusted EBITDA margin decreased compared to the prior year, primarily due to deleverage, partially offset by lower incentive-based compensation and cost containment efforts.</w:t>
      </w:r>
    </w:p>
    <w:p>
      <w:pPr>
        <w:ind w:left="640" w:hanging="308"/>
        <w:spacing w:after="0"/>
        <w:tabs>
          <w:tab w:leader="none" w:pos="640" w:val="left"/>
        </w:tabs>
        <w:numPr>
          <w:ilvl w:val="1"/>
          <w:numId w:val="9"/>
        </w:numPr>
        <w:rPr>
          <w:rFonts w:ascii="Arial" w:cs="Arial" w:eastAsia="Arial" w:hAnsi="Arial"/>
          <w:sz w:val="16"/>
          <w:szCs w:val="16"/>
          <w:color w:val="auto"/>
        </w:rPr>
      </w:pPr>
      <w:r>
        <w:rPr>
          <w:rFonts w:ascii="Arial" w:cs="Arial" w:eastAsia="Arial" w:hAnsi="Arial"/>
          <w:sz w:val="16"/>
          <w:szCs w:val="16"/>
          <w:color w:val="auto"/>
        </w:rPr>
        <w:t>Backlog increased primarily driven by the improvement in inventory position with dealers and continued market share growth.</w:t>
      </w:r>
    </w:p>
    <w:p>
      <w:pPr>
        <w:spacing w:after="0" w:line="34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Balance Sheet and Cash Flow</w:t>
      </w:r>
    </w:p>
    <w:p>
      <w:pPr>
        <w:spacing w:after="0" w:line="100" w:lineRule="exact"/>
        <w:rPr>
          <w:sz w:val="20"/>
          <w:szCs w:val="20"/>
          <w:color w:val="auto"/>
        </w:rPr>
      </w:pPr>
    </w:p>
    <w:p>
      <w:pPr>
        <w:ind w:right="60"/>
        <w:spacing w:after="0" w:line="383" w:lineRule="auto"/>
        <w:rPr>
          <w:sz w:val="20"/>
          <w:szCs w:val="20"/>
          <w:color w:val="auto"/>
        </w:rPr>
      </w:pPr>
      <w:r>
        <w:rPr>
          <w:rFonts w:ascii="Arial" w:cs="Arial" w:eastAsia="Arial" w:hAnsi="Arial"/>
          <w:sz w:val="16"/>
          <w:szCs w:val="16"/>
          <w:color w:val="auto"/>
        </w:rPr>
        <w:t>As of August 31, 2024, cash and cash equivalents were $330.9 million, compared with $309.9 million as of the end of Fiscal 2023. Total outstanding debt was $696.2 million ($709.3 million of debt, net of debt issuance costs of $13.1 million) with working capital of $584.0 million. Cash flow provided by operations was $40.7 million in the Fiscal 2024 fourth quarter. With a cash balance of $330.9 million and an undrawn asset-backed revolving credit facility of $350.0 million, the Company maintains meaningful financial flexibility, supported by its strong balance sheet and robust liquidity.</w:t>
      </w:r>
    </w:p>
    <w:p>
      <w:pPr>
        <w:spacing w:after="0" w:line="20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Quarterly Cash Dividend and Share Repurchases</w:t>
      </w:r>
    </w:p>
    <w:p>
      <w:pPr>
        <w:spacing w:after="0" w:line="86" w:lineRule="exact"/>
        <w:rPr>
          <w:sz w:val="20"/>
          <w:szCs w:val="20"/>
          <w:color w:val="auto"/>
        </w:rPr>
      </w:pPr>
    </w:p>
    <w:p>
      <w:pPr>
        <w:ind w:right="180"/>
        <w:spacing w:after="0" w:line="389" w:lineRule="auto"/>
        <w:rPr>
          <w:sz w:val="20"/>
          <w:szCs w:val="20"/>
          <w:color w:val="auto"/>
        </w:rPr>
      </w:pPr>
      <w:r>
        <w:rPr>
          <w:rFonts w:ascii="Arial" w:cs="Arial" w:eastAsia="Arial" w:hAnsi="Arial"/>
          <w:sz w:val="16"/>
          <w:szCs w:val="16"/>
          <w:color w:val="auto"/>
        </w:rPr>
        <w:t>On August 15, 2024, the Company’s Board of Directors approved a 10% increase in the quarterly cash dividend of $0.34 per share. The dividend was paid on September 25, 2024, to common stockholders of record at the close of business on September 11, 2024. In addition, Winnebago Industries executed share repurchases of $10.0 million during the Fiscal 2024 fourth quarter, bringing its total share repurchases for the Fiscal year to $70.0 million.</w:t>
      </w:r>
    </w:p>
    <w:p>
      <w:pPr>
        <w:spacing w:after="0" w:line="19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Business Outlook and Financial Guidance</w:t>
      </w:r>
    </w:p>
    <w:p>
      <w:pPr>
        <w:spacing w:after="0" w:line="100" w:lineRule="exact"/>
        <w:rPr>
          <w:sz w:val="20"/>
          <w:szCs w:val="20"/>
          <w:color w:val="auto"/>
        </w:rPr>
      </w:pPr>
    </w:p>
    <w:p>
      <w:pPr>
        <w:ind w:right="60"/>
        <w:spacing w:after="0" w:line="348" w:lineRule="auto"/>
        <w:rPr>
          <w:sz w:val="20"/>
          <w:szCs w:val="20"/>
          <w:color w:val="auto"/>
        </w:rPr>
      </w:pPr>
      <w:r>
        <w:rPr>
          <w:rFonts w:ascii="Arial" w:cs="Arial" w:eastAsia="Arial" w:hAnsi="Arial"/>
          <w:sz w:val="16"/>
          <w:szCs w:val="16"/>
          <w:color w:val="auto"/>
        </w:rPr>
        <w:t>For calendar year 2025, Winnebago Industries anticipates total North American RV wholesale shipments in the range of 320,000 to 350,000 units. Based on this outlook and the current business environment, the Company expects Fiscal 2025 consolidated revenues in the range of $2.9 billion to $3.2 billion, reported earnings per diluted share of $2.40 to $3.90</w:t>
      </w:r>
      <w:r>
        <w:rPr>
          <w:rFonts w:ascii="Arial" w:cs="Arial" w:eastAsia="Arial" w:hAnsi="Arial"/>
          <w:sz w:val="21"/>
          <w:szCs w:val="21"/>
          <w:color w:val="auto"/>
          <w:vertAlign w:val="superscript"/>
        </w:rPr>
        <w:t>(2)</w:t>
      </w:r>
      <w:r>
        <w:rPr>
          <w:rFonts w:ascii="Arial" w:cs="Arial" w:eastAsia="Arial" w:hAnsi="Arial"/>
          <w:sz w:val="16"/>
          <w:szCs w:val="16"/>
          <w:color w:val="auto"/>
        </w:rPr>
        <w:t xml:space="preserve"> and adjusted earnings per diluted share of $3.00 to $4.50</w:t>
      </w:r>
      <w:r>
        <w:rPr>
          <w:rFonts w:ascii="Arial" w:cs="Arial" w:eastAsia="Arial" w:hAnsi="Arial"/>
          <w:sz w:val="21"/>
          <w:szCs w:val="21"/>
          <w:color w:val="auto"/>
          <w:vertAlign w:val="superscript"/>
        </w:rPr>
        <w:t>(2)</w:t>
      </w:r>
      <w:r>
        <w:rPr>
          <w:rFonts w:ascii="Arial" w:cs="Arial" w:eastAsia="Arial" w:hAnsi="Arial"/>
          <w:sz w:val="16"/>
          <w:szCs w:val="16"/>
          <w:color w:val="auto"/>
        </w:rPr>
        <w:t>. The Company’s outlook takes into account prevailing trends in the RV sector, including competitive dynamics, shifts in consumer preferences, and key macroeconomic factors that may influence overall demand.</w:t>
      </w:r>
    </w:p>
    <w:p>
      <w:pPr>
        <w:spacing w:after="0" w:line="230" w:lineRule="exact"/>
        <w:rPr>
          <w:sz w:val="20"/>
          <w:szCs w:val="20"/>
          <w:color w:val="auto"/>
        </w:rPr>
      </w:pPr>
    </w:p>
    <w:p>
      <w:pPr>
        <w:ind w:right="40"/>
        <w:spacing w:after="0" w:line="383" w:lineRule="auto"/>
        <w:rPr>
          <w:sz w:val="20"/>
          <w:szCs w:val="20"/>
          <w:color w:val="auto"/>
        </w:rPr>
      </w:pPr>
      <w:r>
        <w:rPr>
          <w:rFonts w:ascii="Arial" w:cs="Arial" w:eastAsia="Arial" w:hAnsi="Arial"/>
          <w:sz w:val="16"/>
          <w:szCs w:val="16"/>
          <w:color w:val="auto"/>
        </w:rPr>
        <w:t>“We enter Fiscal 2025 confident in the long-term prospects of our business, optimism that is grounded in the strong market potential of our latest product innovations,” Happe said. “Although the recent easing of interest rates is expected to bolster consumer demand as we move into the second half of the 2025 calendar year, near-term visibility remains limited due to the potential for further economic instability and the likelihood of continued industry-wide destocking within the motorhome RV category.</w:t>
      </w:r>
    </w:p>
    <w:p>
      <w:pPr>
        <w:spacing w:after="0" w:line="203" w:lineRule="exact"/>
        <w:rPr>
          <w:sz w:val="20"/>
          <w:szCs w:val="20"/>
          <w:color w:val="auto"/>
        </w:rPr>
      </w:pPr>
    </w:p>
    <w:p>
      <w:pPr>
        <w:ind w:right="220"/>
        <w:spacing w:after="0" w:line="409" w:lineRule="auto"/>
        <w:rPr>
          <w:sz w:val="20"/>
          <w:szCs w:val="20"/>
          <w:color w:val="auto"/>
        </w:rPr>
      </w:pPr>
      <w:r>
        <w:rPr>
          <w:rFonts w:ascii="Arial" w:cs="Arial" w:eastAsia="Arial" w:hAnsi="Arial"/>
          <w:sz w:val="16"/>
          <w:szCs w:val="16"/>
          <w:color w:val="auto"/>
        </w:rPr>
        <w:t>“Amid this complex and dynamic market environment, we are managing capacity, output, and cost in a highly disciplined manner," said Bryan Hughes, the Company’s Senior Vice President and Chief Financial Officer. "We are focused on leveraging</w:t>
      </w: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w:t>
      </w:r>
    </w:p>
    <w:p>
      <w:pPr>
        <w:sectPr>
          <w:pgSz w:w="11900" w:h="16838" w:orient="portrait"/>
          <w:cols w:equalWidth="0" w:num="1">
            <w:col w:w="11240"/>
          </w:cols>
          <w:pgMar w:left="320" w:top="935" w:right="339" w:bottom="1440" w:gutter="0" w:footer="0" w:header="0"/>
        </w:sectPr>
      </w:pPr>
    </w:p>
    <w:bookmarkStart w:id="8" w:name="page9"/>
    <w:bookmarkEnd w:id="8"/>
    <w:p>
      <w:pPr>
        <w:ind w:right="80"/>
        <w:spacing w:after="0" w:line="383" w:lineRule="auto"/>
        <w:rPr>
          <w:sz w:val="20"/>
          <w:szCs w:val="20"/>
          <w:color w:val="auto"/>
        </w:rPr>
      </w:pPr>
      <w:r>
        <w:rPr>
          <w:rFonts w:ascii="Arial" w:cs="Arial" w:eastAsia="Arial" w:hAnsi="Arial"/>
          <w:sz w:val="16"/>
          <w:szCs w:val="16"/>
          <w:color w:val="auto"/>
        </w:rPr>
        <w:t>our strengths, optimizing our product mix, and maintaining operational flexibility to capitalize on opportunities that position our portfolio of premium brands to gain share as market conditions improve. We are committed to investing in our core competencies and enhancing the customer experience through new products and technologies, while maintaining a balanced approach to capital allocation that we believe will enable us to create value for our shareholders over the long term.”</w:t>
      </w:r>
    </w:p>
    <w:p>
      <w:pPr>
        <w:spacing w:after="0" w:line="33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Q4 FY 2024 Conference Call</w:t>
      </w:r>
    </w:p>
    <w:p>
      <w:pPr>
        <w:spacing w:after="0" w:line="100" w:lineRule="exact"/>
        <w:rPr>
          <w:sz w:val="20"/>
          <w:szCs w:val="20"/>
          <w:color w:val="auto"/>
        </w:rPr>
      </w:pPr>
    </w:p>
    <w:p>
      <w:pPr>
        <w:ind w:right="380"/>
        <w:spacing w:after="0" w:line="383" w:lineRule="auto"/>
        <w:rPr>
          <w:sz w:val="20"/>
          <w:szCs w:val="20"/>
          <w:color w:val="auto"/>
        </w:rPr>
      </w:pPr>
      <w:r>
        <w:rPr>
          <w:rFonts w:ascii="Arial" w:cs="Arial" w:eastAsia="Arial" w:hAnsi="Arial"/>
          <w:sz w:val="16"/>
          <w:szCs w:val="16"/>
          <w:color w:val="auto"/>
        </w:rPr>
        <w:t>Winnebago Industries, Inc. will discuss fourth quarter and full year Fiscal 2024 earnings results during a conference call scheduled for 9:00 a.m. Central Time today. Members of the news media, investors and the general public are invited to access a live broadcast of the conference call and view the accompanying presentation slides via the Investor Relations page of the Company's website at http://investor.wgo.net. The event will be archived and available for replay for the next 90 days.</w:t>
      </w:r>
    </w:p>
    <w:p>
      <w:pPr>
        <w:spacing w:after="0" w:line="203"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About Winnebago Industries</w:t>
      </w:r>
    </w:p>
    <w:p>
      <w:pPr>
        <w:spacing w:after="0" w:line="86" w:lineRule="exact"/>
        <w:rPr>
          <w:sz w:val="20"/>
          <w:szCs w:val="20"/>
          <w:color w:val="auto"/>
        </w:rPr>
      </w:pPr>
    </w:p>
    <w:p>
      <w:pPr>
        <w:spacing w:after="0" w:line="377" w:lineRule="auto"/>
        <w:rPr>
          <w:sz w:val="20"/>
          <w:szCs w:val="20"/>
          <w:color w:val="auto"/>
        </w:rPr>
      </w:pPr>
      <w:r>
        <w:rPr>
          <w:rFonts w:ascii="Arial" w:cs="Arial" w:eastAsia="Arial" w:hAnsi="Arial"/>
          <w:sz w:val="16"/>
          <w:szCs w:val="16"/>
          <w:color w:val="auto"/>
        </w:rPr>
        <w:t>Winnebago Industries, Inc. is a leading North American manufacturer of outdoor lifestyle products under the Winnebago, Grand Design, Chris-Craft, Newmar and Barletta brands, which are used primarily in leisure travel and outdoor recreation activities. The Company builds high-quality motorhomes, travel trailers, fifth-wheel products, outboard and sterndrive powerboats, pontoons, and commercial community outreach vehicles. Committed to advancing sustainable innovation and leveraging vertical integration in key component areas, Winnebago Industries has multiple facilities in Iowa, Indiana, Minnesota and Florida. The Company’s common stock is listed on the New York Stock Exchange and traded under the symbol WGO. For access to Winnebago Industries' investor relations material or to add your name to an automatic email list for Company news releases, visit http://investor.wgo.net.</w:t>
      </w:r>
    </w:p>
    <w:p>
      <w:pPr>
        <w:spacing w:after="0" w:line="210"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Forward-Looking Statements</w:t>
      </w:r>
    </w:p>
    <w:p>
      <w:pPr>
        <w:spacing w:after="0" w:line="100" w:lineRule="exact"/>
        <w:rPr>
          <w:sz w:val="20"/>
          <w:szCs w:val="20"/>
          <w:color w:val="auto"/>
        </w:rPr>
      </w:pPr>
    </w:p>
    <w:p>
      <w:pPr>
        <w:ind w:right="20"/>
        <w:spacing w:after="0" w:line="369" w:lineRule="auto"/>
        <w:rPr>
          <w:sz w:val="20"/>
          <w:szCs w:val="20"/>
          <w:color w:val="auto"/>
        </w:rPr>
      </w:pPr>
      <w:r>
        <w:rPr>
          <w:rFonts w:ascii="Arial" w:cs="Arial" w:eastAsia="Arial" w:hAnsi="Arial"/>
          <w:sz w:val="16"/>
          <w:szCs w:val="16"/>
          <w:color w:val="auto"/>
        </w:rPr>
        <w:t>This press release contains forward-looking statements within the meaning of the Private Securities Litigation Reform Act of 1995, including the business outlook and financial guidance for Fiscal 2025. Investors are cautioned that forward-looking statements are inherently uncertain. A number of factors could cause actual results to differ materially from these statements, including, but not limited to general economic uncertainty in key markets and a worsening of domestic and global economic conditions or low levels of economic growth; availability of financing for RV and marine dealers and retail purchasers; competition and new product introductions by competitors; ability to innovate and commercialize new products; ability to manage our inventory to meet demand; risk related to cyclicality and seasonality of our business; risk related to independent dealers; risk related to dealer consolidation or the loss of a significant dealer; significant increase in repurchase obligations; ability to retain relationships with our suppliers and obtain components; business or production disruptions; inadequate management of dealer inventory levels; increased material and component costs, including availability and price of fuel and other raw materials; ability to integrate mergers and acquisitions; ability to attract and retain qualified personnel and changes in market compensation rates; exposure to warranty claims and product recalls; ability to protect our information technology systems from data security, cyberattacks, and network disruption risks and the ability to successfully upgrade and evolve our information technology systems; ability to retain brand reputation and related exposure to product liability claims; governmental regulation, including for climate change; increased attention to environmental, social, and governance ("ESG") matters, and our ability to meet our commitments; impairment of goodwill and trade names; risks related to our 2025 Convertible Notes, 2030 Convertible Notes, and Senior Secured Notes, including our ability to satisfy our obligations under these notes; and changes in recommendations or a withdrawal of coverage by third party security analysts. Additional information concerning certain risks and uncertainties that could cause actual results to differ materially from that projected or suggested is contained in the Company's filings with the Securities and Exchange Commission ("SEC") over the last 12 months, copies of which are available from the SEC or from the Company upon request. The Company disclaims any obligation or undertaking to disseminate any updates or revisions to any</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w:t>
      </w:r>
    </w:p>
    <w:p>
      <w:pPr>
        <w:sectPr>
          <w:pgSz w:w="11900" w:h="16838" w:orient="portrait"/>
          <w:cols w:equalWidth="0" w:num="1">
            <w:col w:w="11240"/>
          </w:cols>
          <w:pgMar w:left="320" w:top="935" w:right="339" w:bottom="1440" w:gutter="0" w:footer="0" w:header="0"/>
        </w:sectPr>
      </w:pPr>
    </w:p>
    <w:bookmarkStart w:id="9" w:name="page10"/>
    <w:bookmarkEnd w:id="9"/>
    <w:p>
      <w:pPr>
        <w:spacing w:after="0" w:line="409" w:lineRule="auto"/>
        <w:rPr>
          <w:sz w:val="20"/>
          <w:szCs w:val="20"/>
          <w:color w:val="auto"/>
        </w:rPr>
      </w:pPr>
      <w:r>
        <w:rPr>
          <w:rFonts w:ascii="Arial" w:cs="Arial" w:eastAsia="Arial" w:hAnsi="Arial"/>
          <w:sz w:val="16"/>
          <w:szCs w:val="16"/>
          <w:color w:val="auto"/>
        </w:rPr>
        <w:t>forward-looking statements contained in this release or to reflect any changes in the Company's expectations after the date of this release or any change in events, conditions or circumstances on which any statement is based, except as required by law.</w:t>
      </w:r>
    </w:p>
    <w:p>
      <w:pPr>
        <w:spacing w:after="0" w:line="210"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Contacts</w:t>
      </w:r>
    </w:p>
    <w:p>
      <w:pPr>
        <w:spacing w:after="0" w:line="100" w:lineRule="exact"/>
        <w:rPr>
          <w:sz w:val="20"/>
          <w:szCs w:val="20"/>
          <w:color w:val="auto"/>
        </w:rPr>
      </w:pPr>
    </w:p>
    <w:p>
      <w:pPr>
        <w:spacing w:after="0"/>
        <w:rPr>
          <w:sz w:val="20"/>
          <w:szCs w:val="20"/>
          <w:color w:val="auto"/>
        </w:rPr>
      </w:pPr>
      <w:r>
        <w:rPr>
          <w:rFonts w:ascii="Arial" w:cs="Arial" w:eastAsia="Arial" w:hAnsi="Arial"/>
          <w:sz w:val="16"/>
          <w:szCs w:val="16"/>
          <w:color w:val="auto"/>
        </w:rPr>
        <w:t>Investors: Ray Posadas</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0000FF"/>
        </w:rPr>
        <w:t>ir@winnebagoind.com</w:t>
      </w:r>
    </w:p>
    <w:p>
      <w:pPr>
        <w:spacing w:after="0" w:line="329" w:lineRule="exact"/>
        <w:rPr>
          <w:sz w:val="20"/>
          <w:szCs w:val="20"/>
          <w:color w:val="auto"/>
        </w:rPr>
      </w:pPr>
    </w:p>
    <w:p>
      <w:pPr>
        <w:spacing w:after="0"/>
        <w:rPr>
          <w:sz w:val="20"/>
          <w:szCs w:val="20"/>
          <w:color w:val="auto"/>
        </w:rPr>
      </w:pPr>
      <w:r>
        <w:rPr>
          <w:rFonts w:ascii="Arial" w:cs="Arial" w:eastAsia="Arial" w:hAnsi="Arial"/>
          <w:sz w:val="16"/>
          <w:szCs w:val="16"/>
          <w:color w:val="auto"/>
        </w:rPr>
        <w:t>Media: Dan Sullivan</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0000FF"/>
        </w:rPr>
        <w:t>media@winnebagoind.com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7</w:t>
      </w:r>
    </w:p>
    <w:p>
      <w:pPr>
        <w:sectPr>
          <w:pgSz w:w="11900" w:h="16838" w:orient="portrait"/>
          <w:cols w:equalWidth="0" w:num="1">
            <w:col w:w="11100"/>
          </w:cols>
          <w:pgMar w:left="320" w:top="935" w:right="479" w:bottom="1440" w:gutter="0" w:footer="0" w:header="0"/>
        </w:sectPr>
      </w:pPr>
    </w:p>
    <w:bookmarkStart w:id="10" w:name="page11"/>
    <w:bookmarkEnd w:id="10"/>
    <w:p>
      <w:pPr>
        <w:ind w:left="4480"/>
        <w:spacing w:after="0"/>
        <w:rPr>
          <w:sz w:val="20"/>
          <w:szCs w:val="20"/>
          <w:color w:val="auto"/>
        </w:rPr>
      </w:pPr>
      <w:r>
        <w:rPr>
          <w:rFonts w:ascii="Arial" w:cs="Arial" w:eastAsia="Arial" w:hAnsi="Arial"/>
          <w:sz w:val="18"/>
          <w:szCs w:val="18"/>
          <w:b w:val="1"/>
          <w:bCs w:val="1"/>
          <w:color w:val="auto"/>
        </w:rPr>
        <w:t>Winnebago Industries, Inc.</w:t>
      </w:r>
    </w:p>
    <w:p>
      <w:pPr>
        <w:spacing w:after="0" w:line="27" w:lineRule="exact"/>
        <w:rPr>
          <w:sz w:val="20"/>
          <w:szCs w:val="20"/>
          <w:color w:val="auto"/>
        </w:rPr>
      </w:pPr>
    </w:p>
    <w:p>
      <w:pPr>
        <w:ind w:left="4460"/>
        <w:spacing w:after="0"/>
        <w:rPr>
          <w:sz w:val="20"/>
          <w:szCs w:val="20"/>
          <w:color w:val="auto"/>
        </w:rPr>
      </w:pPr>
      <w:r>
        <w:rPr>
          <w:rFonts w:ascii="Arial" w:cs="Arial" w:eastAsia="Arial" w:hAnsi="Arial"/>
          <w:sz w:val="18"/>
          <w:szCs w:val="18"/>
          <w:b w:val="1"/>
          <w:bCs w:val="1"/>
          <w:color w:val="auto"/>
        </w:rPr>
        <w:t>Footnotes to News Release</w:t>
      </w:r>
    </w:p>
    <w:p>
      <w:pPr>
        <w:spacing w:after="0" w:line="239" w:lineRule="exact"/>
        <w:rPr>
          <w:sz w:val="20"/>
          <w:szCs w:val="20"/>
          <w:color w:val="auto"/>
        </w:rPr>
      </w:pPr>
    </w:p>
    <w:p>
      <w:pPr>
        <w:spacing w:after="0"/>
        <w:rPr>
          <w:sz w:val="20"/>
          <w:szCs w:val="20"/>
          <w:color w:val="auto"/>
        </w:rPr>
      </w:pPr>
      <w:r>
        <w:rPr>
          <w:rFonts w:ascii="Arial" w:cs="Arial" w:eastAsia="Arial" w:hAnsi="Arial"/>
          <w:sz w:val="16"/>
          <w:szCs w:val="16"/>
          <w:color w:val="auto"/>
        </w:rPr>
        <w:t>Footnotes:</w:t>
      </w:r>
    </w:p>
    <w:p>
      <w:pPr>
        <w:spacing w:after="0" w:line="302" w:lineRule="exact"/>
        <w:rPr>
          <w:sz w:val="20"/>
          <w:szCs w:val="20"/>
          <w:color w:val="auto"/>
        </w:rPr>
      </w:pPr>
    </w:p>
    <w:p>
      <w:pPr>
        <w:ind w:left="260" w:hanging="252"/>
        <w:spacing w:after="0" w:line="275" w:lineRule="auto"/>
        <w:tabs>
          <w:tab w:leader="none" w:pos="261" w:val="left"/>
        </w:tabs>
        <w:numPr>
          <w:ilvl w:val="0"/>
          <w:numId w:val="10"/>
        </w:numPr>
        <w:rPr>
          <w:rFonts w:ascii="Arial" w:cs="Arial" w:eastAsia="Arial" w:hAnsi="Arial"/>
          <w:sz w:val="9"/>
          <w:szCs w:val="9"/>
          <w:color w:val="auto"/>
        </w:rPr>
      </w:pPr>
      <w:r>
        <w:rPr>
          <w:rFonts w:ascii="Arial" w:cs="Arial" w:eastAsia="Arial" w:hAnsi="Arial"/>
          <w:sz w:val="16"/>
          <w:szCs w:val="16"/>
          <w:color w:val="auto"/>
        </w:rPr>
        <w:t>Beginning in the fourth quarter of Fiscal 2024, the Company updated its definition of Adjusted EPS to no longer adjust for the impact of a call spread overlay that was put in place upon the issuance of convertible notes, and which economically offsets dilution risk. Prior period amounts have been revised to conform to current year presentation.</w:t>
      </w:r>
    </w:p>
    <w:p>
      <w:pPr>
        <w:ind w:left="260" w:hanging="252"/>
        <w:spacing w:after="0"/>
        <w:tabs>
          <w:tab w:leader="none" w:pos="260" w:val="left"/>
        </w:tabs>
        <w:numPr>
          <w:ilvl w:val="0"/>
          <w:numId w:val="10"/>
        </w:numPr>
        <w:rPr>
          <w:rFonts w:ascii="Arial" w:cs="Arial" w:eastAsia="Arial" w:hAnsi="Arial"/>
          <w:sz w:val="21"/>
          <w:szCs w:val="21"/>
          <w:color w:val="auto"/>
          <w:vertAlign w:val="superscript"/>
        </w:rPr>
      </w:pPr>
      <w:r>
        <w:rPr>
          <w:rFonts w:ascii="Arial" w:cs="Arial" w:eastAsia="Arial" w:hAnsi="Arial"/>
          <w:sz w:val="16"/>
          <w:szCs w:val="16"/>
          <w:color w:val="auto"/>
        </w:rPr>
        <w:t>Fiscal 2025 adjusted EPS guidance excludes the pretax impact of intangible amortization of approximately $22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399"/>
        <w:spacing w:after="0"/>
        <w:rPr>
          <w:sz w:val="20"/>
          <w:szCs w:val="20"/>
          <w:color w:val="auto"/>
        </w:rPr>
      </w:pPr>
      <w:r>
        <w:rPr>
          <w:rFonts w:ascii="Arial" w:cs="Arial" w:eastAsia="Arial" w:hAnsi="Arial"/>
          <w:sz w:val="16"/>
          <w:szCs w:val="16"/>
          <w:color w:val="auto"/>
        </w:rPr>
        <w:t>8</w:t>
      </w:r>
    </w:p>
    <w:p>
      <w:pPr>
        <w:sectPr>
          <w:pgSz w:w="11900" w:h="16838" w:orient="portrait"/>
          <w:cols w:equalWidth="0" w:num="1">
            <w:col w:w="10840"/>
          </w:cols>
          <w:pgMar w:left="320" w:top="890" w:right="739" w:bottom="1440" w:gutter="0" w:footer="0" w:header="0"/>
        </w:sectPr>
      </w:pPr>
    </w:p>
    <w:bookmarkStart w:id="11" w:name="page12"/>
    <w:bookmarkEnd w:id="11"/>
    <w:p>
      <w:pPr>
        <w:jc w:val="center"/>
        <w:ind w:right="-59"/>
        <w:spacing w:after="0"/>
        <w:rPr>
          <w:sz w:val="20"/>
          <w:szCs w:val="20"/>
          <w:color w:val="auto"/>
        </w:rPr>
      </w:pPr>
      <w:r>
        <w:rPr>
          <w:rFonts w:ascii="Arial" w:cs="Arial" w:eastAsia="Arial" w:hAnsi="Arial"/>
          <w:sz w:val="18"/>
          <w:szCs w:val="18"/>
          <w:b w:val="1"/>
          <w:bCs w:val="1"/>
          <w:color w:val="auto"/>
        </w:rPr>
        <w:t>Winnebago Industries, Inc.</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Condensed Consolidated Statements of Income</w:t>
      </w:r>
    </w:p>
    <w:p>
      <w:pPr>
        <w:spacing w:after="0" w:line="12" w:lineRule="exact"/>
        <w:rPr>
          <w:sz w:val="20"/>
          <w:szCs w:val="20"/>
          <w:color w:val="auto"/>
        </w:rPr>
      </w:pPr>
    </w:p>
    <w:p>
      <w:pPr>
        <w:jc w:val="center"/>
        <w:ind w:right="-59"/>
        <w:spacing w:after="0"/>
        <w:rPr>
          <w:sz w:val="20"/>
          <w:szCs w:val="20"/>
          <w:color w:val="auto"/>
        </w:rPr>
      </w:pPr>
      <w:r>
        <w:rPr>
          <w:rFonts w:ascii="Arial" w:cs="Arial" w:eastAsia="Arial" w:hAnsi="Arial"/>
          <w:sz w:val="16"/>
          <w:szCs w:val="16"/>
          <w:b w:val="1"/>
          <w:bCs w:val="1"/>
          <w:color w:val="auto"/>
        </w:rPr>
        <w:t>(Unaudited and subject to reclassification)</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4580" w:type="dxa"/>
            <w:vAlign w:val="bottom"/>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1860" w:type="dxa"/>
            <w:vAlign w:val="bottom"/>
            <w:tcBorders>
              <w:bottom w:val="single" w:sz="8" w:color="auto"/>
            </w:tcBorders>
            <w:gridSpan w:val="3"/>
          </w:tcPr>
          <w:p>
            <w:pPr>
              <w:jc w:val="right"/>
              <w:ind w:right="39"/>
              <w:spacing w:after="0"/>
              <w:rPr>
                <w:sz w:val="20"/>
                <w:szCs w:val="20"/>
                <w:color w:val="auto"/>
              </w:rPr>
            </w:pPr>
            <w:r>
              <w:rPr>
                <w:rFonts w:ascii="Arial" w:cs="Arial" w:eastAsia="Arial" w:hAnsi="Arial"/>
                <w:sz w:val="16"/>
                <w:szCs w:val="16"/>
                <w:b w:val="1"/>
                <w:bCs w:val="1"/>
                <w:color w:val="auto"/>
              </w:rPr>
              <w:t>Three Months Ended</w:t>
            </w:r>
          </w:p>
        </w:tc>
        <w:tc>
          <w:tcPr>
            <w:tcW w:w="6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r>
      <w:tr>
        <w:trPr>
          <w:trHeight w:val="210"/>
        </w:trPr>
        <w:tc>
          <w:tcPr>
            <w:tcW w:w="45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(in millions, except percent and per share data)</w:t>
            </w:r>
          </w:p>
        </w:tc>
        <w:tc>
          <w:tcPr>
            <w:tcW w:w="56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gridSpan w:val="3"/>
          </w:tcPr>
          <w:p>
            <w:pPr>
              <w:ind w:left="440"/>
              <w:spacing w:after="0"/>
              <w:rPr>
                <w:sz w:val="20"/>
                <w:szCs w:val="20"/>
                <w:color w:val="auto"/>
              </w:rPr>
            </w:pPr>
            <w:r>
              <w:rPr>
                <w:rFonts w:ascii="Arial" w:cs="Arial" w:eastAsia="Arial" w:hAnsi="Arial"/>
                <w:sz w:val="16"/>
                <w:szCs w:val="16"/>
                <w:b w:val="1"/>
                <w:bCs w:val="1"/>
                <w:color w:val="auto"/>
              </w:rPr>
              <w:t>August 31, 2024</w:t>
            </w:r>
          </w:p>
        </w:tc>
        <w:tc>
          <w:tcPr>
            <w:tcW w:w="88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gridSpan w:val="3"/>
          </w:tcPr>
          <w:p>
            <w:pPr>
              <w:ind w:left="140"/>
              <w:spacing w:after="0"/>
              <w:rPr>
                <w:sz w:val="20"/>
                <w:szCs w:val="20"/>
                <w:color w:val="auto"/>
              </w:rPr>
            </w:pPr>
            <w:r>
              <w:rPr>
                <w:rFonts w:ascii="Arial" w:cs="Arial" w:eastAsia="Arial" w:hAnsi="Arial"/>
                <w:sz w:val="16"/>
                <w:szCs w:val="16"/>
                <w:b w:val="1"/>
                <w:bCs w:val="1"/>
                <w:color w:val="auto"/>
              </w:rPr>
              <w:t>August 26, 2023</w:t>
            </w:r>
          </w:p>
        </w:tc>
        <w:tc>
          <w:tcPr>
            <w:tcW w:w="820" w:type="dxa"/>
            <w:vAlign w:val="bottom"/>
            <w:tcBorders>
              <w:bottom w:val="single" w:sz="8" w:color="auto"/>
            </w:tcBorders>
          </w:tcPr>
          <w:p>
            <w:pPr>
              <w:spacing w:after="0"/>
              <w:rPr>
                <w:sz w:val="18"/>
                <w:szCs w:val="18"/>
                <w:color w:val="auto"/>
              </w:rPr>
            </w:pPr>
          </w:p>
        </w:tc>
      </w:tr>
      <w:tr>
        <w:trPr>
          <w:trHeight w:val="209"/>
        </w:trPr>
        <w:tc>
          <w:tcPr>
            <w:tcW w:w="4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revenues</w:t>
            </w:r>
          </w:p>
        </w:tc>
        <w:tc>
          <w:tcPr>
            <w:tcW w:w="56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720.9</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100.0 %</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679"/>
              <w:spacing w:after="0"/>
              <w:rPr>
                <w:sz w:val="20"/>
                <w:szCs w:val="20"/>
                <w:color w:val="auto"/>
              </w:rPr>
            </w:pPr>
            <w:r>
              <w:rPr>
                <w:rFonts w:ascii="Arial" w:cs="Arial" w:eastAsia="Arial" w:hAnsi="Arial"/>
                <w:sz w:val="16"/>
                <w:szCs w:val="16"/>
                <w:color w:val="auto"/>
                <w:w w:val="8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771.0</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100.0 %</w:t>
            </w:r>
          </w:p>
        </w:tc>
      </w:tr>
      <w:tr>
        <w:trPr>
          <w:trHeight w:val="215"/>
        </w:trPr>
        <w:tc>
          <w:tcPr>
            <w:tcW w:w="45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Cost of goods sold</w:t>
            </w:r>
          </w:p>
        </w:tc>
        <w:tc>
          <w:tcPr>
            <w:tcW w:w="5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626.7</w:t>
            </w:r>
          </w:p>
        </w:tc>
        <w:tc>
          <w:tcPr>
            <w:tcW w:w="100" w:type="dxa"/>
            <w:vAlign w:val="bottom"/>
            <w:tcBorders>
              <w:bottom w:val="single" w:sz="8" w:color="CCEEFF"/>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86.9 %</w:t>
            </w:r>
          </w:p>
        </w:tc>
        <w:tc>
          <w:tcPr>
            <w:tcW w:w="120" w:type="dxa"/>
            <w:vAlign w:val="bottom"/>
            <w:tcBorders>
              <w:bottom w:val="single" w:sz="8" w:color="CCEEFF"/>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643.5</w:t>
            </w:r>
          </w:p>
        </w:tc>
        <w:tc>
          <w:tcPr>
            <w:tcW w:w="120" w:type="dxa"/>
            <w:vAlign w:val="bottom"/>
            <w:tcBorders>
              <w:bottom w:val="single" w:sz="8" w:color="CCEEFF"/>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83.5 %</w:t>
            </w:r>
          </w:p>
        </w:tc>
      </w:tr>
      <w:tr>
        <w:trPr>
          <w:trHeight w:val="210"/>
        </w:trPr>
        <w:tc>
          <w:tcPr>
            <w:tcW w:w="4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Gross profit</w:t>
            </w:r>
          </w:p>
        </w:tc>
        <w:tc>
          <w:tcPr>
            <w:tcW w:w="5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94.2</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13.1 %</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127.5</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16.5 %</w:t>
            </w:r>
          </w:p>
        </w:tc>
      </w:tr>
      <w:tr>
        <w:trPr>
          <w:trHeight w:val="215"/>
        </w:trPr>
        <w:tc>
          <w:tcPr>
            <w:tcW w:w="4580" w:type="dxa"/>
            <w:vAlign w:val="bottom"/>
          </w:tcPr>
          <w:p>
            <w:pPr>
              <w:ind w:left="20"/>
              <w:spacing w:after="0"/>
              <w:rPr>
                <w:sz w:val="20"/>
                <w:szCs w:val="20"/>
                <w:color w:val="auto"/>
              </w:rPr>
            </w:pPr>
            <w:r>
              <w:rPr>
                <w:rFonts w:ascii="Arial" w:cs="Arial" w:eastAsia="Arial" w:hAnsi="Arial"/>
                <w:sz w:val="16"/>
                <w:szCs w:val="16"/>
                <w:color w:val="auto"/>
              </w:rPr>
              <w:t>Selling, general, and administrative expenses</w:t>
            </w:r>
          </w:p>
        </w:tc>
        <w:tc>
          <w:tcPr>
            <w:tcW w:w="5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75.6</w:t>
            </w: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10.5 %</w:t>
            </w: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64.3</w:t>
            </w: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8.3 %</w:t>
            </w:r>
          </w:p>
        </w:tc>
      </w:tr>
      <w:tr>
        <w:trPr>
          <w:trHeight w:val="217"/>
        </w:trPr>
        <w:tc>
          <w:tcPr>
            <w:tcW w:w="4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Amortization</w:t>
            </w:r>
          </w:p>
        </w:tc>
        <w:tc>
          <w:tcPr>
            <w:tcW w:w="5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0.8 %</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0.7 %</w:t>
            </w:r>
          </w:p>
        </w:tc>
      </w:tr>
      <w:tr>
        <w:trPr>
          <w:trHeight w:val="215"/>
        </w:trPr>
        <w:tc>
          <w:tcPr>
            <w:tcW w:w="4580" w:type="dxa"/>
            <w:vAlign w:val="bottom"/>
          </w:tcPr>
          <w:p>
            <w:pPr>
              <w:ind w:left="20"/>
              <w:spacing w:after="0"/>
              <w:rPr>
                <w:sz w:val="20"/>
                <w:szCs w:val="20"/>
                <w:color w:val="auto"/>
              </w:rPr>
            </w:pPr>
            <w:r>
              <w:rPr>
                <w:rFonts w:ascii="Arial" w:cs="Arial" w:eastAsia="Arial" w:hAnsi="Arial"/>
                <w:sz w:val="16"/>
                <w:szCs w:val="16"/>
                <w:color w:val="auto"/>
              </w:rPr>
              <w:t>Goodwill impairment</w:t>
            </w:r>
          </w:p>
        </w:tc>
        <w:tc>
          <w:tcPr>
            <w:tcW w:w="5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30.3</w:t>
            </w: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4.2 %</w:t>
            </w: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560" w:type="dxa"/>
            <w:vAlign w:val="bottom"/>
            <w:gridSpan w:val="3"/>
          </w:tcPr>
          <w:p>
            <w:pPr>
              <w:jc w:val="right"/>
              <w:ind w:right="980"/>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 %</w:t>
            </w:r>
          </w:p>
        </w:tc>
      </w:tr>
      <w:tr>
        <w:trPr>
          <w:trHeight w:val="210"/>
        </w:trPr>
        <w:tc>
          <w:tcPr>
            <w:tcW w:w="45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operating expenses</w:t>
            </w:r>
          </w:p>
        </w:tc>
        <w:tc>
          <w:tcPr>
            <w:tcW w:w="56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112.0</w:t>
            </w:r>
          </w:p>
        </w:tc>
        <w:tc>
          <w:tcPr>
            <w:tcW w:w="10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15.6 %</w:t>
            </w:r>
          </w:p>
        </w:tc>
        <w:tc>
          <w:tcPr>
            <w:tcW w:w="12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70.0</w:t>
            </w:r>
          </w:p>
        </w:tc>
        <w:tc>
          <w:tcPr>
            <w:tcW w:w="12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9.1 %</w:t>
            </w:r>
          </w:p>
        </w:tc>
      </w:tr>
      <w:tr>
        <w:trPr>
          <w:trHeight w:val="209"/>
        </w:trPr>
        <w:tc>
          <w:tcPr>
            <w:tcW w:w="4580" w:type="dxa"/>
            <w:vAlign w:val="bottom"/>
          </w:tcPr>
          <w:p>
            <w:pPr>
              <w:ind w:left="20"/>
              <w:spacing w:after="0"/>
              <w:rPr>
                <w:sz w:val="20"/>
                <w:szCs w:val="20"/>
                <w:color w:val="auto"/>
              </w:rPr>
            </w:pPr>
            <w:r>
              <w:rPr>
                <w:rFonts w:ascii="Arial" w:cs="Arial" w:eastAsia="Arial" w:hAnsi="Arial"/>
                <w:sz w:val="16"/>
                <w:szCs w:val="16"/>
                <w:color w:val="auto"/>
              </w:rPr>
              <w:t>Operating (loss) income</w:t>
            </w:r>
          </w:p>
        </w:tc>
        <w:tc>
          <w:tcPr>
            <w:tcW w:w="5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(17.8)</w:t>
            </w: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(2.5)%</w:t>
            </w: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57.5</w:t>
            </w: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7.5 %</w:t>
            </w:r>
          </w:p>
        </w:tc>
      </w:tr>
      <w:tr>
        <w:trPr>
          <w:trHeight w:val="217"/>
        </w:trPr>
        <w:tc>
          <w:tcPr>
            <w:tcW w:w="4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 expense, net</w:t>
            </w:r>
          </w:p>
        </w:tc>
        <w:tc>
          <w:tcPr>
            <w:tcW w:w="5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0.8 %</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0.5 %</w:t>
            </w:r>
          </w:p>
        </w:tc>
      </w:tr>
      <w:tr>
        <w:trPr>
          <w:trHeight w:val="215"/>
        </w:trPr>
        <w:tc>
          <w:tcPr>
            <w:tcW w:w="45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Non-operating loss (income)</w:t>
            </w:r>
          </w:p>
        </w:tc>
        <w:tc>
          <w:tcPr>
            <w:tcW w:w="5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w:t>
            </w:r>
          </w:p>
        </w:tc>
        <w:tc>
          <w:tcPr>
            <w:tcW w:w="100" w:type="dxa"/>
            <w:vAlign w:val="bottom"/>
            <w:tcBorders>
              <w:bottom w:val="single" w:sz="8" w:color="CCEEFF"/>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0.3 %</w:t>
            </w:r>
          </w:p>
        </w:tc>
        <w:tc>
          <w:tcPr>
            <w:tcW w:w="120" w:type="dxa"/>
            <w:vAlign w:val="bottom"/>
            <w:tcBorders>
              <w:bottom w:val="single" w:sz="8" w:color="CCEEFF"/>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w:t>
            </w:r>
          </w:p>
        </w:tc>
        <w:tc>
          <w:tcPr>
            <w:tcW w:w="120" w:type="dxa"/>
            <w:vAlign w:val="bottom"/>
            <w:tcBorders>
              <w:bottom w:val="single" w:sz="8" w:color="CCEEFF"/>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(0.2)%</w:t>
            </w:r>
          </w:p>
        </w:tc>
      </w:tr>
      <w:tr>
        <w:trPr>
          <w:trHeight w:val="210"/>
        </w:trPr>
        <w:tc>
          <w:tcPr>
            <w:tcW w:w="4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(Loss) income before income taxes</w:t>
            </w:r>
          </w:p>
        </w:tc>
        <w:tc>
          <w:tcPr>
            <w:tcW w:w="5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(25.9)</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54.7</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7.1 %</w:t>
            </w:r>
          </w:p>
        </w:tc>
      </w:tr>
      <w:tr>
        <w:trPr>
          <w:trHeight w:val="215"/>
        </w:trPr>
        <w:tc>
          <w:tcPr>
            <w:tcW w:w="45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Provision for income taxes</w:t>
            </w:r>
          </w:p>
        </w:tc>
        <w:tc>
          <w:tcPr>
            <w:tcW w:w="5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w:t>
            </w:r>
          </w:p>
        </w:tc>
        <w:tc>
          <w:tcPr>
            <w:tcW w:w="100" w:type="dxa"/>
            <w:vAlign w:val="bottom"/>
            <w:tcBorders>
              <w:bottom w:val="single" w:sz="8" w:color="CCEEFF"/>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0.4 %</w:t>
            </w:r>
          </w:p>
        </w:tc>
        <w:tc>
          <w:tcPr>
            <w:tcW w:w="120" w:type="dxa"/>
            <w:vAlign w:val="bottom"/>
            <w:tcBorders>
              <w:bottom w:val="single" w:sz="8" w:color="CCEEFF"/>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10.9</w:t>
            </w:r>
          </w:p>
        </w:tc>
        <w:tc>
          <w:tcPr>
            <w:tcW w:w="120" w:type="dxa"/>
            <w:vAlign w:val="bottom"/>
            <w:tcBorders>
              <w:bottom w:val="single" w:sz="8" w:color="CCEEFF"/>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1.4 %</w:t>
            </w:r>
          </w:p>
        </w:tc>
      </w:tr>
      <w:tr>
        <w:trPr>
          <w:trHeight w:val="235"/>
        </w:trPr>
        <w:tc>
          <w:tcPr>
            <w:tcW w:w="4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(loss) income</w:t>
            </w:r>
          </w:p>
        </w:tc>
        <w:tc>
          <w:tcPr>
            <w:tcW w:w="560" w:type="dxa"/>
            <w:vAlign w:val="bottom"/>
            <w:tcBorders>
              <w:bottom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(29.1)</w:t>
            </w:r>
          </w:p>
        </w:tc>
        <w:tc>
          <w:tcPr>
            <w:tcW w:w="10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w:t>
            </w:r>
          </w:p>
        </w:tc>
        <w:tc>
          <w:tcPr>
            <w:tcW w:w="12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ind w:right="679"/>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43.8</w:t>
            </w:r>
          </w:p>
        </w:tc>
        <w:tc>
          <w:tcPr>
            <w:tcW w:w="1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5.7 %</w:t>
            </w:r>
          </w:p>
        </w:tc>
      </w:tr>
      <w:tr>
        <w:trPr>
          <w:trHeight w:val="20"/>
        </w:trPr>
        <w:tc>
          <w:tcPr>
            <w:tcW w:w="458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4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216"/>
        </w:trPr>
        <w:tc>
          <w:tcPr>
            <w:tcW w:w="4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(Loss) earnings per common share:</w:t>
            </w:r>
          </w:p>
        </w:tc>
        <w:tc>
          <w:tcPr>
            <w:tcW w:w="5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r>
      <w:tr>
        <w:trPr>
          <w:trHeight w:val="215"/>
        </w:trPr>
        <w:tc>
          <w:tcPr>
            <w:tcW w:w="4580" w:type="dxa"/>
            <w:vAlign w:val="bottom"/>
          </w:tcPr>
          <w:p>
            <w:pPr>
              <w:ind w:left="220"/>
              <w:spacing w:after="0"/>
              <w:rPr>
                <w:sz w:val="20"/>
                <w:szCs w:val="20"/>
                <w:color w:val="auto"/>
              </w:rPr>
            </w:pPr>
            <w:r>
              <w:rPr>
                <w:rFonts w:ascii="Arial" w:cs="Arial" w:eastAsia="Arial" w:hAnsi="Arial"/>
                <w:sz w:val="16"/>
                <w:szCs w:val="16"/>
                <w:color w:val="auto"/>
              </w:rPr>
              <w:t>Basic</w:t>
            </w:r>
          </w:p>
        </w:tc>
        <w:tc>
          <w:tcPr>
            <w:tcW w:w="560" w:type="dxa"/>
            <w:vAlign w:val="bottom"/>
          </w:tcPr>
          <w:p>
            <w:pPr>
              <w:jc w:val="right"/>
              <w:ind w:right="359"/>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(1.01)</w:t>
            </w: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ind w:right="679"/>
              <w:spacing w:after="0"/>
              <w:rPr>
                <w:sz w:val="20"/>
                <w:szCs w:val="20"/>
                <w:color w:val="auto"/>
              </w:rPr>
            </w:pPr>
            <w:r>
              <w:rPr>
                <w:rFonts w:ascii="Arial" w:cs="Arial" w:eastAsia="Arial" w:hAnsi="Arial"/>
                <w:sz w:val="16"/>
                <w:szCs w:val="16"/>
                <w:color w:val="auto"/>
                <w:w w:val="89"/>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1.46</w:t>
            </w: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17"/>
        </w:trPr>
        <w:tc>
          <w:tcPr>
            <w:tcW w:w="45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Diluted</w:t>
            </w:r>
          </w:p>
        </w:tc>
        <w:tc>
          <w:tcPr>
            <w:tcW w:w="56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679"/>
              <w:spacing w:after="0"/>
              <w:rPr>
                <w:sz w:val="20"/>
                <w:szCs w:val="20"/>
                <w:color w:val="auto"/>
              </w:rPr>
            </w:pPr>
            <w:r>
              <w:rPr>
                <w:rFonts w:ascii="Arial" w:cs="Arial" w:eastAsia="Arial" w:hAnsi="Arial"/>
                <w:sz w:val="16"/>
                <w:szCs w:val="16"/>
                <w:color w:val="auto"/>
                <w:w w:val="8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1.28</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r>
      <w:tr>
        <w:trPr>
          <w:trHeight w:val="215"/>
        </w:trPr>
        <w:tc>
          <w:tcPr>
            <w:tcW w:w="4580" w:type="dxa"/>
            <w:vAlign w:val="bottom"/>
          </w:tcPr>
          <w:p>
            <w:pPr>
              <w:ind w:left="20"/>
              <w:spacing w:after="0"/>
              <w:rPr>
                <w:sz w:val="20"/>
                <w:szCs w:val="20"/>
                <w:color w:val="auto"/>
              </w:rPr>
            </w:pPr>
            <w:r>
              <w:rPr>
                <w:rFonts w:ascii="Arial" w:cs="Arial" w:eastAsia="Arial" w:hAnsi="Arial"/>
                <w:sz w:val="16"/>
                <w:szCs w:val="16"/>
                <w:color w:val="auto"/>
              </w:rPr>
              <w:t>Weighted average common shares outstanding:</w:t>
            </w:r>
          </w:p>
        </w:tc>
        <w:tc>
          <w:tcPr>
            <w:tcW w:w="5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17"/>
        </w:trPr>
        <w:tc>
          <w:tcPr>
            <w:tcW w:w="45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Basic</w:t>
            </w:r>
          </w:p>
        </w:tc>
        <w:tc>
          <w:tcPr>
            <w:tcW w:w="5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28.8</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30.0</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r>
      <w:tr>
        <w:trPr>
          <w:trHeight w:val="215"/>
        </w:trPr>
        <w:tc>
          <w:tcPr>
            <w:tcW w:w="4580" w:type="dxa"/>
            <w:vAlign w:val="bottom"/>
          </w:tcPr>
          <w:p>
            <w:pPr>
              <w:ind w:left="220"/>
              <w:spacing w:after="0"/>
              <w:rPr>
                <w:sz w:val="20"/>
                <w:szCs w:val="20"/>
                <w:color w:val="auto"/>
              </w:rPr>
            </w:pPr>
            <w:r>
              <w:rPr>
                <w:rFonts w:ascii="Arial" w:cs="Arial" w:eastAsia="Arial" w:hAnsi="Arial"/>
                <w:sz w:val="16"/>
                <w:szCs w:val="16"/>
                <w:color w:val="auto"/>
              </w:rPr>
              <w:t>Diluted</w:t>
            </w:r>
          </w:p>
        </w:tc>
        <w:tc>
          <w:tcPr>
            <w:tcW w:w="5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28.8</w:t>
            </w: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35.1</w:t>
            </w: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20" w:type="dxa"/>
            <w:vAlign w:val="bottom"/>
          </w:tcPr>
          <w:p>
            <w:pPr>
              <w:spacing w:after="0"/>
              <w:rPr>
                <w:sz w:val="18"/>
                <w:szCs w:val="18"/>
                <w:color w:val="auto"/>
              </w:rPr>
            </w:pPr>
          </w:p>
        </w:tc>
      </w:tr>
    </w:tbl>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458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gridSpan w:val="3"/>
          </w:tcPr>
          <w:p>
            <w:pPr>
              <w:jc w:val="right"/>
              <w:ind w:right="179"/>
              <w:spacing w:after="0"/>
              <w:rPr>
                <w:sz w:val="20"/>
                <w:szCs w:val="20"/>
                <w:color w:val="auto"/>
              </w:rPr>
            </w:pPr>
            <w:r>
              <w:rPr>
                <w:rFonts w:ascii="Arial" w:cs="Arial" w:eastAsia="Arial" w:hAnsi="Arial"/>
                <w:sz w:val="16"/>
                <w:szCs w:val="16"/>
                <w:b w:val="1"/>
                <w:bCs w:val="1"/>
                <w:color w:val="auto"/>
              </w:rPr>
              <w:t>Year Ended</w:t>
            </w:r>
          </w:p>
        </w:tc>
        <w:tc>
          <w:tcPr>
            <w:tcW w:w="8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r>
      <w:tr>
        <w:trPr>
          <w:trHeight w:val="209"/>
        </w:trPr>
        <w:tc>
          <w:tcPr>
            <w:tcW w:w="45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(in millions, except percent and per share data)</w:t>
            </w:r>
          </w:p>
        </w:tc>
        <w:tc>
          <w:tcPr>
            <w:tcW w:w="500" w:type="dxa"/>
            <w:vAlign w:val="bottom"/>
            <w:tcBorders>
              <w:bottom w:val="single" w:sz="8" w:color="auto"/>
            </w:tcBorders>
          </w:tcPr>
          <w:p>
            <w:pPr>
              <w:spacing w:after="0"/>
              <w:rPr>
                <w:sz w:val="18"/>
                <w:szCs w:val="18"/>
                <w:color w:val="auto"/>
              </w:rPr>
            </w:pPr>
          </w:p>
        </w:tc>
        <w:tc>
          <w:tcPr>
            <w:tcW w:w="1940" w:type="dxa"/>
            <w:vAlign w:val="bottom"/>
            <w:tcBorders>
              <w:bottom w:val="single" w:sz="8" w:color="auto"/>
            </w:tcBorders>
            <w:gridSpan w:val="3"/>
          </w:tcPr>
          <w:p>
            <w:pPr>
              <w:ind w:left="500"/>
              <w:spacing w:after="0"/>
              <w:rPr>
                <w:sz w:val="20"/>
                <w:szCs w:val="20"/>
                <w:color w:val="auto"/>
              </w:rPr>
            </w:pPr>
            <w:r>
              <w:rPr>
                <w:rFonts w:ascii="Arial" w:cs="Arial" w:eastAsia="Arial" w:hAnsi="Arial"/>
                <w:sz w:val="16"/>
                <w:szCs w:val="16"/>
                <w:b w:val="1"/>
                <w:bCs w:val="1"/>
                <w:color w:val="auto"/>
              </w:rPr>
              <w:t>August 31, 2024</w:t>
            </w:r>
          </w:p>
        </w:tc>
        <w:tc>
          <w:tcPr>
            <w:tcW w:w="80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gridSpan w:val="3"/>
          </w:tcPr>
          <w:p>
            <w:pPr>
              <w:ind w:left="360"/>
              <w:spacing w:after="0"/>
              <w:rPr>
                <w:sz w:val="20"/>
                <w:szCs w:val="20"/>
                <w:color w:val="auto"/>
              </w:rPr>
            </w:pPr>
            <w:r>
              <w:rPr>
                <w:rFonts w:ascii="Arial" w:cs="Arial" w:eastAsia="Arial" w:hAnsi="Arial"/>
                <w:sz w:val="16"/>
                <w:szCs w:val="16"/>
                <w:b w:val="1"/>
                <w:bCs w:val="1"/>
                <w:color w:val="auto"/>
              </w:rPr>
              <w:t>August 26, 2023</w:t>
            </w:r>
          </w:p>
        </w:tc>
        <w:tc>
          <w:tcPr>
            <w:tcW w:w="820" w:type="dxa"/>
            <w:vAlign w:val="bottom"/>
            <w:tcBorders>
              <w:bottom w:val="single" w:sz="8" w:color="auto"/>
            </w:tcBorders>
          </w:tcPr>
          <w:p>
            <w:pPr>
              <w:spacing w:after="0"/>
              <w:rPr>
                <w:sz w:val="18"/>
                <w:szCs w:val="18"/>
                <w:color w:val="auto"/>
              </w:rPr>
            </w:pPr>
          </w:p>
        </w:tc>
      </w:tr>
      <w:tr>
        <w:trPr>
          <w:trHeight w:val="210"/>
        </w:trPr>
        <w:tc>
          <w:tcPr>
            <w:tcW w:w="4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revenues</w:t>
            </w:r>
          </w:p>
        </w:tc>
        <w:tc>
          <w:tcPr>
            <w:tcW w:w="50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2,973.5</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100.0 %</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459"/>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3,490.7</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100.0 %</w:t>
            </w:r>
          </w:p>
        </w:tc>
      </w:tr>
      <w:tr>
        <w:trPr>
          <w:trHeight w:val="215"/>
        </w:trPr>
        <w:tc>
          <w:tcPr>
            <w:tcW w:w="45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Cost of goods sold</w:t>
            </w:r>
          </w:p>
        </w:tc>
        <w:tc>
          <w:tcPr>
            <w:tcW w:w="5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2,540.0</w:t>
            </w:r>
          </w:p>
        </w:tc>
        <w:tc>
          <w:tcPr>
            <w:tcW w:w="100" w:type="dxa"/>
            <w:vAlign w:val="bottom"/>
            <w:tcBorders>
              <w:bottom w:val="single" w:sz="8" w:color="CCEEFF"/>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85.4 %</w:t>
            </w:r>
          </w:p>
        </w:tc>
        <w:tc>
          <w:tcPr>
            <w:tcW w:w="120" w:type="dxa"/>
            <w:vAlign w:val="bottom"/>
            <w:tcBorders>
              <w:bottom w:val="single" w:sz="8" w:color="CCEEFF"/>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2,904.6</w:t>
            </w:r>
          </w:p>
        </w:tc>
        <w:tc>
          <w:tcPr>
            <w:tcW w:w="120" w:type="dxa"/>
            <w:vAlign w:val="bottom"/>
            <w:tcBorders>
              <w:bottom w:val="single" w:sz="8" w:color="CCEEFF"/>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83.2 %</w:t>
            </w:r>
          </w:p>
        </w:tc>
      </w:tr>
      <w:tr>
        <w:trPr>
          <w:trHeight w:val="210"/>
        </w:trPr>
        <w:tc>
          <w:tcPr>
            <w:tcW w:w="4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Gross profit</w:t>
            </w:r>
          </w:p>
        </w:tc>
        <w:tc>
          <w:tcPr>
            <w:tcW w:w="5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433.5</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14.6 %</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586.1</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16.8 %</w:t>
            </w:r>
          </w:p>
        </w:tc>
      </w:tr>
      <w:tr>
        <w:trPr>
          <w:trHeight w:val="215"/>
        </w:trPr>
        <w:tc>
          <w:tcPr>
            <w:tcW w:w="4580" w:type="dxa"/>
            <w:vAlign w:val="bottom"/>
          </w:tcPr>
          <w:p>
            <w:pPr>
              <w:ind w:left="20"/>
              <w:spacing w:after="0"/>
              <w:rPr>
                <w:sz w:val="20"/>
                <w:szCs w:val="20"/>
                <w:color w:val="auto"/>
              </w:rPr>
            </w:pPr>
            <w:r>
              <w:rPr>
                <w:rFonts w:ascii="Arial" w:cs="Arial" w:eastAsia="Arial" w:hAnsi="Arial"/>
                <w:sz w:val="16"/>
                <w:szCs w:val="16"/>
                <w:color w:val="auto"/>
              </w:rPr>
              <w:t>Selling, general, and administrative expenses</w:t>
            </w:r>
          </w:p>
        </w:tc>
        <w:tc>
          <w:tcPr>
            <w:tcW w:w="5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280.0</w:t>
            </w: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9.4 %</w:t>
            </w: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267.7</w:t>
            </w: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7.7 %</w:t>
            </w:r>
          </w:p>
        </w:tc>
      </w:tr>
      <w:tr>
        <w:trPr>
          <w:trHeight w:val="217"/>
        </w:trPr>
        <w:tc>
          <w:tcPr>
            <w:tcW w:w="4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Amortization</w:t>
            </w:r>
          </w:p>
        </w:tc>
        <w:tc>
          <w:tcPr>
            <w:tcW w:w="5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23.0</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0.8 %</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17.7</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0.5 %</w:t>
            </w:r>
          </w:p>
        </w:tc>
      </w:tr>
      <w:tr>
        <w:trPr>
          <w:trHeight w:val="215"/>
        </w:trPr>
        <w:tc>
          <w:tcPr>
            <w:tcW w:w="4580" w:type="dxa"/>
            <w:vAlign w:val="bottom"/>
          </w:tcPr>
          <w:p>
            <w:pPr>
              <w:ind w:left="20"/>
              <w:spacing w:after="0"/>
              <w:rPr>
                <w:sz w:val="20"/>
                <w:szCs w:val="20"/>
                <w:color w:val="auto"/>
              </w:rPr>
            </w:pPr>
            <w:r>
              <w:rPr>
                <w:rFonts w:ascii="Arial" w:cs="Arial" w:eastAsia="Arial" w:hAnsi="Arial"/>
                <w:sz w:val="16"/>
                <w:szCs w:val="16"/>
                <w:color w:val="auto"/>
              </w:rPr>
              <w:t>Goodwill impairment</w:t>
            </w:r>
          </w:p>
        </w:tc>
        <w:tc>
          <w:tcPr>
            <w:tcW w:w="5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30.3</w:t>
            </w: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1.0 %</w:t>
            </w: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780" w:type="dxa"/>
            <w:vAlign w:val="bottom"/>
            <w:gridSpan w:val="3"/>
          </w:tcPr>
          <w:p>
            <w:pPr>
              <w:jc w:val="right"/>
              <w:ind w:right="980"/>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 %</w:t>
            </w:r>
          </w:p>
        </w:tc>
      </w:tr>
      <w:tr>
        <w:trPr>
          <w:trHeight w:val="210"/>
        </w:trPr>
        <w:tc>
          <w:tcPr>
            <w:tcW w:w="45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operating expenses</w:t>
            </w:r>
          </w:p>
        </w:tc>
        <w:tc>
          <w:tcPr>
            <w:tcW w:w="50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333.3</w:t>
            </w:r>
          </w:p>
        </w:tc>
        <w:tc>
          <w:tcPr>
            <w:tcW w:w="10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11.2 %</w:t>
            </w:r>
          </w:p>
        </w:tc>
        <w:tc>
          <w:tcPr>
            <w:tcW w:w="12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285.4</w:t>
            </w:r>
          </w:p>
        </w:tc>
        <w:tc>
          <w:tcPr>
            <w:tcW w:w="12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8.2 %</w:t>
            </w:r>
          </w:p>
        </w:tc>
      </w:tr>
      <w:tr>
        <w:trPr>
          <w:trHeight w:val="209"/>
        </w:trPr>
        <w:tc>
          <w:tcPr>
            <w:tcW w:w="4580" w:type="dxa"/>
            <w:vAlign w:val="bottom"/>
          </w:tcPr>
          <w:p>
            <w:pPr>
              <w:ind w:left="20"/>
              <w:spacing w:after="0"/>
              <w:rPr>
                <w:sz w:val="20"/>
                <w:szCs w:val="20"/>
                <w:color w:val="auto"/>
              </w:rPr>
            </w:pPr>
            <w:r>
              <w:rPr>
                <w:rFonts w:ascii="Arial" w:cs="Arial" w:eastAsia="Arial" w:hAnsi="Arial"/>
                <w:sz w:val="16"/>
                <w:szCs w:val="16"/>
                <w:color w:val="auto"/>
              </w:rPr>
              <w:t>Operating income</w:t>
            </w:r>
          </w:p>
        </w:tc>
        <w:tc>
          <w:tcPr>
            <w:tcW w:w="5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100.2</w:t>
            </w: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3.4 %</w:t>
            </w: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300.7</w:t>
            </w: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8.6 %</w:t>
            </w:r>
          </w:p>
        </w:tc>
      </w:tr>
      <w:tr>
        <w:trPr>
          <w:trHeight w:val="217"/>
        </w:trPr>
        <w:tc>
          <w:tcPr>
            <w:tcW w:w="4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 expense, net</w:t>
            </w:r>
          </w:p>
        </w:tc>
        <w:tc>
          <w:tcPr>
            <w:tcW w:w="5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21.1</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0.7 %</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20.5</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0.6 %</w:t>
            </w:r>
          </w:p>
        </w:tc>
      </w:tr>
      <w:tr>
        <w:trPr>
          <w:trHeight w:val="215"/>
        </w:trPr>
        <w:tc>
          <w:tcPr>
            <w:tcW w:w="4580" w:type="dxa"/>
            <w:vAlign w:val="bottom"/>
          </w:tcPr>
          <w:p>
            <w:pPr>
              <w:ind w:left="20"/>
              <w:spacing w:after="0"/>
              <w:rPr>
                <w:sz w:val="20"/>
                <w:szCs w:val="20"/>
                <w:color w:val="auto"/>
              </w:rPr>
            </w:pPr>
            <w:r>
              <w:rPr>
                <w:rFonts w:ascii="Arial" w:cs="Arial" w:eastAsia="Arial" w:hAnsi="Arial"/>
                <w:sz w:val="16"/>
                <w:szCs w:val="16"/>
                <w:color w:val="auto"/>
              </w:rPr>
              <w:t>Loss on note repurchase</w:t>
            </w:r>
          </w:p>
        </w:tc>
        <w:tc>
          <w:tcPr>
            <w:tcW w:w="5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32.7</w:t>
            </w: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1.1 %</w:t>
            </w: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780" w:type="dxa"/>
            <w:vAlign w:val="bottom"/>
            <w:gridSpan w:val="3"/>
          </w:tcPr>
          <w:p>
            <w:pPr>
              <w:jc w:val="right"/>
              <w:ind w:right="980"/>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 %</w:t>
            </w:r>
          </w:p>
        </w:tc>
      </w:tr>
      <w:tr>
        <w:trPr>
          <w:trHeight w:val="217"/>
        </w:trPr>
        <w:tc>
          <w:tcPr>
            <w:tcW w:w="4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Non-operating loss</w:t>
            </w:r>
          </w:p>
        </w:tc>
        <w:tc>
          <w:tcPr>
            <w:tcW w:w="5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8.0</w:t>
            </w:r>
          </w:p>
        </w:tc>
        <w:tc>
          <w:tcPr>
            <w:tcW w:w="100" w:type="dxa"/>
            <w:vAlign w:val="bottom"/>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0.3 %</w:t>
            </w:r>
          </w:p>
        </w:tc>
        <w:tc>
          <w:tcPr>
            <w:tcW w:w="120" w:type="dxa"/>
            <w:vAlign w:val="bottom"/>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120" w:type="dxa"/>
            <w:vAlign w:val="bottom"/>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 %</w:t>
            </w:r>
          </w:p>
        </w:tc>
      </w:tr>
      <w:tr>
        <w:trPr>
          <w:trHeight w:val="209"/>
        </w:trPr>
        <w:tc>
          <w:tcPr>
            <w:tcW w:w="4580" w:type="dxa"/>
            <w:vAlign w:val="bottom"/>
          </w:tcPr>
          <w:p>
            <w:pPr>
              <w:ind w:left="20"/>
              <w:spacing w:after="0"/>
              <w:rPr>
                <w:sz w:val="20"/>
                <w:szCs w:val="20"/>
                <w:color w:val="auto"/>
              </w:rPr>
            </w:pPr>
            <w:r>
              <w:rPr>
                <w:rFonts w:ascii="Arial" w:cs="Arial" w:eastAsia="Arial" w:hAnsi="Arial"/>
                <w:sz w:val="16"/>
                <w:szCs w:val="16"/>
                <w:color w:val="auto"/>
              </w:rPr>
              <w:t>Income before income taxes</w:t>
            </w:r>
          </w:p>
        </w:tc>
        <w:tc>
          <w:tcPr>
            <w:tcW w:w="5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38.4</w:t>
            </w: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1.3 %</w:t>
            </w: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279.2</w:t>
            </w: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8.0 %</w:t>
            </w:r>
          </w:p>
        </w:tc>
      </w:tr>
      <w:tr>
        <w:trPr>
          <w:trHeight w:val="216"/>
        </w:trPr>
        <w:tc>
          <w:tcPr>
            <w:tcW w:w="4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Provision for income taxes</w:t>
            </w:r>
          </w:p>
        </w:tc>
        <w:tc>
          <w:tcPr>
            <w:tcW w:w="5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25.4</w:t>
            </w:r>
          </w:p>
        </w:tc>
        <w:tc>
          <w:tcPr>
            <w:tcW w:w="100" w:type="dxa"/>
            <w:vAlign w:val="bottom"/>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0.9 %</w:t>
            </w:r>
          </w:p>
        </w:tc>
        <w:tc>
          <w:tcPr>
            <w:tcW w:w="120" w:type="dxa"/>
            <w:vAlign w:val="bottom"/>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63.3</w:t>
            </w:r>
          </w:p>
        </w:tc>
        <w:tc>
          <w:tcPr>
            <w:tcW w:w="120" w:type="dxa"/>
            <w:vAlign w:val="bottom"/>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1.8 %</w:t>
            </w:r>
          </w:p>
        </w:tc>
      </w:tr>
      <w:tr>
        <w:trPr>
          <w:trHeight w:val="210"/>
        </w:trPr>
        <w:tc>
          <w:tcPr>
            <w:tcW w:w="458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50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13.0</w:t>
            </w:r>
          </w:p>
        </w:tc>
        <w:tc>
          <w:tcPr>
            <w:tcW w:w="100" w:type="dxa"/>
            <w:vAlign w:val="bottom"/>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0.4 %</w:t>
            </w:r>
          </w:p>
        </w:tc>
        <w:tc>
          <w:tcPr>
            <w:tcW w:w="120" w:type="dxa"/>
            <w:vAlign w:val="bottom"/>
          </w:tcPr>
          <w:p>
            <w:pPr>
              <w:spacing w:after="0"/>
              <w:rPr>
                <w:sz w:val="18"/>
                <w:szCs w:val="18"/>
                <w:color w:val="auto"/>
              </w:rPr>
            </w:pPr>
          </w:p>
        </w:tc>
        <w:tc>
          <w:tcPr>
            <w:tcW w:w="64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215.9</w:t>
            </w:r>
          </w:p>
        </w:tc>
        <w:tc>
          <w:tcPr>
            <w:tcW w:w="120" w:type="dxa"/>
            <w:vAlign w:val="bottom"/>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6.2 %</w:t>
            </w:r>
          </w:p>
        </w:tc>
      </w:tr>
      <w:tr>
        <w:trPr>
          <w:trHeight w:val="20"/>
        </w:trPr>
        <w:tc>
          <w:tcPr>
            <w:tcW w:w="458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r>
        <w:trPr>
          <w:trHeight w:val="183"/>
        </w:trPr>
        <w:tc>
          <w:tcPr>
            <w:tcW w:w="458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r>
      <w:tr>
        <w:trPr>
          <w:trHeight w:val="215"/>
        </w:trPr>
        <w:tc>
          <w:tcPr>
            <w:tcW w:w="4580" w:type="dxa"/>
            <w:vAlign w:val="bottom"/>
          </w:tcPr>
          <w:p>
            <w:pPr>
              <w:ind w:left="20"/>
              <w:spacing w:after="0"/>
              <w:rPr>
                <w:sz w:val="20"/>
                <w:szCs w:val="20"/>
                <w:color w:val="auto"/>
              </w:rPr>
            </w:pPr>
            <w:r>
              <w:rPr>
                <w:rFonts w:ascii="Arial" w:cs="Arial" w:eastAsia="Arial" w:hAnsi="Arial"/>
                <w:sz w:val="16"/>
                <w:szCs w:val="16"/>
                <w:color w:val="auto"/>
              </w:rPr>
              <w:t>Earnings per common share:</w:t>
            </w:r>
          </w:p>
        </w:tc>
        <w:tc>
          <w:tcPr>
            <w:tcW w:w="5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17"/>
        </w:trPr>
        <w:tc>
          <w:tcPr>
            <w:tcW w:w="45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Basic</w:t>
            </w:r>
          </w:p>
        </w:tc>
        <w:tc>
          <w:tcPr>
            <w:tcW w:w="50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0.44</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459"/>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7.12</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r>
      <w:tr>
        <w:trPr>
          <w:trHeight w:val="215"/>
        </w:trPr>
        <w:tc>
          <w:tcPr>
            <w:tcW w:w="4580" w:type="dxa"/>
            <w:vAlign w:val="bottom"/>
          </w:tcPr>
          <w:p>
            <w:pPr>
              <w:ind w:left="220"/>
              <w:spacing w:after="0"/>
              <w:rPr>
                <w:sz w:val="20"/>
                <w:szCs w:val="20"/>
                <w:color w:val="auto"/>
              </w:rPr>
            </w:pPr>
            <w:r>
              <w:rPr>
                <w:rFonts w:ascii="Arial" w:cs="Arial" w:eastAsia="Arial" w:hAnsi="Arial"/>
                <w:sz w:val="16"/>
                <w:szCs w:val="16"/>
                <w:color w:val="auto"/>
              </w:rPr>
              <w:t>Diluted</w:t>
            </w:r>
          </w:p>
        </w:tc>
        <w:tc>
          <w:tcPr>
            <w:tcW w:w="500" w:type="dxa"/>
            <w:vAlign w:val="bottom"/>
          </w:tcPr>
          <w:p>
            <w:pPr>
              <w:jc w:val="right"/>
              <w:ind w:right="299"/>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0.44</w:t>
            </w: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ind w:right="45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6.23</w:t>
            </w: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17"/>
        </w:trPr>
        <w:tc>
          <w:tcPr>
            <w:tcW w:w="4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Weighted average common shares outstanding:</w:t>
            </w:r>
          </w:p>
        </w:tc>
        <w:tc>
          <w:tcPr>
            <w:tcW w:w="5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r>
      <w:tr>
        <w:trPr>
          <w:trHeight w:val="215"/>
        </w:trPr>
        <w:tc>
          <w:tcPr>
            <w:tcW w:w="4580" w:type="dxa"/>
            <w:vAlign w:val="bottom"/>
          </w:tcPr>
          <w:p>
            <w:pPr>
              <w:ind w:left="220"/>
              <w:spacing w:after="0"/>
              <w:rPr>
                <w:sz w:val="20"/>
                <w:szCs w:val="20"/>
                <w:color w:val="auto"/>
              </w:rPr>
            </w:pPr>
            <w:r>
              <w:rPr>
                <w:rFonts w:ascii="Arial" w:cs="Arial" w:eastAsia="Arial" w:hAnsi="Arial"/>
                <w:sz w:val="16"/>
                <w:szCs w:val="16"/>
                <w:color w:val="auto"/>
              </w:rPr>
              <w:t>Basic</w:t>
            </w:r>
          </w:p>
        </w:tc>
        <w:tc>
          <w:tcPr>
            <w:tcW w:w="5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29.2</w:t>
            </w: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30.3</w:t>
            </w: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17"/>
        </w:trPr>
        <w:tc>
          <w:tcPr>
            <w:tcW w:w="45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Diluted</w:t>
            </w:r>
          </w:p>
        </w:tc>
        <w:tc>
          <w:tcPr>
            <w:tcW w:w="5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29.5</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35.4</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r>
    </w:tbl>
    <w:p>
      <w:pPr>
        <w:spacing w:after="0" w:line="328" w:lineRule="exact"/>
        <w:rPr>
          <w:sz w:val="20"/>
          <w:szCs w:val="20"/>
          <w:color w:val="auto"/>
        </w:rPr>
      </w:pPr>
    </w:p>
    <w:p>
      <w:pPr>
        <w:spacing w:after="0"/>
        <w:rPr>
          <w:sz w:val="20"/>
          <w:szCs w:val="20"/>
          <w:color w:val="auto"/>
        </w:rPr>
      </w:pPr>
      <w:r>
        <w:rPr>
          <w:rFonts w:ascii="Arial" w:cs="Arial" w:eastAsia="Arial" w:hAnsi="Arial"/>
          <w:sz w:val="14"/>
          <w:szCs w:val="14"/>
          <w:color w:val="auto"/>
        </w:rPr>
        <w:t>Amounts in tables are calculated based on unrounded numbers and therefore may not recalculate using the rounded numbers provided.</w:t>
      </w:r>
    </w:p>
    <w:p>
      <w:pPr>
        <w:spacing w:after="0" w:line="29" w:lineRule="exact"/>
        <w:rPr>
          <w:sz w:val="20"/>
          <w:szCs w:val="20"/>
          <w:color w:val="auto"/>
        </w:rPr>
      </w:pPr>
    </w:p>
    <w:p>
      <w:pPr>
        <w:spacing w:after="0"/>
        <w:rPr>
          <w:sz w:val="20"/>
          <w:szCs w:val="20"/>
          <w:color w:val="auto"/>
        </w:rPr>
      </w:pPr>
      <w:r>
        <w:rPr>
          <w:rFonts w:ascii="Arial" w:cs="Arial" w:eastAsia="Arial" w:hAnsi="Arial"/>
          <w:sz w:val="14"/>
          <w:szCs w:val="14"/>
          <w:color w:val="auto"/>
        </w:rPr>
        <w:t>In addition, percentages may not add in total due to rounding.</w:t>
      </w:r>
    </w:p>
    <w:p>
      <w:pPr>
        <w:spacing w:after="0" w:line="200" w:lineRule="exact"/>
        <w:rPr>
          <w:sz w:val="20"/>
          <w:szCs w:val="20"/>
          <w:color w:val="auto"/>
        </w:rPr>
      </w:pPr>
    </w:p>
    <w:p>
      <w:pPr>
        <w:spacing w:after="0" w:line="363"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9</w:t>
      </w:r>
    </w:p>
    <w:p>
      <w:pPr>
        <w:sectPr>
          <w:pgSz w:w="11900" w:h="16838" w:orient="portrait"/>
          <w:cols w:equalWidth="0" w:num="1">
            <w:col w:w="11180"/>
          </w:cols>
          <w:pgMar w:left="320" w:top="890" w:right="399" w:bottom="1440" w:gutter="0" w:footer="0" w:header="0"/>
        </w:sectPr>
      </w:pPr>
    </w:p>
    <w:bookmarkStart w:id="12" w:name="page13"/>
    <w:bookmarkEnd w:id="12"/>
    <w:p>
      <w:pPr>
        <w:jc w:val="center"/>
        <w:ind w:right="-19"/>
        <w:spacing w:after="0"/>
        <w:rPr>
          <w:sz w:val="20"/>
          <w:szCs w:val="20"/>
          <w:color w:val="auto"/>
        </w:rPr>
      </w:pPr>
      <w:r>
        <w:rPr>
          <w:rFonts w:ascii="Arial" w:cs="Arial" w:eastAsia="Arial" w:hAnsi="Arial"/>
          <w:sz w:val="18"/>
          <w:szCs w:val="18"/>
          <w:b w:val="1"/>
          <w:bCs w:val="1"/>
          <w:color w:val="auto"/>
        </w:rPr>
        <w:t>Winnebago Industries,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12"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(Unaudited and subject to reclassification)</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7560" w:type="dxa"/>
            <w:vAlign w:val="bottom"/>
          </w:tcPr>
          <w:p>
            <w:pPr>
              <w:ind w:left="20"/>
              <w:spacing w:after="0"/>
              <w:rPr>
                <w:sz w:val="20"/>
                <w:szCs w:val="20"/>
                <w:color w:val="auto"/>
              </w:rPr>
            </w:pPr>
            <w:r>
              <w:rPr>
                <w:rFonts w:ascii="Arial" w:cs="Arial" w:eastAsia="Arial" w:hAnsi="Arial"/>
                <w:sz w:val="16"/>
                <w:szCs w:val="16"/>
                <w:color w:val="auto"/>
              </w:rPr>
              <w:t>(in millions)</w:t>
            </w:r>
          </w:p>
        </w:tc>
        <w:tc>
          <w:tcPr>
            <w:tcW w:w="200" w:type="dxa"/>
            <w:vAlign w:val="bottom"/>
          </w:tcPr>
          <w:p>
            <w:pPr>
              <w:spacing w:after="0"/>
              <w:rPr>
                <w:sz w:val="18"/>
                <w:szCs w:val="18"/>
                <w:color w:val="auto"/>
              </w:rPr>
            </w:pPr>
          </w:p>
        </w:tc>
        <w:tc>
          <w:tcPr>
            <w:tcW w:w="1680" w:type="dxa"/>
            <w:vAlign w:val="bottom"/>
            <w:gridSpan w:val="2"/>
          </w:tcPr>
          <w:p>
            <w:pPr>
              <w:ind w:left="80"/>
              <w:spacing w:after="0"/>
              <w:rPr>
                <w:sz w:val="20"/>
                <w:szCs w:val="20"/>
                <w:color w:val="auto"/>
              </w:rPr>
            </w:pPr>
            <w:r>
              <w:rPr>
                <w:rFonts w:ascii="Arial" w:cs="Arial" w:eastAsia="Arial" w:hAnsi="Arial"/>
                <w:sz w:val="16"/>
                <w:szCs w:val="16"/>
                <w:b w:val="1"/>
                <w:bCs w:val="1"/>
                <w:color w:val="auto"/>
              </w:rPr>
              <w:t>August 31, 2024</w:t>
            </w:r>
          </w:p>
        </w:tc>
        <w:tc>
          <w:tcPr>
            <w:tcW w:w="200" w:type="dxa"/>
            <w:vAlign w:val="bottom"/>
          </w:tcPr>
          <w:p>
            <w:pPr>
              <w:spacing w:after="0"/>
              <w:rPr>
                <w:sz w:val="18"/>
                <w:szCs w:val="18"/>
                <w:color w:val="auto"/>
              </w:rPr>
            </w:pPr>
          </w:p>
        </w:tc>
        <w:tc>
          <w:tcPr>
            <w:tcW w:w="1580" w:type="dxa"/>
            <w:vAlign w:val="bottom"/>
          </w:tcPr>
          <w:p>
            <w:pPr>
              <w:jc w:val="right"/>
              <w:ind w:right="199"/>
              <w:spacing w:after="0"/>
              <w:rPr>
                <w:sz w:val="20"/>
                <w:szCs w:val="20"/>
                <w:color w:val="auto"/>
              </w:rPr>
            </w:pPr>
            <w:r>
              <w:rPr>
                <w:rFonts w:ascii="Arial" w:cs="Arial" w:eastAsia="Arial" w:hAnsi="Arial"/>
                <w:sz w:val="16"/>
                <w:szCs w:val="16"/>
                <w:b w:val="1"/>
                <w:bCs w:val="1"/>
                <w:color w:val="auto"/>
              </w:rPr>
              <w:t>August 26, 2023</w:t>
            </w:r>
          </w:p>
        </w:tc>
      </w:tr>
      <w:tr>
        <w:trPr>
          <w:trHeight w:val="210"/>
        </w:trPr>
        <w:tc>
          <w:tcPr>
            <w:tcW w:w="75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Assets</w:t>
            </w:r>
          </w:p>
        </w:tc>
        <w:tc>
          <w:tcPr>
            <w:tcW w:w="200" w:type="dxa"/>
            <w:vAlign w:val="bottom"/>
            <w:tcBorders>
              <w:top w:val="single" w:sz="8" w:color="auto"/>
            </w:tcBorders>
            <w:shd w:val="clear" w:color="auto" w:fill="CCEEFF"/>
          </w:tcPr>
          <w:p>
            <w:pPr>
              <w:spacing w:after="0"/>
              <w:rPr>
                <w:sz w:val="18"/>
                <w:szCs w:val="18"/>
                <w:color w:val="auto"/>
              </w:rPr>
            </w:pPr>
          </w:p>
        </w:tc>
        <w:tc>
          <w:tcPr>
            <w:tcW w:w="15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580" w:type="dxa"/>
            <w:vAlign w:val="bottom"/>
            <w:tcBorders>
              <w:top w:val="single" w:sz="8" w:color="auto"/>
            </w:tcBorders>
            <w:shd w:val="clear" w:color="auto" w:fill="CCEEFF"/>
          </w:tcPr>
          <w:p>
            <w:pPr>
              <w:spacing w:after="0"/>
              <w:rPr>
                <w:sz w:val="18"/>
                <w:szCs w:val="18"/>
                <w:color w:val="auto"/>
              </w:rPr>
            </w:pPr>
          </w:p>
        </w:tc>
      </w:tr>
      <w:tr>
        <w:trPr>
          <w:trHeight w:val="215"/>
        </w:trPr>
        <w:tc>
          <w:tcPr>
            <w:tcW w:w="7560" w:type="dxa"/>
            <w:vAlign w:val="bottom"/>
          </w:tcPr>
          <w:p>
            <w:pPr>
              <w:ind w:left="140"/>
              <w:spacing w:after="0"/>
              <w:rPr>
                <w:sz w:val="20"/>
                <w:szCs w:val="20"/>
                <w:color w:val="auto"/>
              </w:rPr>
            </w:pPr>
            <w:r>
              <w:rPr>
                <w:rFonts w:ascii="Arial" w:cs="Arial" w:eastAsia="Arial" w:hAnsi="Arial"/>
                <w:sz w:val="16"/>
                <w:szCs w:val="16"/>
                <w:color w:val="auto"/>
              </w:rPr>
              <w:t>Current assets</w:t>
            </w:r>
          </w:p>
        </w:tc>
        <w:tc>
          <w:tcPr>
            <w:tcW w:w="2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80" w:type="dxa"/>
            <w:vAlign w:val="bottom"/>
          </w:tcPr>
          <w:p>
            <w:pPr>
              <w:spacing w:after="0"/>
              <w:rPr>
                <w:sz w:val="18"/>
                <w:szCs w:val="18"/>
                <w:color w:val="auto"/>
              </w:rPr>
            </w:pPr>
          </w:p>
        </w:tc>
      </w:tr>
      <w:tr>
        <w:trPr>
          <w:trHeight w:val="217"/>
        </w:trPr>
        <w:tc>
          <w:tcPr>
            <w:tcW w:w="7560" w:type="dxa"/>
            <w:vAlign w:val="bottom"/>
            <w:shd w:val="clear" w:color="auto" w:fill="CCEEFF"/>
          </w:tcPr>
          <w:p>
            <w:pPr>
              <w:ind w:left="240"/>
              <w:spacing w:after="0"/>
              <w:rPr>
                <w:sz w:val="20"/>
                <w:szCs w:val="20"/>
                <w:color w:val="auto"/>
              </w:rPr>
            </w:pPr>
            <w:r>
              <w:rPr>
                <w:rFonts w:ascii="Arial" w:cs="Arial" w:eastAsia="Arial" w:hAnsi="Arial"/>
                <w:sz w:val="16"/>
                <w:szCs w:val="16"/>
                <w:color w:val="auto"/>
              </w:rPr>
              <w:t>Cash and cash equivalents</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330.9</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309.9</w:t>
            </w:r>
          </w:p>
        </w:tc>
      </w:tr>
      <w:tr>
        <w:trPr>
          <w:trHeight w:val="215"/>
        </w:trPr>
        <w:tc>
          <w:tcPr>
            <w:tcW w:w="7560" w:type="dxa"/>
            <w:vAlign w:val="bottom"/>
          </w:tcPr>
          <w:p>
            <w:pPr>
              <w:ind w:left="260"/>
              <w:spacing w:after="0"/>
              <w:rPr>
                <w:sz w:val="20"/>
                <w:szCs w:val="20"/>
                <w:color w:val="auto"/>
              </w:rPr>
            </w:pPr>
            <w:r>
              <w:rPr>
                <w:rFonts w:ascii="Arial" w:cs="Arial" w:eastAsia="Arial" w:hAnsi="Arial"/>
                <w:sz w:val="16"/>
                <w:szCs w:val="16"/>
                <w:color w:val="auto"/>
              </w:rPr>
              <w:t>Receivables, net</w:t>
            </w:r>
          </w:p>
        </w:tc>
        <w:tc>
          <w:tcPr>
            <w:tcW w:w="20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183.5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178.5</w:t>
            </w:r>
          </w:p>
        </w:tc>
      </w:tr>
      <w:tr>
        <w:trPr>
          <w:trHeight w:val="217"/>
        </w:trPr>
        <w:tc>
          <w:tcPr>
            <w:tcW w:w="7560" w:type="dxa"/>
            <w:vAlign w:val="bottom"/>
            <w:shd w:val="clear" w:color="auto" w:fill="CCEEFF"/>
          </w:tcPr>
          <w:p>
            <w:pPr>
              <w:ind w:left="260"/>
              <w:spacing w:after="0"/>
              <w:rPr>
                <w:sz w:val="20"/>
                <w:szCs w:val="20"/>
                <w:color w:val="auto"/>
              </w:rPr>
            </w:pPr>
            <w:r>
              <w:rPr>
                <w:rFonts w:ascii="Arial" w:cs="Arial" w:eastAsia="Arial" w:hAnsi="Arial"/>
                <w:sz w:val="16"/>
                <w:szCs w:val="16"/>
                <w:color w:val="auto"/>
              </w:rPr>
              <w:t>Inventories, net</w:t>
            </w:r>
          </w:p>
        </w:tc>
        <w:tc>
          <w:tcPr>
            <w:tcW w:w="20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438.7</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470.6</w:t>
            </w:r>
          </w:p>
        </w:tc>
      </w:tr>
      <w:tr>
        <w:trPr>
          <w:trHeight w:val="215"/>
        </w:trPr>
        <w:tc>
          <w:tcPr>
            <w:tcW w:w="7560" w:type="dxa"/>
            <w:vAlign w:val="bottom"/>
            <w:tcBorders>
              <w:bottom w:val="single" w:sz="8" w:color="CCEEFF"/>
            </w:tcBorders>
          </w:tcPr>
          <w:p>
            <w:pPr>
              <w:ind w:left="260"/>
              <w:spacing w:after="0"/>
              <w:rPr>
                <w:sz w:val="20"/>
                <w:szCs w:val="20"/>
                <w:color w:val="auto"/>
              </w:rPr>
            </w:pPr>
            <w:r>
              <w:rPr>
                <w:rFonts w:ascii="Arial" w:cs="Arial" w:eastAsia="Arial" w:hAnsi="Arial"/>
                <w:sz w:val="16"/>
                <w:szCs w:val="16"/>
                <w:color w:val="auto"/>
              </w:rPr>
              <w:t>Prepaid expenses and other current assets</w:t>
            </w:r>
          </w:p>
        </w:tc>
        <w:tc>
          <w:tcPr>
            <w:tcW w:w="20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35.6</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37.7</w:t>
            </w:r>
          </w:p>
        </w:tc>
      </w:tr>
      <w:tr>
        <w:trPr>
          <w:trHeight w:val="210"/>
        </w:trPr>
        <w:tc>
          <w:tcPr>
            <w:tcW w:w="7560" w:type="dxa"/>
            <w:vAlign w:val="bottom"/>
            <w:shd w:val="clear" w:color="auto" w:fill="CCEEFF"/>
          </w:tcPr>
          <w:p>
            <w:pPr>
              <w:ind w:left="260"/>
              <w:spacing w:after="0"/>
              <w:rPr>
                <w:sz w:val="20"/>
                <w:szCs w:val="20"/>
                <w:color w:val="auto"/>
              </w:rPr>
            </w:pPr>
            <w:r>
              <w:rPr>
                <w:rFonts w:ascii="Arial" w:cs="Arial" w:eastAsia="Arial" w:hAnsi="Arial"/>
                <w:sz w:val="16"/>
                <w:szCs w:val="16"/>
                <w:color w:val="auto"/>
              </w:rPr>
              <w:t>Total current assets</w:t>
            </w:r>
          </w:p>
        </w:tc>
        <w:tc>
          <w:tcPr>
            <w:tcW w:w="20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988.7</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996.7</w:t>
            </w:r>
          </w:p>
        </w:tc>
      </w:tr>
      <w:tr>
        <w:trPr>
          <w:trHeight w:val="215"/>
        </w:trPr>
        <w:tc>
          <w:tcPr>
            <w:tcW w:w="7560" w:type="dxa"/>
            <w:vAlign w:val="bottom"/>
          </w:tcPr>
          <w:p>
            <w:pPr>
              <w:ind w:left="140"/>
              <w:spacing w:after="0"/>
              <w:rPr>
                <w:sz w:val="20"/>
                <w:szCs w:val="20"/>
                <w:color w:val="auto"/>
              </w:rPr>
            </w:pPr>
            <w:r>
              <w:rPr>
                <w:rFonts w:ascii="Arial" w:cs="Arial" w:eastAsia="Arial" w:hAnsi="Arial"/>
                <w:sz w:val="16"/>
                <w:szCs w:val="16"/>
                <w:color w:val="auto"/>
              </w:rPr>
              <w:t>Property, plant, and equipment, net</w:t>
            </w:r>
          </w:p>
        </w:tc>
        <w:tc>
          <w:tcPr>
            <w:tcW w:w="20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338.9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327.3</w:t>
            </w:r>
          </w:p>
        </w:tc>
      </w:tr>
      <w:tr>
        <w:trPr>
          <w:trHeight w:val="217"/>
        </w:trPr>
        <w:tc>
          <w:tcPr>
            <w:tcW w:w="75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Goodwill</w:t>
            </w:r>
          </w:p>
        </w:tc>
        <w:tc>
          <w:tcPr>
            <w:tcW w:w="20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484.2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514.5</w:t>
            </w:r>
          </w:p>
        </w:tc>
      </w:tr>
      <w:tr>
        <w:trPr>
          <w:trHeight w:val="215"/>
        </w:trPr>
        <w:tc>
          <w:tcPr>
            <w:tcW w:w="7560" w:type="dxa"/>
            <w:vAlign w:val="bottom"/>
          </w:tcPr>
          <w:p>
            <w:pPr>
              <w:ind w:left="140"/>
              <w:spacing w:after="0"/>
              <w:rPr>
                <w:sz w:val="20"/>
                <w:szCs w:val="20"/>
                <w:color w:val="auto"/>
              </w:rPr>
            </w:pPr>
            <w:r>
              <w:rPr>
                <w:rFonts w:ascii="Arial" w:cs="Arial" w:eastAsia="Arial" w:hAnsi="Arial"/>
                <w:sz w:val="16"/>
                <w:szCs w:val="16"/>
                <w:color w:val="auto"/>
              </w:rPr>
              <w:t>Other intangible assets, net</w:t>
            </w:r>
          </w:p>
        </w:tc>
        <w:tc>
          <w:tcPr>
            <w:tcW w:w="20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479.0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502.0</w:t>
            </w:r>
          </w:p>
        </w:tc>
      </w:tr>
      <w:tr>
        <w:trPr>
          <w:trHeight w:val="217"/>
        </w:trPr>
        <w:tc>
          <w:tcPr>
            <w:tcW w:w="75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Investment in life insurance</w:t>
            </w:r>
          </w:p>
        </w:tc>
        <w:tc>
          <w:tcPr>
            <w:tcW w:w="20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29.6</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29.3</w:t>
            </w:r>
          </w:p>
        </w:tc>
      </w:tr>
      <w:tr>
        <w:trPr>
          <w:trHeight w:val="215"/>
        </w:trPr>
        <w:tc>
          <w:tcPr>
            <w:tcW w:w="7560" w:type="dxa"/>
            <w:vAlign w:val="bottom"/>
          </w:tcPr>
          <w:p>
            <w:pPr>
              <w:ind w:left="140"/>
              <w:spacing w:after="0"/>
              <w:rPr>
                <w:sz w:val="20"/>
                <w:szCs w:val="20"/>
                <w:color w:val="auto"/>
              </w:rPr>
            </w:pPr>
            <w:r>
              <w:rPr>
                <w:rFonts w:ascii="Arial" w:cs="Arial" w:eastAsia="Arial" w:hAnsi="Arial"/>
                <w:sz w:val="16"/>
                <w:szCs w:val="16"/>
                <w:color w:val="auto"/>
              </w:rPr>
              <w:t>Operating lease assets</w:t>
            </w:r>
          </w:p>
        </w:tc>
        <w:tc>
          <w:tcPr>
            <w:tcW w:w="20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46.6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42.6</w:t>
            </w:r>
          </w:p>
        </w:tc>
      </w:tr>
      <w:tr>
        <w:trPr>
          <w:trHeight w:val="216"/>
        </w:trPr>
        <w:tc>
          <w:tcPr>
            <w:tcW w:w="75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Other long-term assets</w:t>
            </w:r>
          </w:p>
        </w:tc>
        <w:tc>
          <w:tcPr>
            <w:tcW w:w="200" w:type="dxa"/>
            <w:vAlign w:val="bottom"/>
            <w:tcBorders>
              <w:bottom w:val="single" w:sz="8" w:color="auto"/>
            </w:tcBorders>
            <w:shd w:val="clear" w:color="auto" w:fill="CCEEFF"/>
          </w:tcPr>
          <w:p>
            <w:pPr>
              <w:spacing w:after="0"/>
              <w:rPr>
                <w:sz w:val="18"/>
                <w:szCs w:val="18"/>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17.2</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20.0</w:t>
            </w:r>
          </w:p>
        </w:tc>
      </w:tr>
      <w:tr>
        <w:trPr>
          <w:trHeight w:val="210"/>
        </w:trPr>
        <w:tc>
          <w:tcPr>
            <w:tcW w:w="7560" w:type="dxa"/>
            <w:vAlign w:val="bottom"/>
          </w:tcPr>
          <w:p>
            <w:pPr>
              <w:ind w:left="140"/>
              <w:spacing w:after="0"/>
              <w:rPr>
                <w:sz w:val="20"/>
                <w:szCs w:val="20"/>
                <w:color w:val="auto"/>
              </w:rPr>
            </w:pPr>
            <w:r>
              <w:rPr>
                <w:rFonts w:ascii="Arial" w:cs="Arial" w:eastAsia="Arial" w:hAnsi="Arial"/>
                <w:sz w:val="16"/>
                <w:szCs w:val="16"/>
                <w:color w:val="auto"/>
              </w:rPr>
              <w:t>Total assets</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2,384.2</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2,432.4</w:t>
            </w:r>
          </w:p>
        </w:tc>
      </w:tr>
      <w:tr>
        <w:trPr>
          <w:trHeight w:val="20"/>
        </w:trPr>
        <w:tc>
          <w:tcPr>
            <w:tcW w:w="75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r>
        <w:trPr>
          <w:trHeight w:val="223"/>
        </w:trPr>
        <w:tc>
          <w:tcPr>
            <w:tcW w:w="75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r>
      <w:tr>
        <w:trPr>
          <w:trHeight w:val="216"/>
        </w:trPr>
        <w:tc>
          <w:tcPr>
            <w:tcW w:w="7560" w:type="dxa"/>
            <w:vAlign w:val="bottom"/>
          </w:tcPr>
          <w:p>
            <w:pPr>
              <w:ind w:left="20"/>
              <w:spacing w:after="0"/>
              <w:rPr>
                <w:sz w:val="20"/>
                <w:szCs w:val="20"/>
                <w:color w:val="auto"/>
              </w:rPr>
            </w:pPr>
            <w:r>
              <w:rPr>
                <w:rFonts w:ascii="Arial" w:cs="Arial" w:eastAsia="Arial" w:hAnsi="Arial"/>
                <w:sz w:val="16"/>
                <w:szCs w:val="16"/>
                <w:b w:val="1"/>
                <w:bCs w:val="1"/>
                <w:color w:val="auto"/>
              </w:rPr>
              <w:t>Liabilities and Shareholders' Equity</w:t>
            </w:r>
          </w:p>
        </w:tc>
        <w:tc>
          <w:tcPr>
            <w:tcW w:w="2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80" w:type="dxa"/>
            <w:vAlign w:val="bottom"/>
          </w:tcPr>
          <w:p>
            <w:pPr>
              <w:spacing w:after="0"/>
              <w:rPr>
                <w:sz w:val="18"/>
                <w:szCs w:val="18"/>
                <w:color w:val="auto"/>
              </w:rPr>
            </w:pPr>
          </w:p>
        </w:tc>
      </w:tr>
      <w:tr>
        <w:trPr>
          <w:trHeight w:val="216"/>
        </w:trPr>
        <w:tc>
          <w:tcPr>
            <w:tcW w:w="75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Current liabilities</w:t>
            </w:r>
          </w:p>
        </w:tc>
        <w:tc>
          <w:tcPr>
            <w:tcW w:w="20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r>
      <w:tr>
        <w:trPr>
          <w:trHeight w:val="215"/>
        </w:trPr>
        <w:tc>
          <w:tcPr>
            <w:tcW w:w="7560" w:type="dxa"/>
            <w:vAlign w:val="bottom"/>
          </w:tcPr>
          <w:p>
            <w:pPr>
              <w:ind w:left="260"/>
              <w:spacing w:after="0"/>
              <w:rPr>
                <w:sz w:val="20"/>
                <w:szCs w:val="20"/>
                <w:color w:val="auto"/>
              </w:rPr>
            </w:pPr>
            <w:r>
              <w:rPr>
                <w:rFonts w:ascii="Arial" w:cs="Arial" w:eastAsia="Arial" w:hAnsi="Arial"/>
                <w:sz w:val="16"/>
                <w:szCs w:val="16"/>
                <w:color w:val="auto"/>
              </w:rPr>
              <w:t>Accounts payable</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580" w:type="dxa"/>
            <w:vAlign w:val="bottom"/>
          </w:tcPr>
          <w:p>
            <w:pPr>
              <w:jc w:val="right"/>
              <w:spacing w:after="0"/>
              <w:rPr>
                <w:sz w:val="20"/>
                <w:szCs w:val="20"/>
                <w:color w:val="auto"/>
              </w:rPr>
            </w:pPr>
            <w:r>
              <w:rPr>
                <w:rFonts w:ascii="Arial" w:cs="Arial" w:eastAsia="Arial" w:hAnsi="Arial"/>
                <w:sz w:val="16"/>
                <w:szCs w:val="16"/>
                <w:color w:val="auto"/>
              </w:rPr>
              <w:t>144.7</w:t>
            </w:r>
          </w:p>
        </w:tc>
        <w:tc>
          <w:tcPr>
            <w:tcW w:w="10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580" w:type="dxa"/>
            <w:vAlign w:val="bottom"/>
          </w:tcPr>
          <w:p>
            <w:pPr>
              <w:jc w:val="right"/>
              <w:spacing w:after="0"/>
              <w:rPr>
                <w:sz w:val="20"/>
                <w:szCs w:val="20"/>
                <w:color w:val="auto"/>
              </w:rPr>
            </w:pPr>
            <w:r>
              <w:rPr>
                <w:rFonts w:ascii="Arial" w:cs="Arial" w:eastAsia="Arial" w:hAnsi="Arial"/>
                <w:sz w:val="16"/>
                <w:szCs w:val="16"/>
                <w:color w:val="auto"/>
              </w:rPr>
              <w:t>146.9</w:t>
            </w:r>
          </w:p>
        </w:tc>
      </w:tr>
      <w:tr>
        <w:trPr>
          <w:trHeight w:val="217"/>
        </w:trPr>
        <w:tc>
          <w:tcPr>
            <w:tcW w:w="7560" w:type="dxa"/>
            <w:vAlign w:val="bottom"/>
            <w:shd w:val="clear" w:color="auto" w:fill="CCEEFF"/>
          </w:tcPr>
          <w:p>
            <w:pPr>
              <w:ind w:left="260"/>
              <w:spacing w:after="0"/>
              <w:rPr>
                <w:sz w:val="20"/>
                <w:szCs w:val="20"/>
                <w:color w:val="auto"/>
              </w:rPr>
            </w:pPr>
            <w:r>
              <w:rPr>
                <w:rFonts w:ascii="Arial" w:cs="Arial" w:eastAsia="Arial" w:hAnsi="Arial"/>
                <w:sz w:val="16"/>
                <w:szCs w:val="16"/>
                <w:color w:val="auto"/>
              </w:rPr>
              <w:t>Current maturities of long-term debt, net</w:t>
            </w:r>
          </w:p>
        </w:tc>
        <w:tc>
          <w:tcPr>
            <w:tcW w:w="20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59.1</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5"/>
        </w:trPr>
        <w:tc>
          <w:tcPr>
            <w:tcW w:w="7560" w:type="dxa"/>
            <w:vAlign w:val="bottom"/>
            <w:tcBorders>
              <w:bottom w:val="single" w:sz="8" w:color="CCEEFF"/>
            </w:tcBorders>
          </w:tcPr>
          <w:p>
            <w:pPr>
              <w:ind w:left="260"/>
              <w:spacing w:after="0"/>
              <w:rPr>
                <w:sz w:val="20"/>
                <w:szCs w:val="20"/>
                <w:color w:val="auto"/>
              </w:rPr>
            </w:pPr>
            <w:r>
              <w:rPr>
                <w:rFonts w:ascii="Arial" w:cs="Arial" w:eastAsia="Arial" w:hAnsi="Arial"/>
                <w:sz w:val="16"/>
                <w:szCs w:val="16"/>
                <w:color w:val="auto"/>
              </w:rPr>
              <w:t>Accrued expenses</w:t>
            </w:r>
          </w:p>
        </w:tc>
        <w:tc>
          <w:tcPr>
            <w:tcW w:w="20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200.9</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249.1</w:t>
            </w:r>
          </w:p>
        </w:tc>
      </w:tr>
      <w:tr>
        <w:trPr>
          <w:trHeight w:val="210"/>
        </w:trPr>
        <w:tc>
          <w:tcPr>
            <w:tcW w:w="75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Total current liabilities</w:t>
            </w:r>
          </w:p>
        </w:tc>
        <w:tc>
          <w:tcPr>
            <w:tcW w:w="20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404.7</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396.0</w:t>
            </w:r>
          </w:p>
        </w:tc>
      </w:tr>
      <w:tr>
        <w:trPr>
          <w:trHeight w:val="215"/>
        </w:trPr>
        <w:tc>
          <w:tcPr>
            <w:tcW w:w="7560" w:type="dxa"/>
            <w:vAlign w:val="bottom"/>
          </w:tcPr>
          <w:p>
            <w:pPr>
              <w:ind w:left="140"/>
              <w:spacing w:after="0"/>
              <w:rPr>
                <w:sz w:val="20"/>
                <w:szCs w:val="20"/>
                <w:color w:val="auto"/>
              </w:rPr>
            </w:pPr>
            <w:r>
              <w:rPr>
                <w:rFonts w:ascii="Arial" w:cs="Arial" w:eastAsia="Arial" w:hAnsi="Arial"/>
                <w:sz w:val="16"/>
                <w:szCs w:val="16"/>
                <w:color w:val="auto"/>
              </w:rPr>
              <w:t>Long-term debt, net</w:t>
            </w:r>
          </w:p>
        </w:tc>
        <w:tc>
          <w:tcPr>
            <w:tcW w:w="20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637.1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592.4</w:t>
            </w:r>
          </w:p>
        </w:tc>
      </w:tr>
      <w:tr>
        <w:trPr>
          <w:trHeight w:val="217"/>
        </w:trPr>
        <w:tc>
          <w:tcPr>
            <w:tcW w:w="75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Deferred income tax liabilities, net</w:t>
            </w:r>
          </w:p>
        </w:tc>
        <w:tc>
          <w:tcPr>
            <w:tcW w:w="20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11.7</w:t>
            </w:r>
          </w:p>
        </w:tc>
      </w:tr>
      <w:tr>
        <w:trPr>
          <w:trHeight w:val="215"/>
        </w:trPr>
        <w:tc>
          <w:tcPr>
            <w:tcW w:w="7560" w:type="dxa"/>
            <w:vAlign w:val="bottom"/>
          </w:tcPr>
          <w:p>
            <w:pPr>
              <w:ind w:left="140"/>
              <w:spacing w:after="0"/>
              <w:rPr>
                <w:sz w:val="20"/>
                <w:szCs w:val="20"/>
                <w:color w:val="auto"/>
              </w:rPr>
            </w:pPr>
            <w:r>
              <w:rPr>
                <w:rFonts w:ascii="Arial" w:cs="Arial" w:eastAsia="Arial" w:hAnsi="Arial"/>
                <w:sz w:val="16"/>
                <w:szCs w:val="16"/>
                <w:color w:val="auto"/>
              </w:rPr>
              <w:t>Unrecognized tax benefits</w:t>
            </w:r>
          </w:p>
        </w:tc>
        <w:tc>
          <w:tcPr>
            <w:tcW w:w="20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5.4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6.1</w:t>
            </w:r>
          </w:p>
        </w:tc>
      </w:tr>
      <w:tr>
        <w:trPr>
          <w:trHeight w:val="217"/>
        </w:trPr>
        <w:tc>
          <w:tcPr>
            <w:tcW w:w="75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Long-term operating lease liabilities</w:t>
            </w:r>
          </w:p>
        </w:tc>
        <w:tc>
          <w:tcPr>
            <w:tcW w:w="20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45.6</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42.0</w:t>
            </w:r>
          </w:p>
        </w:tc>
      </w:tr>
      <w:tr>
        <w:trPr>
          <w:trHeight w:val="215"/>
        </w:trPr>
        <w:tc>
          <w:tcPr>
            <w:tcW w:w="7560" w:type="dxa"/>
            <w:vAlign w:val="bottom"/>
          </w:tcPr>
          <w:p>
            <w:pPr>
              <w:ind w:left="140"/>
              <w:spacing w:after="0"/>
              <w:rPr>
                <w:sz w:val="20"/>
                <w:szCs w:val="20"/>
                <w:color w:val="auto"/>
              </w:rPr>
            </w:pPr>
            <w:r>
              <w:rPr>
                <w:rFonts w:ascii="Arial" w:cs="Arial" w:eastAsia="Arial" w:hAnsi="Arial"/>
                <w:sz w:val="16"/>
                <w:szCs w:val="16"/>
                <w:color w:val="auto"/>
              </w:rPr>
              <w:t>Deferred compensation benefits, net of current portion</w:t>
            </w:r>
          </w:p>
        </w:tc>
        <w:tc>
          <w:tcPr>
            <w:tcW w:w="20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6.6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7.9</w:t>
            </w:r>
          </w:p>
        </w:tc>
      </w:tr>
      <w:tr>
        <w:trPr>
          <w:trHeight w:val="217"/>
        </w:trPr>
        <w:tc>
          <w:tcPr>
            <w:tcW w:w="75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Other long-term liabilities</w:t>
            </w:r>
          </w:p>
        </w:tc>
        <w:tc>
          <w:tcPr>
            <w:tcW w:w="200" w:type="dxa"/>
            <w:vAlign w:val="bottom"/>
            <w:tcBorders>
              <w:bottom w:val="single" w:sz="8" w:color="auto"/>
            </w:tcBorders>
            <w:shd w:val="clear" w:color="auto" w:fill="CCEEFF"/>
          </w:tcPr>
          <w:p>
            <w:pPr>
              <w:spacing w:after="0"/>
              <w:rPr>
                <w:sz w:val="18"/>
                <w:szCs w:val="18"/>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8.5</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8.2</w:t>
            </w:r>
          </w:p>
        </w:tc>
      </w:tr>
      <w:tr>
        <w:trPr>
          <w:trHeight w:val="209"/>
        </w:trPr>
        <w:tc>
          <w:tcPr>
            <w:tcW w:w="7560" w:type="dxa"/>
            <w:vAlign w:val="bottom"/>
          </w:tcPr>
          <w:p>
            <w:pPr>
              <w:ind w:left="340"/>
              <w:spacing w:after="0"/>
              <w:rPr>
                <w:sz w:val="20"/>
                <w:szCs w:val="20"/>
                <w:color w:val="auto"/>
              </w:rPr>
            </w:pPr>
            <w:r>
              <w:rPr>
                <w:rFonts w:ascii="Arial" w:cs="Arial" w:eastAsia="Arial" w:hAnsi="Arial"/>
                <w:sz w:val="16"/>
                <w:szCs w:val="16"/>
                <w:color w:val="auto"/>
              </w:rPr>
              <w:t>Total liabilities</w:t>
            </w:r>
          </w:p>
        </w:tc>
        <w:tc>
          <w:tcPr>
            <w:tcW w:w="20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1,110.9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1,064.3</w:t>
            </w:r>
          </w:p>
        </w:tc>
      </w:tr>
      <w:tr>
        <w:trPr>
          <w:trHeight w:val="216"/>
        </w:trPr>
        <w:tc>
          <w:tcPr>
            <w:tcW w:w="75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Shareholders' equity</w:t>
            </w:r>
          </w:p>
        </w:tc>
        <w:tc>
          <w:tcPr>
            <w:tcW w:w="200" w:type="dxa"/>
            <w:vAlign w:val="bottom"/>
            <w:tcBorders>
              <w:bottom w:val="single" w:sz="8" w:color="auto"/>
            </w:tcBorders>
            <w:shd w:val="clear" w:color="auto" w:fill="CCEEFF"/>
          </w:tcPr>
          <w:p>
            <w:pPr>
              <w:spacing w:after="0"/>
              <w:rPr>
                <w:sz w:val="18"/>
                <w:szCs w:val="18"/>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1,273.3</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1,368.1</w:t>
            </w:r>
          </w:p>
        </w:tc>
      </w:tr>
      <w:tr>
        <w:trPr>
          <w:trHeight w:val="210"/>
        </w:trPr>
        <w:tc>
          <w:tcPr>
            <w:tcW w:w="7560" w:type="dxa"/>
            <w:vAlign w:val="bottom"/>
          </w:tcPr>
          <w:p>
            <w:pPr>
              <w:ind w:left="140"/>
              <w:spacing w:after="0"/>
              <w:rPr>
                <w:sz w:val="20"/>
                <w:szCs w:val="20"/>
                <w:color w:val="auto"/>
              </w:rPr>
            </w:pPr>
            <w:r>
              <w:rPr>
                <w:rFonts w:ascii="Arial" w:cs="Arial" w:eastAsia="Arial" w:hAnsi="Arial"/>
                <w:sz w:val="16"/>
                <w:szCs w:val="16"/>
                <w:color w:val="auto"/>
              </w:rPr>
              <w:t>Total liabilities and shareholders' equity</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2,384.2</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2,432.4</w:t>
            </w:r>
          </w:p>
        </w:tc>
      </w:tr>
      <w:tr>
        <w:trPr>
          <w:trHeight w:val="20"/>
        </w:trPr>
        <w:tc>
          <w:tcPr>
            <w:tcW w:w="75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1220"/>
          </w:cols>
          <w:pgMar w:left="320" w:top="890" w:right="35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b w:val="1"/>
          <w:bCs w:val="1"/>
          <w:color w:val="auto"/>
        </w:rPr>
        <w:t>Winnebago Industries,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 and subject to reclassification)</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75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3400" w:type="dxa"/>
            <w:vAlign w:val="bottom"/>
            <w:tcBorders>
              <w:bottom w:val="single" w:sz="8" w:color="auto"/>
            </w:tcBorders>
            <w:gridSpan w:val="4"/>
          </w:tcPr>
          <w:p>
            <w:pPr>
              <w:jc w:val="right"/>
              <w:ind w:right="1288"/>
              <w:spacing w:after="0"/>
              <w:rPr>
                <w:sz w:val="20"/>
                <w:szCs w:val="20"/>
                <w:color w:val="auto"/>
              </w:rPr>
            </w:pPr>
            <w:r>
              <w:rPr>
                <w:rFonts w:ascii="Arial" w:cs="Arial" w:eastAsia="Arial" w:hAnsi="Arial"/>
                <w:sz w:val="16"/>
                <w:szCs w:val="16"/>
                <w:b w:val="1"/>
                <w:bCs w:val="1"/>
                <w:color w:val="auto"/>
              </w:rPr>
              <w:t>Year Ended</w:t>
            </w:r>
          </w:p>
        </w:tc>
      </w:tr>
      <w:tr>
        <w:trPr>
          <w:trHeight w:val="195"/>
        </w:trPr>
        <w:tc>
          <w:tcPr>
            <w:tcW w:w="7580" w:type="dxa"/>
            <w:vAlign w:val="bottom"/>
          </w:tcPr>
          <w:p>
            <w:pPr>
              <w:ind w:left="20"/>
              <w:spacing w:after="0"/>
              <w:rPr>
                <w:sz w:val="20"/>
                <w:szCs w:val="20"/>
                <w:color w:val="auto"/>
              </w:rPr>
            </w:pPr>
            <w:r>
              <w:rPr>
                <w:rFonts w:ascii="Arial" w:cs="Arial" w:eastAsia="Arial" w:hAnsi="Arial"/>
                <w:sz w:val="14"/>
                <w:szCs w:val="14"/>
                <w:color w:val="auto"/>
              </w:rPr>
              <w:t>(in millions)</w:t>
            </w:r>
          </w:p>
        </w:tc>
        <w:tc>
          <w:tcPr>
            <w:tcW w:w="220" w:type="dxa"/>
            <w:vAlign w:val="bottom"/>
          </w:tcPr>
          <w:p>
            <w:pPr>
              <w:spacing w:after="0"/>
              <w:rPr>
                <w:sz w:val="16"/>
                <w:szCs w:val="16"/>
                <w:color w:val="auto"/>
              </w:rPr>
            </w:pPr>
          </w:p>
        </w:tc>
        <w:tc>
          <w:tcPr>
            <w:tcW w:w="1660" w:type="dxa"/>
            <w:vAlign w:val="bottom"/>
            <w:gridSpan w:val="2"/>
          </w:tcPr>
          <w:p>
            <w:pPr>
              <w:ind w:left="120"/>
              <w:spacing w:after="0"/>
              <w:rPr>
                <w:sz w:val="20"/>
                <w:szCs w:val="20"/>
                <w:color w:val="auto"/>
              </w:rPr>
            </w:pPr>
            <w:r>
              <w:rPr>
                <w:rFonts w:ascii="Arial" w:cs="Arial" w:eastAsia="Arial" w:hAnsi="Arial"/>
                <w:sz w:val="14"/>
                <w:szCs w:val="14"/>
                <w:b w:val="1"/>
                <w:bCs w:val="1"/>
                <w:color w:val="auto"/>
              </w:rPr>
              <w:t>August 31, 2024</w:t>
            </w:r>
          </w:p>
        </w:tc>
        <w:tc>
          <w:tcPr>
            <w:tcW w:w="200" w:type="dxa"/>
            <w:vAlign w:val="bottom"/>
          </w:tcPr>
          <w:p>
            <w:pPr>
              <w:spacing w:after="0"/>
              <w:rPr>
                <w:sz w:val="16"/>
                <w:szCs w:val="16"/>
                <w:color w:val="auto"/>
              </w:rPr>
            </w:pPr>
          </w:p>
        </w:tc>
        <w:tc>
          <w:tcPr>
            <w:tcW w:w="1540" w:type="dxa"/>
            <w:vAlign w:val="bottom"/>
          </w:tcPr>
          <w:p>
            <w:pPr>
              <w:jc w:val="right"/>
              <w:ind w:right="248"/>
              <w:spacing w:after="0"/>
              <w:rPr>
                <w:sz w:val="20"/>
                <w:szCs w:val="20"/>
                <w:color w:val="auto"/>
              </w:rPr>
            </w:pPr>
            <w:r>
              <w:rPr>
                <w:rFonts w:ascii="Arial" w:cs="Arial" w:eastAsia="Arial" w:hAnsi="Arial"/>
                <w:sz w:val="14"/>
                <w:szCs w:val="14"/>
                <w:b w:val="1"/>
                <w:bCs w:val="1"/>
                <w:color w:val="auto"/>
              </w:rPr>
              <w:t>August 26, 2023</w:t>
            </w:r>
          </w:p>
        </w:tc>
      </w:tr>
      <w:tr>
        <w:trPr>
          <w:trHeight w:val="197"/>
        </w:trPr>
        <w:tc>
          <w:tcPr>
            <w:tcW w:w="75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Operating activities</w:t>
            </w:r>
          </w:p>
        </w:tc>
        <w:tc>
          <w:tcPr>
            <w:tcW w:w="220" w:type="dxa"/>
            <w:vAlign w:val="bottom"/>
            <w:tcBorders>
              <w:top w:val="single" w:sz="8" w:color="auto"/>
            </w:tcBorders>
            <w:shd w:val="clear" w:color="auto" w:fill="CCEEFF"/>
          </w:tcPr>
          <w:p>
            <w:pPr>
              <w:spacing w:after="0"/>
              <w:rPr>
                <w:sz w:val="17"/>
                <w:szCs w:val="17"/>
                <w:color w:val="auto"/>
              </w:rPr>
            </w:pPr>
          </w:p>
        </w:tc>
        <w:tc>
          <w:tcPr>
            <w:tcW w:w="15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540" w:type="dxa"/>
            <w:vAlign w:val="bottom"/>
            <w:tcBorders>
              <w:top w:val="single" w:sz="8" w:color="auto"/>
            </w:tcBorders>
            <w:shd w:val="clear" w:color="auto" w:fill="CCEEFF"/>
          </w:tcPr>
          <w:p>
            <w:pPr>
              <w:spacing w:after="0"/>
              <w:rPr>
                <w:sz w:val="17"/>
                <w:szCs w:val="17"/>
                <w:color w:val="auto"/>
              </w:rPr>
            </w:pPr>
          </w:p>
        </w:tc>
      </w:tr>
      <w:tr>
        <w:trPr>
          <w:trHeight w:val="198"/>
        </w:trPr>
        <w:tc>
          <w:tcPr>
            <w:tcW w:w="7580" w:type="dxa"/>
            <w:vAlign w:val="bottom"/>
          </w:tcPr>
          <w:p>
            <w:pPr>
              <w:ind w:left="140"/>
              <w:spacing w:after="0"/>
              <w:rPr>
                <w:sz w:val="20"/>
                <w:szCs w:val="20"/>
                <w:color w:val="auto"/>
              </w:rPr>
            </w:pPr>
            <w:r>
              <w:rPr>
                <w:rFonts w:ascii="Arial" w:cs="Arial" w:eastAsia="Arial" w:hAnsi="Arial"/>
                <w:sz w:val="14"/>
                <w:szCs w:val="14"/>
                <w:color w:val="auto"/>
              </w:rPr>
              <w:t>Net income</w:t>
            </w: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540" w:type="dxa"/>
            <w:vAlign w:val="bottom"/>
          </w:tcPr>
          <w:p>
            <w:pPr>
              <w:jc w:val="right"/>
              <w:spacing w:after="0"/>
              <w:rPr>
                <w:sz w:val="20"/>
                <w:szCs w:val="20"/>
                <w:color w:val="auto"/>
              </w:rPr>
            </w:pPr>
            <w:r>
              <w:rPr>
                <w:rFonts w:ascii="Arial" w:cs="Arial" w:eastAsia="Arial" w:hAnsi="Arial"/>
                <w:sz w:val="14"/>
                <w:szCs w:val="14"/>
                <w:color w:val="auto"/>
              </w:rPr>
              <w:t>13.0</w:t>
            </w:r>
          </w:p>
        </w:tc>
        <w:tc>
          <w:tcPr>
            <w:tcW w:w="120" w:type="dxa"/>
            <w:vAlign w:val="bottom"/>
          </w:tcPr>
          <w:p>
            <w:pPr>
              <w:spacing w:after="0"/>
              <w:rPr>
                <w:sz w:val="17"/>
                <w:szCs w:val="17"/>
                <w:color w:val="auto"/>
              </w:rPr>
            </w:pPr>
          </w:p>
        </w:tc>
        <w:tc>
          <w:tcPr>
            <w:tcW w:w="200" w:type="dxa"/>
            <w:vAlign w:val="bottom"/>
          </w:tcPr>
          <w:p>
            <w:pPr>
              <w:jc w:val="right"/>
              <w:ind w:right="48"/>
              <w:spacing w:after="0"/>
              <w:rPr>
                <w:sz w:val="20"/>
                <w:szCs w:val="20"/>
                <w:color w:val="auto"/>
              </w:rPr>
            </w:pPr>
            <w:r>
              <w:rPr>
                <w:rFonts w:ascii="Arial" w:cs="Arial" w:eastAsia="Arial" w:hAnsi="Arial"/>
                <w:sz w:val="14"/>
                <w:szCs w:val="14"/>
                <w:color w:val="auto"/>
                <w:w w:val="76"/>
              </w:rPr>
              <w:t>$</w:t>
            </w:r>
          </w:p>
        </w:tc>
        <w:tc>
          <w:tcPr>
            <w:tcW w:w="1540" w:type="dxa"/>
            <w:vAlign w:val="bottom"/>
          </w:tcPr>
          <w:p>
            <w:pPr>
              <w:jc w:val="right"/>
              <w:spacing w:after="0"/>
              <w:rPr>
                <w:sz w:val="20"/>
                <w:szCs w:val="20"/>
                <w:color w:val="auto"/>
              </w:rPr>
            </w:pPr>
            <w:r>
              <w:rPr>
                <w:rFonts w:ascii="Arial" w:cs="Arial" w:eastAsia="Arial" w:hAnsi="Arial"/>
                <w:sz w:val="14"/>
                <w:szCs w:val="14"/>
                <w:color w:val="auto"/>
              </w:rPr>
              <w:t>215.9</w:t>
            </w:r>
          </w:p>
        </w:tc>
      </w:tr>
      <w:tr>
        <w:trPr>
          <w:trHeight w:val="207"/>
        </w:trPr>
        <w:tc>
          <w:tcPr>
            <w:tcW w:w="75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Adjustments to reconcile net income to net cash provided by operating activities</w:t>
            </w:r>
          </w:p>
        </w:tc>
        <w:tc>
          <w:tcPr>
            <w:tcW w:w="22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r>
      <w:tr>
        <w:trPr>
          <w:trHeight w:val="198"/>
        </w:trPr>
        <w:tc>
          <w:tcPr>
            <w:tcW w:w="7580" w:type="dxa"/>
            <w:vAlign w:val="bottom"/>
          </w:tcPr>
          <w:p>
            <w:pPr>
              <w:ind w:left="240"/>
              <w:spacing w:after="0"/>
              <w:rPr>
                <w:sz w:val="20"/>
                <w:szCs w:val="20"/>
                <w:color w:val="auto"/>
              </w:rPr>
            </w:pPr>
            <w:r>
              <w:rPr>
                <w:rFonts w:ascii="Arial" w:cs="Arial" w:eastAsia="Arial" w:hAnsi="Arial"/>
                <w:sz w:val="14"/>
                <w:szCs w:val="14"/>
                <w:color w:val="auto"/>
              </w:rPr>
              <w:t>Depreciation</w:t>
            </w:r>
          </w:p>
        </w:tc>
        <w:tc>
          <w:tcPr>
            <w:tcW w:w="22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35.6</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29.2</w:t>
            </w:r>
          </w:p>
        </w:tc>
      </w:tr>
      <w:tr>
        <w:trPr>
          <w:trHeight w:val="207"/>
        </w:trPr>
        <w:tc>
          <w:tcPr>
            <w:tcW w:w="7580" w:type="dxa"/>
            <w:vAlign w:val="bottom"/>
            <w:shd w:val="clear" w:color="auto" w:fill="CCEEFF"/>
          </w:tcPr>
          <w:p>
            <w:pPr>
              <w:ind w:left="240"/>
              <w:spacing w:after="0"/>
              <w:rPr>
                <w:sz w:val="20"/>
                <w:szCs w:val="20"/>
                <w:color w:val="auto"/>
              </w:rPr>
            </w:pPr>
            <w:r>
              <w:rPr>
                <w:rFonts w:ascii="Arial" w:cs="Arial" w:eastAsia="Arial" w:hAnsi="Arial"/>
                <w:sz w:val="14"/>
                <w:szCs w:val="14"/>
                <w:color w:val="auto"/>
              </w:rPr>
              <w:t>Amortization</w:t>
            </w:r>
          </w:p>
        </w:tc>
        <w:tc>
          <w:tcPr>
            <w:tcW w:w="220" w:type="dxa"/>
            <w:vAlign w:val="bottom"/>
            <w:shd w:val="clear" w:color="auto" w:fill="CCEEFF"/>
          </w:tcPr>
          <w:p>
            <w:pPr>
              <w:spacing w:after="0"/>
              <w:rPr>
                <w:sz w:val="17"/>
                <w:szCs w:val="17"/>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23.0</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17.7</w:t>
            </w:r>
          </w:p>
        </w:tc>
      </w:tr>
      <w:tr>
        <w:trPr>
          <w:trHeight w:val="198"/>
        </w:trPr>
        <w:tc>
          <w:tcPr>
            <w:tcW w:w="7580" w:type="dxa"/>
            <w:vAlign w:val="bottom"/>
          </w:tcPr>
          <w:p>
            <w:pPr>
              <w:ind w:left="240"/>
              <w:spacing w:after="0"/>
              <w:rPr>
                <w:sz w:val="20"/>
                <w:szCs w:val="20"/>
                <w:color w:val="auto"/>
              </w:rPr>
            </w:pPr>
            <w:r>
              <w:rPr>
                <w:rFonts w:ascii="Arial" w:cs="Arial" w:eastAsia="Arial" w:hAnsi="Arial"/>
                <w:sz w:val="14"/>
                <w:szCs w:val="14"/>
                <w:color w:val="auto"/>
              </w:rPr>
              <w:t>Amortization of debt issuance costs</w:t>
            </w:r>
          </w:p>
        </w:tc>
        <w:tc>
          <w:tcPr>
            <w:tcW w:w="22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3.2</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3.1</w:t>
            </w:r>
          </w:p>
        </w:tc>
      </w:tr>
      <w:tr>
        <w:trPr>
          <w:trHeight w:val="207"/>
        </w:trPr>
        <w:tc>
          <w:tcPr>
            <w:tcW w:w="7580" w:type="dxa"/>
            <w:vAlign w:val="bottom"/>
            <w:shd w:val="clear" w:color="auto" w:fill="CCEEFF"/>
          </w:tcPr>
          <w:p>
            <w:pPr>
              <w:ind w:left="240"/>
              <w:spacing w:after="0"/>
              <w:rPr>
                <w:sz w:val="20"/>
                <w:szCs w:val="20"/>
                <w:color w:val="auto"/>
              </w:rPr>
            </w:pPr>
            <w:r>
              <w:rPr>
                <w:rFonts w:ascii="Arial" w:cs="Arial" w:eastAsia="Arial" w:hAnsi="Arial"/>
                <w:sz w:val="14"/>
                <w:szCs w:val="14"/>
                <w:color w:val="auto"/>
              </w:rPr>
              <w:t>Last in, first-out expense</w:t>
            </w:r>
          </w:p>
        </w:tc>
        <w:tc>
          <w:tcPr>
            <w:tcW w:w="220" w:type="dxa"/>
            <w:vAlign w:val="bottom"/>
            <w:shd w:val="clear" w:color="auto" w:fill="CCEEFF"/>
          </w:tcPr>
          <w:p>
            <w:pPr>
              <w:spacing w:after="0"/>
              <w:rPr>
                <w:sz w:val="17"/>
                <w:szCs w:val="17"/>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0.5</w:t>
            </w:r>
          </w:p>
        </w:tc>
      </w:tr>
      <w:tr>
        <w:trPr>
          <w:trHeight w:val="198"/>
        </w:trPr>
        <w:tc>
          <w:tcPr>
            <w:tcW w:w="7580" w:type="dxa"/>
            <w:vAlign w:val="bottom"/>
          </w:tcPr>
          <w:p>
            <w:pPr>
              <w:ind w:left="240"/>
              <w:spacing w:after="0"/>
              <w:rPr>
                <w:sz w:val="20"/>
                <w:szCs w:val="20"/>
                <w:color w:val="auto"/>
              </w:rPr>
            </w:pPr>
            <w:r>
              <w:rPr>
                <w:rFonts w:ascii="Arial" w:cs="Arial" w:eastAsia="Arial" w:hAnsi="Arial"/>
                <w:sz w:val="14"/>
                <w:szCs w:val="14"/>
                <w:color w:val="auto"/>
              </w:rPr>
              <w:t>Stock-based compensation</w:t>
            </w:r>
          </w:p>
        </w:tc>
        <w:tc>
          <w:tcPr>
            <w:tcW w:w="22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14.6</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10.9</w:t>
            </w:r>
          </w:p>
        </w:tc>
      </w:tr>
      <w:tr>
        <w:trPr>
          <w:trHeight w:val="207"/>
        </w:trPr>
        <w:tc>
          <w:tcPr>
            <w:tcW w:w="7580" w:type="dxa"/>
            <w:vAlign w:val="bottom"/>
            <w:shd w:val="clear" w:color="auto" w:fill="CCEEFF"/>
          </w:tcPr>
          <w:p>
            <w:pPr>
              <w:ind w:left="240"/>
              <w:spacing w:after="0"/>
              <w:rPr>
                <w:sz w:val="20"/>
                <w:szCs w:val="20"/>
                <w:color w:val="auto"/>
              </w:rPr>
            </w:pPr>
            <w:r>
              <w:rPr>
                <w:rFonts w:ascii="Arial" w:cs="Arial" w:eastAsia="Arial" w:hAnsi="Arial"/>
                <w:sz w:val="14"/>
                <w:szCs w:val="14"/>
                <w:color w:val="auto"/>
              </w:rPr>
              <w:t>Deferred income taxes</w:t>
            </w:r>
          </w:p>
        </w:tc>
        <w:tc>
          <w:tcPr>
            <w:tcW w:w="220" w:type="dxa"/>
            <w:vAlign w:val="bottom"/>
            <w:shd w:val="clear" w:color="auto" w:fill="CCEEFF"/>
          </w:tcPr>
          <w:p>
            <w:pPr>
              <w:spacing w:after="0"/>
              <w:rPr>
                <w:sz w:val="17"/>
                <w:szCs w:val="17"/>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8.1</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16.3</w:t>
            </w:r>
          </w:p>
        </w:tc>
      </w:tr>
      <w:tr>
        <w:trPr>
          <w:trHeight w:val="198"/>
        </w:trPr>
        <w:tc>
          <w:tcPr>
            <w:tcW w:w="7580" w:type="dxa"/>
            <w:vAlign w:val="bottom"/>
          </w:tcPr>
          <w:p>
            <w:pPr>
              <w:ind w:left="240"/>
              <w:spacing w:after="0"/>
              <w:rPr>
                <w:sz w:val="20"/>
                <w:szCs w:val="20"/>
                <w:color w:val="auto"/>
              </w:rPr>
            </w:pPr>
            <w:r>
              <w:rPr>
                <w:rFonts w:ascii="Arial" w:cs="Arial" w:eastAsia="Arial" w:hAnsi="Arial"/>
                <w:sz w:val="14"/>
                <w:szCs w:val="14"/>
                <w:color w:val="auto"/>
              </w:rPr>
              <w:t>Deferred compensation expense</w:t>
            </w:r>
          </w:p>
        </w:tc>
        <w:tc>
          <w:tcPr>
            <w:tcW w:w="22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0.9</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0.7</w:t>
            </w:r>
          </w:p>
        </w:tc>
      </w:tr>
      <w:tr>
        <w:trPr>
          <w:trHeight w:val="207"/>
        </w:trPr>
        <w:tc>
          <w:tcPr>
            <w:tcW w:w="7580" w:type="dxa"/>
            <w:vAlign w:val="bottom"/>
            <w:shd w:val="clear" w:color="auto" w:fill="CCEEFF"/>
          </w:tcPr>
          <w:p>
            <w:pPr>
              <w:ind w:left="240"/>
              <w:spacing w:after="0"/>
              <w:rPr>
                <w:sz w:val="20"/>
                <w:szCs w:val="20"/>
                <w:color w:val="auto"/>
              </w:rPr>
            </w:pPr>
            <w:r>
              <w:rPr>
                <w:rFonts w:ascii="Arial" w:cs="Arial" w:eastAsia="Arial" w:hAnsi="Arial"/>
                <w:sz w:val="14"/>
                <w:szCs w:val="14"/>
                <w:color w:val="auto"/>
              </w:rPr>
              <w:t>Goodwill impairment</w:t>
            </w:r>
          </w:p>
        </w:tc>
        <w:tc>
          <w:tcPr>
            <w:tcW w:w="220" w:type="dxa"/>
            <w:vAlign w:val="bottom"/>
            <w:shd w:val="clear" w:color="auto" w:fill="CCEEFF"/>
          </w:tcPr>
          <w:p>
            <w:pPr>
              <w:spacing w:after="0"/>
              <w:rPr>
                <w:sz w:val="17"/>
                <w:szCs w:val="17"/>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30.3</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98"/>
        </w:trPr>
        <w:tc>
          <w:tcPr>
            <w:tcW w:w="7580" w:type="dxa"/>
            <w:vAlign w:val="bottom"/>
          </w:tcPr>
          <w:p>
            <w:pPr>
              <w:ind w:left="240"/>
              <w:spacing w:after="0"/>
              <w:rPr>
                <w:sz w:val="20"/>
                <w:szCs w:val="20"/>
                <w:color w:val="auto"/>
              </w:rPr>
            </w:pPr>
            <w:r>
              <w:rPr>
                <w:rFonts w:ascii="Arial" w:cs="Arial" w:eastAsia="Arial" w:hAnsi="Arial"/>
                <w:sz w:val="14"/>
                <w:szCs w:val="14"/>
                <w:color w:val="auto"/>
              </w:rPr>
              <w:t>Loss on note repurchase</w:t>
            </w:r>
          </w:p>
        </w:tc>
        <w:tc>
          <w:tcPr>
            <w:tcW w:w="22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32.7</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07"/>
        </w:trPr>
        <w:tc>
          <w:tcPr>
            <w:tcW w:w="7580" w:type="dxa"/>
            <w:vAlign w:val="bottom"/>
            <w:shd w:val="clear" w:color="auto" w:fill="CCEEFF"/>
          </w:tcPr>
          <w:p>
            <w:pPr>
              <w:ind w:left="240"/>
              <w:spacing w:after="0"/>
              <w:rPr>
                <w:sz w:val="20"/>
                <w:szCs w:val="20"/>
                <w:color w:val="auto"/>
              </w:rPr>
            </w:pPr>
            <w:r>
              <w:rPr>
                <w:rFonts w:ascii="Arial" w:cs="Arial" w:eastAsia="Arial" w:hAnsi="Arial"/>
                <w:sz w:val="14"/>
                <w:szCs w:val="14"/>
                <w:color w:val="auto"/>
              </w:rPr>
              <w:t>Contingent consideration fair value adjustment</w:t>
            </w:r>
          </w:p>
        </w:tc>
        <w:tc>
          <w:tcPr>
            <w:tcW w:w="220" w:type="dxa"/>
            <w:vAlign w:val="bottom"/>
            <w:shd w:val="clear" w:color="auto" w:fill="CCEEFF"/>
          </w:tcPr>
          <w:p>
            <w:pPr>
              <w:spacing w:after="0"/>
              <w:rPr>
                <w:sz w:val="17"/>
                <w:szCs w:val="17"/>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0.6</w:t>
            </w:r>
          </w:p>
        </w:tc>
      </w:tr>
      <w:tr>
        <w:trPr>
          <w:trHeight w:val="198"/>
        </w:trPr>
        <w:tc>
          <w:tcPr>
            <w:tcW w:w="7580" w:type="dxa"/>
            <w:vAlign w:val="bottom"/>
          </w:tcPr>
          <w:p>
            <w:pPr>
              <w:ind w:left="240"/>
              <w:spacing w:after="0"/>
              <w:rPr>
                <w:sz w:val="20"/>
                <w:szCs w:val="20"/>
                <w:color w:val="auto"/>
              </w:rPr>
            </w:pPr>
            <w:r>
              <w:rPr>
                <w:rFonts w:ascii="Arial" w:cs="Arial" w:eastAsia="Arial" w:hAnsi="Arial"/>
                <w:sz w:val="14"/>
                <w:szCs w:val="14"/>
                <w:color w:val="auto"/>
              </w:rPr>
              <w:t>Payments of earnout liability above acquisition-date fair value</w:t>
            </w:r>
          </w:p>
        </w:tc>
        <w:tc>
          <w:tcPr>
            <w:tcW w:w="22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(14.7)</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(13.3)</w:t>
            </w:r>
          </w:p>
        </w:tc>
      </w:tr>
      <w:tr>
        <w:trPr>
          <w:trHeight w:val="207"/>
        </w:trPr>
        <w:tc>
          <w:tcPr>
            <w:tcW w:w="7580" w:type="dxa"/>
            <w:vAlign w:val="bottom"/>
            <w:shd w:val="clear" w:color="auto" w:fill="CCEEFF"/>
          </w:tcPr>
          <w:p>
            <w:pPr>
              <w:ind w:left="240"/>
              <w:spacing w:after="0"/>
              <w:rPr>
                <w:sz w:val="20"/>
                <w:szCs w:val="20"/>
                <w:color w:val="auto"/>
              </w:rPr>
            </w:pPr>
            <w:r>
              <w:rPr>
                <w:rFonts w:ascii="Arial" w:cs="Arial" w:eastAsia="Arial" w:hAnsi="Arial"/>
                <w:sz w:val="14"/>
                <w:szCs w:val="14"/>
                <w:color w:val="auto"/>
              </w:rPr>
              <w:t>Other, net</w:t>
            </w:r>
          </w:p>
        </w:tc>
        <w:tc>
          <w:tcPr>
            <w:tcW w:w="220" w:type="dxa"/>
            <w:vAlign w:val="bottom"/>
            <w:shd w:val="clear" w:color="auto" w:fill="CCEEFF"/>
          </w:tcPr>
          <w:p>
            <w:pPr>
              <w:spacing w:after="0"/>
              <w:rPr>
                <w:sz w:val="17"/>
                <w:szCs w:val="17"/>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0.8</w:t>
            </w:r>
          </w:p>
        </w:tc>
      </w:tr>
      <w:tr>
        <w:trPr>
          <w:trHeight w:val="198"/>
        </w:trPr>
        <w:tc>
          <w:tcPr>
            <w:tcW w:w="7580" w:type="dxa"/>
            <w:vAlign w:val="bottom"/>
          </w:tcPr>
          <w:p>
            <w:pPr>
              <w:ind w:left="120"/>
              <w:spacing w:after="0"/>
              <w:rPr>
                <w:sz w:val="20"/>
                <w:szCs w:val="20"/>
                <w:color w:val="auto"/>
              </w:rPr>
            </w:pPr>
            <w:r>
              <w:rPr>
                <w:rFonts w:ascii="Arial" w:cs="Arial" w:eastAsia="Arial" w:hAnsi="Arial"/>
                <w:sz w:val="14"/>
                <w:szCs w:val="14"/>
                <w:color w:val="auto"/>
              </w:rPr>
              <w:t>Change in operating assets and liabilities, net of assets and liabilities acquired</w:t>
            </w:r>
          </w:p>
        </w:tc>
        <w:tc>
          <w:tcPr>
            <w:tcW w:w="2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40" w:type="dxa"/>
            <w:vAlign w:val="bottom"/>
          </w:tcPr>
          <w:p>
            <w:pPr>
              <w:spacing w:after="0"/>
              <w:rPr>
                <w:sz w:val="17"/>
                <w:szCs w:val="17"/>
                <w:color w:val="auto"/>
              </w:rPr>
            </w:pPr>
          </w:p>
        </w:tc>
      </w:tr>
      <w:tr>
        <w:trPr>
          <w:trHeight w:val="207"/>
        </w:trPr>
        <w:tc>
          <w:tcPr>
            <w:tcW w:w="7580" w:type="dxa"/>
            <w:vAlign w:val="bottom"/>
            <w:shd w:val="clear" w:color="auto" w:fill="CCEEFF"/>
          </w:tcPr>
          <w:p>
            <w:pPr>
              <w:ind w:left="240"/>
              <w:spacing w:after="0"/>
              <w:rPr>
                <w:sz w:val="20"/>
                <w:szCs w:val="20"/>
                <w:color w:val="auto"/>
              </w:rPr>
            </w:pPr>
            <w:r>
              <w:rPr>
                <w:rFonts w:ascii="Arial" w:cs="Arial" w:eastAsia="Arial" w:hAnsi="Arial"/>
                <w:sz w:val="14"/>
                <w:szCs w:val="14"/>
                <w:color w:val="auto"/>
              </w:rPr>
              <w:t>Receivables, net</w:t>
            </w:r>
          </w:p>
        </w:tc>
        <w:tc>
          <w:tcPr>
            <w:tcW w:w="220" w:type="dxa"/>
            <w:vAlign w:val="bottom"/>
            <w:shd w:val="clear" w:color="auto" w:fill="CCEEFF"/>
          </w:tcPr>
          <w:p>
            <w:pPr>
              <w:spacing w:after="0"/>
              <w:rPr>
                <w:sz w:val="17"/>
                <w:szCs w:val="17"/>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76.7</w:t>
            </w:r>
          </w:p>
        </w:tc>
      </w:tr>
      <w:tr>
        <w:trPr>
          <w:trHeight w:val="198"/>
        </w:trPr>
        <w:tc>
          <w:tcPr>
            <w:tcW w:w="7580" w:type="dxa"/>
            <w:vAlign w:val="bottom"/>
          </w:tcPr>
          <w:p>
            <w:pPr>
              <w:ind w:left="240"/>
              <w:spacing w:after="0"/>
              <w:rPr>
                <w:sz w:val="20"/>
                <w:szCs w:val="20"/>
                <w:color w:val="auto"/>
              </w:rPr>
            </w:pPr>
            <w:r>
              <w:rPr>
                <w:rFonts w:ascii="Arial" w:cs="Arial" w:eastAsia="Arial" w:hAnsi="Arial"/>
                <w:sz w:val="14"/>
                <w:szCs w:val="14"/>
                <w:color w:val="auto"/>
              </w:rPr>
              <w:t>Inventories, net</w:t>
            </w:r>
          </w:p>
        </w:tc>
        <w:tc>
          <w:tcPr>
            <w:tcW w:w="22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27.2</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63.8</w:t>
            </w:r>
          </w:p>
        </w:tc>
      </w:tr>
      <w:tr>
        <w:trPr>
          <w:trHeight w:val="207"/>
        </w:trPr>
        <w:tc>
          <w:tcPr>
            <w:tcW w:w="7580" w:type="dxa"/>
            <w:vAlign w:val="bottom"/>
            <w:shd w:val="clear" w:color="auto" w:fill="CCEEFF"/>
          </w:tcPr>
          <w:p>
            <w:pPr>
              <w:ind w:left="240"/>
              <w:spacing w:after="0"/>
              <w:rPr>
                <w:sz w:val="20"/>
                <w:szCs w:val="20"/>
                <w:color w:val="auto"/>
              </w:rPr>
            </w:pPr>
            <w:r>
              <w:rPr>
                <w:rFonts w:ascii="Arial" w:cs="Arial" w:eastAsia="Arial" w:hAnsi="Arial"/>
                <w:sz w:val="14"/>
                <w:szCs w:val="14"/>
                <w:color w:val="auto"/>
              </w:rPr>
              <w:t>Prepaid expenses and other assets</w:t>
            </w:r>
          </w:p>
        </w:tc>
        <w:tc>
          <w:tcPr>
            <w:tcW w:w="220" w:type="dxa"/>
            <w:vAlign w:val="bottom"/>
            <w:shd w:val="clear" w:color="auto" w:fill="CCEEFF"/>
          </w:tcPr>
          <w:p>
            <w:pPr>
              <w:spacing w:after="0"/>
              <w:rPr>
                <w:sz w:val="17"/>
                <w:szCs w:val="17"/>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9.7</w:t>
            </w:r>
          </w:p>
        </w:tc>
      </w:tr>
      <w:tr>
        <w:trPr>
          <w:trHeight w:val="198"/>
        </w:trPr>
        <w:tc>
          <w:tcPr>
            <w:tcW w:w="7580" w:type="dxa"/>
            <w:vAlign w:val="bottom"/>
          </w:tcPr>
          <w:p>
            <w:pPr>
              <w:ind w:left="240"/>
              <w:spacing w:after="0"/>
              <w:rPr>
                <w:sz w:val="20"/>
                <w:szCs w:val="20"/>
                <w:color w:val="auto"/>
              </w:rPr>
            </w:pPr>
            <w:r>
              <w:rPr>
                <w:rFonts w:ascii="Arial" w:cs="Arial" w:eastAsia="Arial" w:hAnsi="Arial"/>
                <w:sz w:val="14"/>
                <w:szCs w:val="14"/>
                <w:color w:val="auto"/>
              </w:rPr>
              <w:t>Accounts payable</w:t>
            </w:r>
          </w:p>
        </w:tc>
        <w:tc>
          <w:tcPr>
            <w:tcW w:w="22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(3.9)</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(67.5)</w:t>
            </w:r>
          </w:p>
        </w:tc>
      </w:tr>
      <w:tr>
        <w:trPr>
          <w:trHeight w:val="207"/>
        </w:trPr>
        <w:tc>
          <w:tcPr>
            <w:tcW w:w="7580" w:type="dxa"/>
            <w:vAlign w:val="bottom"/>
            <w:shd w:val="clear" w:color="auto" w:fill="CCEEFF"/>
          </w:tcPr>
          <w:p>
            <w:pPr>
              <w:ind w:left="240"/>
              <w:spacing w:after="0"/>
              <w:rPr>
                <w:sz w:val="20"/>
                <w:szCs w:val="20"/>
                <w:color w:val="auto"/>
              </w:rPr>
            </w:pPr>
            <w:r>
              <w:rPr>
                <w:rFonts w:ascii="Arial" w:cs="Arial" w:eastAsia="Arial" w:hAnsi="Arial"/>
                <w:sz w:val="14"/>
                <w:szCs w:val="14"/>
                <w:color w:val="auto"/>
              </w:rPr>
              <w:t>Income taxes and unrecognized tax benefits</w:t>
            </w:r>
          </w:p>
        </w:tc>
        <w:tc>
          <w:tcPr>
            <w:tcW w:w="220" w:type="dxa"/>
            <w:vAlign w:val="bottom"/>
            <w:shd w:val="clear" w:color="auto" w:fill="CCEEFF"/>
          </w:tcPr>
          <w:p>
            <w:pPr>
              <w:spacing w:after="0"/>
              <w:rPr>
                <w:sz w:val="17"/>
                <w:szCs w:val="17"/>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(8.9)</w:t>
            </w:r>
          </w:p>
        </w:tc>
      </w:tr>
      <w:tr>
        <w:trPr>
          <w:trHeight w:val="198"/>
        </w:trPr>
        <w:tc>
          <w:tcPr>
            <w:tcW w:w="7580" w:type="dxa"/>
            <w:vAlign w:val="bottom"/>
            <w:tcBorders>
              <w:bottom w:val="single" w:sz="8" w:color="CCEEFF"/>
            </w:tcBorders>
          </w:tcPr>
          <w:p>
            <w:pPr>
              <w:ind w:left="240"/>
              <w:spacing w:after="0"/>
              <w:rPr>
                <w:sz w:val="20"/>
                <w:szCs w:val="20"/>
                <w:color w:val="auto"/>
              </w:rPr>
            </w:pPr>
            <w:r>
              <w:rPr>
                <w:rFonts w:ascii="Arial" w:cs="Arial" w:eastAsia="Arial" w:hAnsi="Arial"/>
                <w:sz w:val="14"/>
                <w:szCs w:val="14"/>
                <w:color w:val="auto"/>
              </w:rPr>
              <w:t>Accrued expenses and other liabilities</w:t>
            </w:r>
          </w:p>
        </w:tc>
        <w:tc>
          <w:tcPr>
            <w:tcW w:w="22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(38.3)</w:t>
            </w:r>
          </w:p>
        </w:tc>
        <w:tc>
          <w:tcPr>
            <w:tcW w:w="1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(61.7)</w:t>
            </w:r>
          </w:p>
        </w:tc>
      </w:tr>
      <w:tr>
        <w:trPr>
          <w:trHeight w:val="199"/>
        </w:trPr>
        <w:tc>
          <w:tcPr>
            <w:tcW w:w="75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Net cash provided by operating activities</w:t>
            </w:r>
          </w:p>
        </w:tc>
        <w:tc>
          <w:tcPr>
            <w:tcW w:w="220" w:type="dxa"/>
            <w:vAlign w:val="bottom"/>
            <w:tcBorders>
              <w:bottom w:val="single" w:sz="8" w:color="auto"/>
            </w:tcBorders>
            <w:shd w:val="clear" w:color="auto" w:fill="CCEEFF"/>
          </w:tcPr>
          <w:p>
            <w:pPr>
              <w:spacing w:after="0"/>
              <w:rPr>
                <w:sz w:val="17"/>
                <w:szCs w:val="17"/>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143.9</w:t>
            </w:r>
          </w:p>
        </w:tc>
        <w:tc>
          <w:tcPr>
            <w:tcW w:w="12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294.5</w:t>
            </w:r>
          </w:p>
        </w:tc>
      </w:tr>
      <w:tr>
        <w:trPr>
          <w:trHeight w:val="197"/>
        </w:trPr>
        <w:tc>
          <w:tcPr>
            <w:tcW w:w="7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40" w:type="dxa"/>
            <w:vAlign w:val="bottom"/>
          </w:tcPr>
          <w:p>
            <w:pPr>
              <w:spacing w:after="0"/>
              <w:rPr>
                <w:sz w:val="17"/>
                <w:szCs w:val="17"/>
                <w:color w:val="auto"/>
              </w:rPr>
            </w:pPr>
          </w:p>
        </w:tc>
      </w:tr>
      <w:tr>
        <w:trPr>
          <w:trHeight w:val="203"/>
        </w:trPr>
        <w:tc>
          <w:tcPr>
            <w:tcW w:w="75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Investing activities</w:t>
            </w:r>
          </w:p>
        </w:tc>
        <w:tc>
          <w:tcPr>
            <w:tcW w:w="22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r>
      <w:tr>
        <w:trPr>
          <w:trHeight w:val="198"/>
        </w:trPr>
        <w:tc>
          <w:tcPr>
            <w:tcW w:w="7580" w:type="dxa"/>
            <w:vAlign w:val="bottom"/>
          </w:tcPr>
          <w:p>
            <w:pPr>
              <w:ind w:left="140"/>
              <w:spacing w:after="0"/>
              <w:rPr>
                <w:sz w:val="20"/>
                <w:szCs w:val="20"/>
                <w:color w:val="auto"/>
              </w:rPr>
            </w:pPr>
            <w:r>
              <w:rPr>
                <w:rFonts w:ascii="Arial" w:cs="Arial" w:eastAsia="Arial" w:hAnsi="Arial"/>
                <w:sz w:val="14"/>
                <w:szCs w:val="14"/>
                <w:color w:val="auto"/>
              </w:rPr>
              <w:t>Purchases of property, plant, and equipment</w:t>
            </w:r>
          </w:p>
        </w:tc>
        <w:tc>
          <w:tcPr>
            <w:tcW w:w="22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(45.0)</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(83.2)</w:t>
            </w:r>
          </w:p>
        </w:tc>
      </w:tr>
      <w:tr>
        <w:trPr>
          <w:trHeight w:val="207"/>
        </w:trPr>
        <w:tc>
          <w:tcPr>
            <w:tcW w:w="75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Acquisition of business, net of cash acquired</w:t>
            </w:r>
          </w:p>
        </w:tc>
        <w:tc>
          <w:tcPr>
            <w:tcW w:w="220" w:type="dxa"/>
            <w:vAlign w:val="bottom"/>
            <w:shd w:val="clear" w:color="auto" w:fill="CCEEFF"/>
          </w:tcPr>
          <w:p>
            <w:pPr>
              <w:spacing w:after="0"/>
              <w:rPr>
                <w:sz w:val="17"/>
                <w:szCs w:val="17"/>
                <w:color w:val="auto"/>
              </w:rPr>
            </w:pPr>
          </w:p>
        </w:tc>
        <w:tc>
          <w:tcPr>
            <w:tcW w:w="16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7"/>
                <w:szCs w:val="17"/>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(87.5)</w:t>
            </w:r>
          </w:p>
        </w:tc>
      </w:tr>
      <w:tr>
        <w:trPr>
          <w:trHeight w:val="198"/>
        </w:trPr>
        <w:tc>
          <w:tcPr>
            <w:tcW w:w="7580" w:type="dxa"/>
            <w:vAlign w:val="bottom"/>
          </w:tcPr>
          <w:p>
            <w:pPr>
              <w:ind w:left="140"/>
              <w:spacing w:after="0"/>
              <w:rPr>
                <w:sz w:val="20"/>
                <w:szCs w:val="20"/>
                <w:color w:val="auto"/>
              </w:rPr>
            </w:pPr>
            <w:r>
              <w:rPr>
                <w:rFonts w:ascii="Arial" w:cs="Arial" w:eastAsia="Arial" w:hAnsi="Arial"/>
                <w:sz w:val="14"/>
                <w:szCs w:val="14"/>
                <w:color w:val="auto"/>
              </w:rPr>
              <w:t>Proceeds from the sale of property, plant, and equipment</w:t>
            </w:r>
          </w:p>
        </w:tc>
        <w:tc>
          <w:tcPr>
            <w:tcW w:w="22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0.4</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0.4</w:t>
            </w:r>
          </w:p>
        </w:tc>
      </w:tr>
      <w:tr>
        <w:trPr>
          <w:trHeight w:val="207"/>
        </w:trPr>
        <w:tc>
          <w:tcPr>
            <w:tcW w:w="75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Other, net</w:t>
            </w:r>
          </w:p>
        </w:tc>
        <w:tc>
          <w:tcPr>
            <w:tcW w:w="220" w:type="dxa"/>
            <w:vAlign w:val="bottom"/>
            <w:tcBorders>
              <w:bottom w:val="single" w:sz="8" w:color="auto"/>
            </w:tcBorders>
            <w:shd w:val="clear" w:color="auto" w:fill="CCEEFF"/>
          </w:tcPr>
          <w:p>
            <w:pPr>
              <w:spacing w:after="0"/>
              <w:rPr>
                <w:sz w:val="17"/>
                <w:szCs w:val="17"/>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w:t>
            </w:r>
          </w:p>
        </w:tc>
        <w:tc>
          <w:tcPr>
            <w:tcW w:w="12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0.3</w:t>
            </w:r>
          </w:p>
        </w:tc>
      </w:tr>
      <w:tr>
        <w:trPr>
          <w:trHeight w:val="195"/>
        </w:trPr>
        <w:tc>
          <w:tcPr>
            <w:tcW w:w="758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Net cash used in investing activities</w:t>
            </w:r>
          </w:p>
        </w:tc>
        <w:tc>
          <w:tcPr>
            <w:tcW w:w="22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(45.9)</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(170.0)</w:t>
            </w:r>
          </w:p>
        </w:tc>
      </w:tr>
      <w:tr>
        <w:trPr>
          <w:trHeight w:val="197"/>
        </w:trPr>
        <w:tc>
          <w:tcPr>
            <w:tcW w:w="75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r>
      <w:tr>
        <w:trPr>
          <w:trHeight w:val="201"/>
        </w:trPr>
        <w:tc>
          <w:tcPr>
            <w:tcW w:w="7580" w:type="dxa"/>
            <w:vAlign w:val="bottom"/>
          </w:tcPr>
          <w:p>
            <w:pPr>
              <w:ind w:left="20"/>
              <w:spacing w:after="0"/>
              <w:rPr>
                <w:sz w:val="20"/>
                <w:szCs w:val="20"/>
                <w:color w:val="auto"/>
              </w:rPr>
            </w:pPr>
            <w:r>
              <w:rPr>
                <w:rFonts w:ascii="Arial" w:cs="Arial" w:eastAsia="Arial" w:hAnsi="Arial"/>
                <w:sz w:val="14"/>
                <w:szCs w:val="14"/>
                <w:b w:val="1"/>
                <w:bCs w:val="1"/>
                <w:color w:val="auto"/>
              </w:rPr>
              <w:t>Financing activities</w:t>
            </w:r>
          </w:p>
        </w:tc>
        <w:tc>
          <w:tcPr>
            <w:tcW w:w="2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40" w:type="dxa"/>
            <w:vAlign w:val="bottom"/>
          </w:tcPr>
          <w:p>
            <w:pPr>
              <w:spacing w:after="0"/>
              <w:rPr>
                <w:sz w:val="17"/>
                <w:szCs w:val="17"/>
                <w:color w:val="auto"/>
              </w:rPr>
            </w:pPr>
          </w:p>
        </w:tc>
      </w:tr>
      <w:tr>
        <w:trPr>
          <w:trHeight w:val="204"/>
        </w:trPr>
        <w:tc>
          <w:tcPr>
            <w:tcW w:w="75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Borrowings on long-term debt</w:t>
            </w:r>
          </w:p>
        </w:tc>
        <w:tc>
          <w:tcPr>
            <w:tcW w:w="220" w:type="dxa"/>
            <w:vAlign w:val="bottom"/>
            <w:shd w:val="clear" w:color="auto" w:fill="CCEEFF"/>
          </w:tcPr>
          <w:p>
            <w:pPr>
              <w:spacing w:after="0"/>
              <w:rPr>
                <w:sz w:val="17"/>
                <w:szCs w:val="17"/>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2,652.2</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3,718.0</w:t>
            </w:r>
          </w:p>
        </w:tc>
      </w:tr>
      <w:tr>
        <w:trPr>
          <w:trHeight w:val="198"/>
        </w:trPr>
        <w:tc>
          <w:tcPr>
            <w:tcW w:w="7580" w:type="dxa"/>
            <w:vAlign w:val="bottom"/>
          </w:tcPr>
          <w:p>
            <w:pPr>
              <w:ind w:left="140"/>
              <w:spacing w:after="0"/>
              <w:rPr>
                <w:sz w:val="20"/>
                <w:szCs w:val="20"/>
                <w:color w:val="auto"/>
              </w:rPr>
            </w:pPr>
            <w:r>
              <w:rPr>
                <w:rFonts w:ascii="Arial" w:cs="Arial" w:eastAsia="Arial" w:hAnsi="Arial"/>
                <w:sz w:val="14"/>
                <w:szCs w:val="14"/>
                <w:color w:val="auto"/>
              </w:rPr>
              <w:t>Repayments on long-term debt</w:t>
            </w:r>
          </w:p>
        </w:tc>
        <w:tc>
          <w:tcPr>
            <w:tcW w:w="22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(2,596.0)</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(3,718.0)</w:t>
            </w:r>
          </w:p>
        </w:tc>
      </w:tr>
      <w:tr>
        <w:trPr>
          <w:trHeight w:val="207"/>
        </w:trPr>
        <w:tc>
          <w:tcPr>
            <w:tcW w:w="75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Payments for convertible note bond hedge</w:t>
            </w:r>
          </w:p>
        </w:tc>
        <w:tc>
          <w:tcPr>
            <w:tcW w:w="220" w:type="dxa"/>
            <w:vAlign w:val="bottom"/>
            <w:shd w:val="clear" w:color="auto" w:fill="CCEEFF"/>
          </w:tcPr>
          <w:p>
            <w:pPr>
              <w:spacing w:after="0"/>
              <w:rPr>
                <w:sz w:val="17"/>
                <w:szCs w:val="17"/>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(68.7)</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98"/>
        </w:trPr>
        <w:tc>
          <w:tcPr>
            <w:tcW w:w="7580" w:type="dxa"/>
            <w:vAlign w:val="bottom"/>
          </w:tcPr>
          <w:p>
            <w:pPr>
              <w:ind w:left="140"/>
              <w:spacing w:after="0"/>
              <w:rPr>
                <w:sz w:val="20"/>
                <w:szCs w:val="20"/>
                <w:color w:val="auto"/>
              </w:rPr>
            </w:pPr>
            <w:r>
              <w:rPr>
                <w:rFonts w:ascii="Arial" w:cs="Arial" w:eastAsia="Arial" w:hAnsi="Arial"/>
                <w:sz w:val="14"/>
                <w:szCs w:val="14"/>
                <w:color w:val="auto"/>
              </w:rPr>
              <w:t>Proceeds from issuance of convertible note warrant</w:t>
            </w:r>
          </w:p>
        </w:tc>
        <w:tc>
          <w:tcPr>
            <w:tcW w:w="22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31.3</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07"/>
        </w:trPr>
        <w:tc>
          <w:tcPr>
            <w:tcW w:w="75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Proceeds from partial unwind of convertible note bond hedge</w:t>
            </w:r>
          </w:p>
        </w:tc>
        <w:tc>
          <w:tcPr>
            <w:tcW w:w="220" w:type="dxa"/>
            <w:vAlign w:val="bottom"/>
            <w:shd w:val="clear" w:color="auto" w:fill="CCEEFF"/>
          </w:tcPr>
          <w:p>
            <w:pPr>
              <w:spacing w:after="0"/>
              <w:rPr>
                <w:sz w:val="17"/>
                <w:szCs w:val="17"/>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55.8</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98"/>
        </w:trPr>
        <w:tc>
          <w:tcPr>
            <w:tcW w:w="7580" w:type="dxa"/>
            <w:vAlign w:val="bottom"/>
          </w:tcPr>
          <w:p>
            <w:pPr>
              <w:ind w:left="140"/>
              <w:spacing w:after="0"/>
              <w:rPr>
                <w:sz w:val="20"/>
                <w:szCs w:val="20"/>
                <w:color w:val="auto"/>
              </w:rPr>
            </w:pPr>
            <w:r>
              <w:rPr>
                <w:rFonts w:ascii="Arial" w:cs="Arial" w:eastAsia="Arial" w:hAnsi="Arial"/>
                <w:sz w:val="14"/>
                <w:szCs w:val="14"/>
                <w:color w:val="auto"/>
              </w:rPr>
              <w:t>Payments for partial unwind of convertible note warrant</w:t>
            </w:r>
          </w:p>
        </w:tc>
        <w:tc>
          <w:tcPr>
            <w:tcW w:w="22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(25.3)</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07"/>
        </w:trPr>
        <w:tc>
          <w:tcPr>
            <w:tcW w:w="75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Payments of cash dividends</w:t>
            </w:r>
          </w:p>
        </w:tc>
        <w:tc>
          <w:tcPr>
            <w:tcW w:w="220" w:type="dxa"/>
            <w:vAlign w:val="bottom"/>
            <w:shd w:val="clear" w:color="auto" w:fill="CCEEFF"/>
          </w:tcPr>
          <w:p>
            <w:pPr>
              <w:spacing w:after="0"/>
              <w:rPr>
                <w:sz w:val="17"/>
                <w:szCs w:val="17"/>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(36.8)</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(33.2)</w:t>
            </w:r>
          </w:p>
        </w:tc>
      </w:tr>
      <w:tr>
        <w:trPr>
          <w:trHeight w:val="198"/>
        </w:trPr>
        <w:tc>
          <w:tcPr>
            <w:tcW w:w="7580" w:type="dxa"/>
            <w:vAlign w:val="bottom"/>
          </w:tcPr>
          <w:p>
            <w:pPr>
              <w:ind w:left="140"/>
              <w:spacing w:after="0"/>
              <w:rPr>
                <w:sz w:val="20"/>
                <w:szCs w:val="20"/>
                <w:color w:val="auto"/>
              </w:rPr>
            </w:pPr>
            <w:r>
              <w:rPr>
                <w:rFonts w:ascii="Arial" w:cs="Arial" w:eastAsia="Arial" w:hAnsi="Arial"/>
                <w:sz w:val="14"/>
                <w:szCs w:val="14"/>
                <w:color w:val="auto"/>
              </w:rPr>
              <w:t>Payments for repurchases of common stock</w:t>
            </w:r>
          </w:p>
        </w:tc>
        <w:tc>
          <w:tcPr>
            <w:tcW w:w="22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(74.5)</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(55.1)</w:t>
            </w:r>
          </w:p>
        </w:tc>
      </w:tr>
      <w:tr>
        <w:trPr>
          <w:trHeight w:val="207"/>
        </w:trPr>
        <w:tc>
          <w:tcPr>
            <w:tcW w:w="75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Payments of debt issuance costs</w:t>
            </w:r>
          </w:p>
        </w:tc>
        <w:tc>
          <w:tcPr>
            <w:tcW w:w="220" w:type="dxa"/>
            <w:vAlign w:val="bottom"/>
            <w:shd w:val="clear" w:color="auto" w:fill="CCEEFF"/>
          </w:tcPr>
          <w:p>
            <w:pPr>
              <w:spacing w:after="0"/>
              <w:rPr>
                <w:sz w:val="17"/>
                <w:szCs w:val="17"/>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(10.4)</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98"/>
        </w:trPr>
        <w:tc>
          <w:tcPr>
            <w:tcW w:w="7580" w:type="dxa"/>
            <w:vAlign w:val="bottom"/>
          </w:tcPr>
          <w:p>
            <w:pPr>
              <w:ind w:left="140"/>
              <w:spacing w:after="0"/>
              <w:rPr>
                <w:sz w:val="20"/>
                <w:szCs w:val="20"/>
                <w:color w:val="auto"/>
              </w:rPr>
            </w:pPr>
            <w:r>
              <w:rPr>
                <w:rFonts w:ascii="Arial" w:cs="Arial" w:eastAsia="Arial" w:hAnsi="Arial"/>
                <w:sz w:val="14"/>
                <w:szCs w:val="14"/>
                <w:color w:val="auto"/>
              </w:rPr>
              <w:t>Payments of earnout liability up to acquisition-date fair value</w:t>
            </w:r>
          </w:p>
        </w:tc>
        <w:tc>
          <w:tcPr>
            <w:tcW w:w="22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(5.8)</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(8.7)</w:t>
            </w:r>
          </w:p>
        </w:tc>
      </w:tr>
      <w:tr>
        <w:trPr>
          <w:trHeight w:val="207"/>
        </w:trPr>
        <w:tc>
          <w:tcPr>
            <w:tcW w:w="75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Other, net</w:t>
            </w:r>
          </w:p>
        </w:tc>
        <w:tc>
          <w:tcPr>
            <w:tcW w:w="220" w:type="dxa"/>
            <w:vAlign w:val="bottom"/>
            <w:tcBorders>
              <w:bottom w:val="single" w:sz="8" w:color="auto"/>
            </w:tcBorders>
            <w:shd w:val="clear" w:color="auto" w:fill="CCEEFF"/>
          </w:tcPr>
          <w:p>
            <w:pPr>
              <w:spacing w:after="0"/>
              <w:rPr>
                <w:sz w:val="17"/>
                <w:szCs w:val="17"/>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w:t>
            </w:r>
          </w:p>
        </w:tc>
        <w:tc>
          <w:tcPr>
            <w:tcW w:w="12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0.2</w:t>
            </w:r>
          </w:p>
        </w:tc>
      </w:tr>
      <w:tr>
        <w:trPr>
          <w:trHeight w:val="195"/>
        </w:trPr>
        <w:tc>
          <w:tcPr>
            <w:tcW w:w="758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Net cash used in financing activities</w:t>
            </w:r>
          </w:p>
        </w:tc>
        <w:tc>
          <w:tcPr>
            <w:tcW w:w="22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(77.0)</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(96.8)</w:t>
            </w:r>
          </w:p>
        </w:tc>
      </w:tr>
      <w:tr>
        <w:trPr>
          <w:trHeight w:val="197"/>
        </w:trPr>
        <w:tc>
          <w:tcPr>
            <w:tcW w:w="75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r>
      <w:tr>
        <w:trPr>
          <w:trHeight w:val="199"/>
        </w:trPr>
        <w:tc>
          <w:tcPr>
            <w:tcW w:w="7580" w:type="dxa"/>
            <w:vAlign w:val="bottom"/>
          </w:tcPr>
          <w:p>
            <w:pPr>
              <w:ind w:left="20"/>
              <w:spacing w:after="0"/>
              <w:rPr>
                <w:sz w:val="20"/>
                <w:szCs w:val="20"/>
                <w:color w:val="auto"/>
              </w:rPr>
            </w:pPr>
            <w:r>
              <w:rPr>
                <w:rFonts w:ascii="Arial" w:cs="Arial" w:eastAsia="Arial" w:hAnsi="Arial"/>
                <w:sz w:val="14"/>
                <w:szCs w:val="14"/>
                <w:color w:val="auto"/>
              </w:rPr>
              <w:t>Net increase in cash and cash equivalents</w:t>
            </w:r>
          </w:p>
        </w:tc>
        <w:tc>
          <w:tcPr>
            <w:tcW w:w="22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21.0</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27.7</w:t>
            </w:r>
          </w:p>
        </w:tc>
      </w:tr>
      <w:tr>
        <w:trPr>
          <w:trHeight w:val="203"/>
        </w:trPr>
        <w:tc>
          <w:tcPr>
            <w:tcW w:w="758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and cash equivalents at beginning of period</w:t>
            </w:r>
          </w:p>
        </w:tc>
        <w:tc>
          <w:tcPr>
            <w:tcW w:w="220" w:type="dxa"/>
            <w:vAlign w:val="bottom"/>
            <w:tcBorders>
              <w:bottom w:val="single" w:sz="8" w:color="auto"/>
            </w:tcBorders>
            <w:shd w:val="clear" w:color="auto" w:fill="CCEEFF"/>
          </w:tcPr>
          <w:p>
            <w:pPr>
              <w:spacing w:after="0"/>
              <w:rPr>
                <w:sz w:val="17"/>
                <w:szCs w:val="17"/>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309.9</w:t>
            </w:r>
          </w:p>
        </w:tc>
        <w:tc>
          <w:tcPr>
            <w:tcW w:w="12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282.2</w:t>
            </w:r>
          </w:p>
        </w:tc>
      </w:tr>
      <w:tr>
        <w:trPr>
          <w:trHeight w:val="200"/>
        </w:trPr>
        <w:tc>
          <w:tcPr>
            <w:tcW w:w="7580" w:type="dxa"/>
            <w:vAlign w:val="bottom"/>
          </w:tcPr>
          <w:p>
            <w:pPr>
              <w:ind w:left="20"/>
              <w:spacing w:after="0"/>
              <w:rPr>
                <w:sz w:val="20"/>
                <w:szCs w:val="20"/>
                <w:color w:val="auto"/>
              </w:rPr>
            </w:pPr>
            <w:r>
              <w:rPr>
                <w:rFonts w:ascii="Arial" w:cs="Arial" w:eastAsia="Arial" w:hAnsi="Arial"/>
                <w:sz w:val="14"/>
                <w:szCs w:val="14"/>
                <w:color w:val="auto"/>
              </w:rPr>
              <w:t>Cash and cash equivalents at end of period</w:t>
            </w: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330.9</w:t>
            </w:r>
          </w:p>
        </w:tc>
        <w:tc>
          <w:tcPr>
            <w:tcW w:w="120" w:type="dxa"/>
            <w:vAlign w:val="bottom"/>
          </w:tcPr>
          <w:p>
            <w:pPr>
              <w:spacing w:after="0"/>
              <w:rPr>
                <w:sz w:val="17"/>
                <w:szCs w:val="17"/>
                <w:color w:val="auto"/>
              </w:rPr>
            </w:pPr>
          </w:p>
        </w:tc>
        <w:tc>
          <w:tcPr>
            <w:tcW w:w="2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w w:val="76"/>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309.9</w:t>
            </w:r>
          </w:p>
        </w:tc>
      </w:tr>
      <w:tr>
        <w:trPr>
          <w:trHeight w:val="21"/>
        </w:trPr>
        <w:tc>
          <w:tcPr>
            <w:tcW w:w="75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ectPr>
          <w:pgSz w:w="11900" w:h="16838" w:orient="portrait"/>
          <w:cols w:equalWidth="0" w:num="1">
            <w:col w:w="11200"/>
          </w:cols>
          <w:pgMar w:left="340" w:top="850" w:right="359"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203"/>
        </w:trPr>
        <w:tc>
          <w:tcPr>
            <w:tcW w:w="56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Supplemental Disclosures</w:t>
            </w:r>
          </w:p>
        </w:tc>
        <w:tc>
          <w:tcPr>
            <w:tcW w:w="26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r>
      <w:tr>
        <w:trPr>
          <w:trHeight w:val="198"/>
        </w:trPr>
        <w:tc>
          <w:tcPr>
            <w:tcW w:w="5660" w:type="dxa"/>
            <w:vAlign w:val="bottom"/>
          </w:tcPr>
          <w:p>
            <w:pPr>
              <w:ind w:left="140"/>
              <w:spacing w:after="0"/>
              <w:rPr>
                <w:sz w:val="20"/>
                <w:szCs w:val="20"/>
                <w:color w:val="auto"/>
              </w:rPr>
            </w:pPr>
            <w:r>
              <w:rPr>
                <w:rFonts w:ascii="Arial" w:cs="Arial" w:eastAsia="Arial" w:hAnsi="Arial"/>
                <w:sz w:val="14"/>
                <w:szCs w:val="14"/>
                <w:color w:val="auto"/>
              </w:rPr>
              <w:t>Income taxes paid, net</w:t>
            </w:r>
          </w:p>
        </w:tc>
        <w:tc>
          <w:tcPr>
            <w:tcW w:w="2680" w:type="dxa"/>
            <w:vAlign w:val="bottom"/>
          </w:tcPr>
          <w:p>
            <w:pPr>
              <w:jc w:val="right"/>
              <w:ind w:right="588"/>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14.4</w:t>
            </w:r>
          </w:p>
        </w:tc>
        <w:tc>
          <w:tcPr>
            <w:tcW w:w="820" w:type="dxa"/>
            <w:vAlign w:val="bottom"/>
          </w:tcPr>
          <w:p>
            <w:pPr>
              <w:jc w:val="right"/>
              <w:ind w:right="588"/>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57.8</w:t>
            </w:r>
          </w:p>
        </w:tc>
      </w:tr>
      <w:tr>
        <w:trPr>
          <w:trHeight w:val="207"/>
        </w:trPr>
        <w:tc>
          <w:tcPr>
            <w:tcW w:w="56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Interest paid</w:t>
            </w:r>
          </w:p>
        </w:tc>
        <w:tc>
          <w:tcPr>
            <w:tcW w:w="268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29.0</w:t>
            </w:r>
          </w:p>
        </w:tc>
        <w:tc>
          <w:tcPr>
            <w:tcW w:w="8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24.2</w:t>
            </w:r>
          </w:p>
        </w:tc>
      </w:tr>
      <w:tr>
        <w:trPr>
          <w:trHeight w:val="216"/>
        </w:trPr>
        <w:tc>
          <w:tcPr>
            <w:tcW w:w="566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03"/>
        </w:trPr>
        <w:tc>
          <w:tcPr>
            <w:tcW w:w="56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Non-cash investing and financing activities</w:t>
            </w:r>
          </w:p>
        </w:tc>
        <w:tc>
          <w:tcPr>
            <w:tcW w:w="26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r>
      <w:tr>
        <w:trPr>
          <w:trHeight w:val="198"/>
        </w:trPr>
        <w:tc>
          <w:tcPr>
            <w:tcW w:w="5660" w:type="dxa"/>
            <w:vAlign w:val="bottom"/>
          </w:tcPr>
          <w:p>
            <w:pPr>
              <w:ind w:left="140"/>
              <w:spacing w:after="0"/>
              <w:rPr>
                <w:sz w:val="20"/>
                <w:szCs w:val="20"/>
                <w:color w:val="auto"/>
              </w:rPr>
            </w:pPr>
            <w:r>
              <w:rPr>
                <w:rFonts w:ascii="Arial" w:cs="Arial" w:eastAsia="Arial" w:hAnsi="Arial"/>
                <w:sz w:val="14"/>
                <w:szCs w:val="14"/>
                <w:color w:val="auto"/>
              </w:rPr>
              <w:t>Capital expenditures in accounts payable</w:t>
            </w:r>
          </w:p>
        </w:tc>
        <w:tc>
          <w:tcPr>
            <w:tcW w:w="2680" w:type="dxa"/>
            <w:vAlign w:val="bottom"/>
          </w:tcPr>
          <w:p>
            <w:pPr>
              <w:jc w:val="right"/>
              <w:ind w:right="588"/>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4.6</w:t>
            </w:r>
          </w:p>
        </w:tc>
        <w:tc>
          <w:tcPr>
            <w:tcW w:w="820" w:type="dxa"/>
            <w:vAlign w:val="bottom"/>
          </w:tcPr>
          <w:p>
            <w:pPr>
              <w:jc w:val="right"/>
              <w:ind w:right="588"/>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3.0</w:t>
            </w:r>
          </w:p>
        </w:tc>
      </w:tr>
      <w:tr>
        <w:trPr>
          <w:trHeight w:val="207"/>
        </w:trPr>
        <w:tc>
          <w:tcPr>
            <w:tcW w:w="56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Dividends declared not yet paid</w:t>
            </w:r>
          </w:p>
        </w:tc>
        <w:tc>
          <w:tcPr>
            <w:tcW w:w="268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10.9</w:t>
            </w:r>
          </w:p>
        </w:tc>
        <w:tc>
          <w:tcPr>
            <w:tcW w:w="8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10.2</w:t>
            </w:r>
          </w:p>
        </w:tc>
      </w:tr>
      <w:tr>
        <w:trPr>
          <w:trHeight w:val="198"/>
        </w:trPr>
        <w:tc>
          <w:tcPr>
            <w:tcW w:w="5660" w:type="dxa"/>
            <w:vAlign w:val="bottom"/>
          </w:tcPr>
          <w:p>
            <w:pPr>
              <w:ind w:left="140"/>
              <w:spacing w:after="0"/>
              <w:rPr>
                <w:sz w:val="20"/>
                <w:szCs w:val="20"/>
                <w:color w:val="auto"/>
              </w:rPr>
            </w:pPr>
            <w:r>
              <w:rPr>
                <w:rFonts w:ascii="Arial" w:cs="Arial" w:eastAsia="Arial" w:hAnsi="Arial"/>
                <w:sz w:val="14"/>
                <w:szCs w:val="14"/>
                <w:color w:val="auto"/>
              </w:rPr>
              <w:t>Increase in lease assets in exchange for lease liabilities:</w:t>
            </w:r>
          </w:p>
        </w:tc>
        <w:tc>
          <w:tcPr>
            <w:tcW w:w="26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7"/>
        </w:trPr>
        <w:tc>
          <w:tcPr>
            <w:tcW w:w="5660" w:type="dxa"/>
            <w:vAlign w:val="bottom"/>
            <w:shd w:val="clear" w:color="auto" w:fill="CCEEFF"/>
          </w:tcPr>
          <w:p>
            <w:pPr>
              <w:ind w:left="240"/>
              <w:spacing w:after="0"/>
              <w:rPr>
                <w:sz w:val="20"/>
                <w:szCs w:val="20"/>
                <w:color w:val="auto"/>
              </w:rPr>
            </w:pPr>
            <w:r>
              <w:rPr>
                <w:rFonts w:ascii="Arial" w:cs="Arial" w:eastAsia="Arial" w:hAnsi="Arial"/>
                <w:sz w:val="14"/>
                <w:szCs w:val="14"/>
                <w:color w:val="auto"/>
              </w:rPr>
              <w:t>Operating leases</w:t>
            </w:r>
          </w:p>
        </w:tc>
        <w:tc>
          <w:tcPr>
            <w:tcW w:w="268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9.8</w:t>
            </w:r>
          </w:p>
        </w:tc>
        <w:tc>
          <w:tcPr>
            <w:tcW w:w="8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w:t>
            </w:r>
          </w:p>
        </w:tc>
      </w:tr>
      <w:tr>
        <w:trPr>
          <w:trHeight w:val="194"/>
        </w:trPr>
        <w:tc>
          <w:tcPr>
            <w:tcW w:w="5660" w:type="dxa"/>
            <w:vAlign w:val="bottom"/>
          </w:tcPr>
          <w:p>
            <w:pPr>
              <w:ind w:left="240"/>
              <w:spacing w:after="0"/>
              <w:rPr>
                <w:sz w:val="20"/>
                <w:szCs w:val="20"/>
                <w:color w:val="auto"/>
              </w:rPr>
            </w:pPr>
            <w:r>
              <w:rPr>
                <w:rFonts w:ascii="Arial" w:cs="Arial" w:eastAsia="Arial" w:hAnsi="Arial"/>
                <w:sz w:val="14"/>
                <w:szCs w:val="14"/>
                <w:color w:val="auto"/>
              </w:rPr>
              <w:t>Financing leases</w:t>
            </w:r>
          </w:p>
        </w:tc>
        <w:tc>
          <w:tcPr>
            <w:tcW w:w="2680" w:type="dxa"/>
            <w:vAlign w:val="bottom"/>
          </w:tcPr>
          <w:p>
            <w:pPr>
              <w:spacing w:after="0"/>
              <w:rPr>
                <w:sz w:val="16"/>
                <w:szCs w:val="16"/>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1.8</w:t>
            </w:r>
          </w:p>
        </w:tc>
        <w:tc>
          <w:tcPr>
            <w:tcW w:w="8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2.4</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ectPr>
          <w:pgSz w:w="11900" w:h="16838" w:orient="portrait"/>
          <w:cols w:equalWidth="0" w:num="1">
            <w:col w:w="11200"/>
          </w:cols>
          <w:pgMar w:left="340" w:top="896" w:right="359" w:bottom="1440" w:gutter="0" w:footer="0" w:header="0"/>
        </w:sectPr>
      </w:pPr>
    </w:p>
    <w:bookmarkStart w:id="15" w:name="page16"/>
    <w:bookmarkEnd w:id="15"/>
    <w:p>
      <w:pPr>
        <w:jc w:val="center"/>
        <w:ind w:right="-131"/>
        <w:spacing w:after="0"/>
        <w:rPr>
          <w:sz w:val="20"/>
          <w:szCs w:val="20"/>
          <w:color w:val="auto"/>
        </w:rPr>
      </w:pPr>
      <w:r>
        <w:rPr>
          <w:rFonts w:ascii="Arial" w:cs="Arial" w:eastAsia="Arial" w:hAnsi="Arial"/>
          <w:sz w:val="18"/>
          <w:szCs w:val="18"/>
          <w:b w:val="1"/>
          <w:bCs w:val="1"/>
          <w:color w:val="auto"/>
        </w:rPr>
        <w:t>Winnebago Industries, Inc.</w:t>
      </w:r>
    </w:p>
    <w:p>
      <w:pPr>
        <w:spacing w:after="0" w:line="27" w:lineRule="exact"/>
        <w:rPr>
          <w:sz w:val="20"/>
          <w:szCs w:val="20"/>
          <w:color w:val="auto"/>
        </w:rPr>
      </w:pPr>
    </w:p>
    <w:p>
      <w:pPr>
        <w:jc w:val="center"/>
        <w:ind w:right="-131"/>
        <w:spacing w:after="0"/>
        <w:rPr>
          <w:sz w:val="20"/>
          <w:szCs w:val="20"/>
          <w:color w:val="auto"/>
        </w:rPr>
      </w:pPr>
      <w:r>
        <w:rPr>
          <w:rFonts w:ascii="Arial" w:cs="Arial" w:eastAsia="Arial" w:hAnsi="Arial"/>
          <w:sz w:val="18"/>
          <w:szCs w:val="18"/>
          <w:b w:val="1"/>
          <w:bCs w:val="1"/>
          <w:color w:val="auto"/>
        </w:rPr>
        <w:t>Supplemental Information by Reportable Segment - Towable RV</w:t>
      </w:r>
    </w:p>
    <w:p>
      <w:pPr>
        <w:spacing w:after="0" w:line="12" w:lineRule="exact"/>
        <w:rPr>
          <w:sz w:val="20"/>
          <w:szCs w:val="20"/>
          <w:color w:val="auto"/>
        </w:rPr>
      </w:pPr>
    </w:p>
    <w:p>
      <w:pPr>
        <w:jc w:val="center"/>
        <w:ind w:right="-131"/>
        <w:spacing w:after="0"/>
        <w:rPr>
          <w:sz w:val="20"/>
          <w:szCs w:val="20"/>
          <w:color w:val="auto"/>
        </w:rPr>
      </w:pPr>
      <w:r>
        <w:rPr>
          <w:rFonts w:ascii="Arial" w:cs="Arial" w:eastAsia="Arial" w:hAnsi="Arial"/>
          <w:sz w:val="16"/>
          <w:szCs w:val="16"/>
          <w:b w:val="1"/>
          <w:bCs w:val="1"/>
          <w:color w:val="auto"/>
        </w:rPr>
        <w:t>(in millions, except unit data)</w:t>
      </w:r>
    </w:p>
    <w:p>
      <w:pPr>
        <w:spacing w:after="0" w:line="5" w:lineRule="exact"/>
        <w:rPr>
          <w:sz w:val="20"/>
          <w:szCs w:val="20"/>
          <w:color w:val="auto"/>
        </w:rPr>
      </w:pPr>
    </w:p>
    <w:p>
      <w:pPr>
        <w:jc w:val="center"/>
        <w:ind w:right="-131"/>
        <w:spacing w:after="0"/>
        <w:rPr>
          <w:sz w:val="20"/>
          <w:szCs w:val="20"/>
          <w:color w:val="auto"/>
        </w:rPr>
      </w:pPr>
      <w:r>
        <w:rPr>
          <w:rFonts w:ascii="Arial" w:cs="Arial" w:eastAsia="Arial" w:hAnsi="Arial"/>
          <w:sz w:val="16"/>
          <w:szCs w:val="16"/>
          <w:b w:val="1"/>
          <w:bCs w:val="1"/>
          <w:color w:val="auto"/>
        </w:rPr>
        <w:t>(Unaudited and subject to reclassification)</w:t>
      </w:r>
    </w:p>
    <w:p>
      <w:pPr>
        <w:spacing w:after="0" w:line="43" w:lineRule="exact"/>
        <w:rPr>
          <w:sz w:val="20"/>
          <w:szCs w:val="20"/>
          <w:color w:val="auto"/>
        </w:rPr>
      </w:pPr>
    </w:p>
    <w:tbl>
      <w:tblPr>
        <w:tblLayout w:type="fixed"/>
        <w:tblInd w:w="152" w:type="dxa"/>
        <w:tblCellMar>
          <w:top w:w="0" w:type="dxa"/>
          <w:left w:w="0" w:type="dxa"/>
          <w:bottom w:w="0" w:type="dxa"/>
          <w:right w:w="0" w:type="dxa"/>
        </w:tblCellMar>
      </w:tblPr>
      <w:tr>
        <w:trPr>
          <w:trHeight w:val="217"/>
        </w:trPr>
        <w:tc>
          <w:tcPr>
            <w:tcW w:w="24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860" w:type="dxa"/>
            <w:vAlign w:val="bottom"/>
            <w:tcBorders>
              <w:bottom w:val="single" w:sz="8" w:color="auto"/>
            </w:tcBorders>
            <w:gridSpan w:val="5"/>
          </w:tcPr>
          <w:p>
            <w:pPr>
              <w:jc w:val="center"/>
              <w:ind w:right="339"/>
              <w:spacing w:after="0"/>
              <w:rPr>
                <w:sz w:val="20"/>
                <w:szCs w:val="20"/>
                <w:color w:val="auto"/>
              </w:rPr>
            </w:pPr>
            <w:r>
              <w:rPr>
                <w:rFonts w:ascii="Arial" w:cs="Arial" w:eastAsia="Arial" w:hAnsi="Arial"/>
                <w:sz w:val="16"/>
                <w:szCs w:val="16"/>
                <w:b w:val="1"/>
                <w:bCs w:val="1"/>
                <w:color w:val="auto"/>
              </w:rPr>
              <w:t>Three Months Ended</w:t>
            </w:r>
          </w:p>
        </w:tc>
        <w:tc>
          <w:tcPr>
            <w:tcW w:w="11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24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0" w:type="dxa"/>
            <w:vAlign w:val="bottom"/>
            <w:gridSpan w:val="2"/>
          </w:tcPr>
          <w:p>
            <w:pPr>
              <w:jc w:val="center"/>
              <w:ind w:right="260"/>
              <w:spacing w:after="0" w:line="155" w:lineRule="exact"/>
              <w:rPr>
                <w:sz w:val="20"/>
                <w:szCs w:val="20"/>
                <w:color w:val="auto"/>
              </w:rPr>
            </w:pPr>
            <w:r>
              <w:rPr>
                <w:rFonts w:ascii="Arial" w:cs="Arial" w:eastAsia="Arial" w:hAnsi="Arial"/>
                <w:sz w:val="16"/>
                <w:szCs w:val="16"/>
                <w:b w:val="1"/>
                <w:bCs w:val="1"/>
                <w:color w:val="auto"/>
              </w:rPr>
              <w:t>August 31,</w:t>
            </w:r>
          </w:p>
        </w:tc>
        <w:tc>
          <w:tcPr>
            <w:tcW w:w="1520" w:type="dxa"/>
            <w:vAlign w:val="bottom"/>
            <w:gridSpan w:val="3"/>
            <w:vMerge w:val="restart"/>
          </w:tcPr>
          <w:p>
            <w:pPr>
              <w:jc w:val="center"/>
              <w:ind w:right="80"/>
              <w:spacing w:after="0"/>
              <w:rPr>
                <w:sz w:val="20"/>
                <w:szCs w:val="20"/>
                <w:color w:val="auto"/>
              </w:rPr>
            </w:pPr>
            <w:r>
              <w:rPr>
                <w:rFonts w:ascii="Arial" w:cs="Arial" w:eastAsia="Arial" w:hAnsi="Arial"/>
                <w:sz w:val="16"/>
                <w:szCs w:val="16"/>
                <w:b w:val="1"/>
                <w:bCs w:val="1"/>
                <w:color w:val="auto"/>
                <w:w w:val="97"/>
              </w:rPr>
              <w:t>% of Revenues</w:t>
            </w:r>
            <w:r>
              <w:rPr>
                <w:rFonts w:ascii="Arial" w:cs="Arial" w:eastAsia="Arial" w:hAnsi="Arial"/>
                <w:sz w:val="21"/>
                <w:szCs w:val="21"/>
                <w:b w:val="1"/>
                <w:bCs w:val="1"/>
                <w:color w:val="auto"/>
                <w:w w:val="97"/>
                <w:vertAlign w:val="superscript"/>
              </w:rPr>
              <w:t>(1)</w:t>
            </w:r>
          </w:p>
        </w:tc>
        <w:tc>
          <w:tcPr>
            <w:tcW w:w="160" w:type="dxa"/>
            <w:vAlign w:val="bottom"/>
          </w:tcPr>
          <w:p>
            <w:pPr>
              <w:spacing w:after="0"/>
              <w:rPr>
                <w:sz w:val="13"/>
                <w:szCs w:val="13"/>
                <w:color w:val="auto"/>
              </w:rPr>
            </w:pPr>
          </w:p>
        </w:tc>
        <w:tc>
          <w:tcPr>
            <w:tcW w:w="1220" w:type="dxa"/>
            <w:vAlign w:val="bottom"/>
            <w:gridSpan w:val="2"/>
          </w:tcPr>
          <w:p>
            <w:pPr>
              <w:jc w:val="center"/>
              <w:ind w:right="260"/>
              <w:spacing w:after="0" w:line="155" w:lineRule="exact"/>
              <w:rPr>
                <w:sz w:val="20"/>
                <w:szCs w:val="20"/>
                <w:color w:val="auto"/>
              </w:rPr>
            </w:pPr>
            <w:r>
              <w:rPr>
                <w:rFonts w:ascii="Arial" w:cs="Arial" w:eastAsia="Arial" w:hAnsi="Arial"/>
                <w:sz w:val="16"/>
                <w:szCs w:val="16"/>
                <w:b w:val="1"/>
                <w:bCs w:val="1"/>
                <w:color w:val="auto"/>
              </w:rPr>
              <w:t>August 26,</w:t>
            </w:r>
          </w:p>
        </w:tc>
        <w:tc>
          <w:tcPr>
            <w:tcW w:w="1640" w:type="dxa"/>
            <w:vAlign w:val="bottom"/>
            <w:gridSpan w:val="3"/>
            <w:vMerge w:val="restart"/>
          </w:tcPr>
          <w:p>
            <w:pPr>
              <w:jc w:val="center"/>
              <w:ind w:right="159"/>
              <w:spacing w:after="0"/>
              <w:rPr>
                <w:sz w:val="20"/>
                <w:szCs w:val="20"/>
                <w:color w:val="auto"/>
              </w:rPr>
            </w:pPr>
            <w:r>
              <w:rPr>
                <w:rFonts w:ascii="Arial" w:cs="Arial" w:eastAsia="Arial" w:hAnsi="Arial"/>
                <w:sz w:val="16"/>
                <w:szCs w:val="16"/>
                <w:b w:val="1"/>
                <w:bCs w:val="1"/>
                <w:color w:val="auto"/>
                <w:w w:val="97"/>
              </w:rPr>
              <w:t>% of Revenues</w:t>
            </w:r>
            <w:r>
              <w:rPr>
                <w:rFonts w:ascii="Arial" w:cs="Arial" w:eastAsia="Arial" w:hAnsi="Arial"/>
                <w:sz w:val="21"/>
                <w:szCs w:val="21"/>
                <w:b w:val="1"/>
                <w:bCs w:val="1"/>
                <w:color w:val="auto"/>
                <w:w w:val="97"/>
                <w:vertAlign w:val="superscript"/>
              </w:rPr>
              <w:t>(1)</w:t>
            </w:r>
          </w:p>
        </w:tc>
        <w:tc>
          <w:tcPr>
            <w:tcW w:w="1220" w:type="dxa"/>
            <w:vAlign w:val="bottom"/>
            <w:gridSpan w:val="2"/>
            <w:vMerge w:val="restart"/>
          </w:tcPr>
          <w:p>
            <w:pPr>
              <w:jc w:val="center"/>
              <w:ind w:right="240"/>
              <w:spacing w:after="0"/>
              <w:rPr>
                <w:sz w:val="20"/>
                <w:szCs w:val="20"/>
                <w:color w:val="auto"/>
              </w:rPr>
            </w:pPr>
            <w:r>
              <w:rPr>
                <w:rFonts w:ascii="Arial" w:cs="Arial" w:eastAsia="Arial" w:hAnsi="Arial"/>
                <w:sz w:val="16"/>
                <w:szCs w:val="16"/>
                <w:b w:val="1"/>
                <w:bCs w:val="1"/>
                <w:color w:val="auto"/>
                <w:w w:val="96"/>
              </w:rPr>
              <w:t>$ Change</w:t>
            </w:r>
            <w:r>
              <w:rPr>
                <w:rFonts w:ascii="Arial" w:cs="Arial" w:eastAsia="Arial" w:hAnsi="Arial"/>
                <w:sz w:val="21"/>
                <w:szCs w:val="21"/>
                <w:b w:val="1"/>
                <w:bCs w:val="1"/>
                <w:color w:val="auto"/>
                <w:w w:val="96"/>
                <w:vertAlign w:val="superscript"/>
              </w:rPr>
              <w:t>(1)</w:t>
            </w:r>
          </w:p>
        </w:tc>
        <w:tc>
          <w:tcPr>
            <w:tcW w:w="138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5"/>
              </w:rPr>
              <w:t>% Change</w:t>
            </w:r>
            <w:r>
              <w:rPr>
                <w:rFonts w:ascii="Arial" w:cs="Arial" w:eastAsia="Arial" w:hAnsi="Arial"/>
                <w:sz w:val="21"/>
                <w:szCs w:val="21"/>
                <w:b w:val="1"/>
                <w:bCs w:val="1"/>
                <w:color w:val="auto"/>
                <w:w w:val="95"/>
                <w:vertAlign w:val="superscript"/>
              </w:rPr>
              <w:t>(1)</w:t>
            </w:r>
          </w:p>
        </w:tc>
        <w:tc>
          <w:tcPr>
            <w:tcW w:w="0" w:type="dxa"/>
            <w:vAlign w:val="bottom"/>
          </w:tcPr>
          <w:p>
            <w:pPr>
              <w:spacing w:after="0"/>
              <w:rPr>
                <w:sz w:val="1"/>
                <w:szCs w:val="1"/>
                <w:color w:val="auto"/>
              </w:rPr>
            </w:pPr>
          </w:p>
        </w:tc>
      </w:tr>
      <w:tr>
        <w:trPr>
          <w:trHeight w:val="216"/>
        </w:trPr>
        <w:tc>
          <w:tcPr>
            <w:tcW w:w="2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center"/>
              <w:ind w:right="59"/>
              <w:spacing w:after="0"/>
              <w:rPr>
                <w:sz w:val="20"/>
                <w:szCs w:val="20"/>
                <w:color w:val="auto"/>
              </w:rPr>
            </w:pPr>
            <w:r>
              <w:rPr>
                <w:rFonts w:ascii="Arial" w:cs="Arial" w:eastAsia="Arial" w:hAnsi="Arial"/>
                <w:sz w:val="16"/>
                <w:szCs w:val="16"/>
                <w:b w:val="1"/>
                <w:bCs w:val="1"/>
                <w:color w:val="auto"/>
              </w:rPr>
              <w:t>2024</w:t>
            </w:r>
          </w:p>
        </w:tc>
        <w:tc>
          <w:tcPr>
            <w:tcW w:w="100" w:type="dxa"/>
            <w:vAlign w:val="bottom"/>
          </w:tcPr>
          <w:p>
            <w:pPr>
              <w:spacing w:after="0"/>
              <w:rPr>
                <w:sz w:val="18"/>
                <w:szCs w:val="18"/>
                <w:color w:val="auto"/>
              </w:rPr>
            </w:pPr>
          </w:p>
        </w:tc>
        <w:tc>
          <w:tcPr>
            <w:tcW w:w="1520" w:type="dxa"/>
            <w:vAlign w:val="bottom"/>
            <w:gridSpan w:val="3"/>
            <w:vMerge w:val="continue"/>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jc w:val="center"/>
              <w:ind w:right="79"/>
              <w:spacing w:after="0"/>
              <w:rPr>
                <w:sz w:val="20"/>
                <w:szCs w:val="20"/>
                <w:color w:val="auto"/>
              </w:rPr>
            </w:pPr>
            <w:r>
              <w:rPr>
                <w:rFonts w:ascii="Arial" w:cs="Arial" w:eastAsia="Arial" w:hAnsi="Arial"/>
                <w:sz w:val="16"/>
                <w:szCs w:val="16"/>
                <w:b w:val="1"/>
                <w:bCs w:val="1"/>
                <w:color w:val="auto"/>
              </w:rPr>
              <w:t>2023</w:t>
            </w:r>
          </w:p>
        </w:tc>
        <w:tc>
          <w:tcPr>
            <w:tcW w:w="100" w:type="dxa"/>
            <w:vAlign w:val="bottom"/>
          </w:tcPr>
          <w:p>
            <w:pPr>
              <w:spacing w:after="0"/>
              <w:rPr>
                <w:sz w:val="18"/>
                <w:szCs w:val="18"/>
                <w:color w:val="auto"/>
              </w:rPr>
            </w:pPr>
          </w:p>
        </w:tc>
        <w:tc>
          <w:tcPr>
            <w:tcW w:w="1640" w:type="dxa"/>
            <w:vAlign w:val="bottom"/>
            <w:gridSpan w:val="3"/>
            <w:vMerge w:val="continue"/>
          </w:tcPr>
          <w:p>
            <w:pPr>
              <w:spacing w:after="0"/>
              <w:rPr>
                <w:sz w:val="18"/>
                <w:szCs w:val="18"/>
                <w:color w:val="auto"/>
              </w:rPr>
            </w:pPr>
          </w:p>
        </w:tc>
        <w:tc>
          <w:tcPr>
            <w:tcW w:w="1220" w:type="dxa"/>
            <w:vAlign w:val="bottom"/>
            <w:gridSpan w:val="2"/>
            <w:vMerge w:val="continue"/>
          </w:tcPr>
          <w:p>
            <w:pPr>
              <w:spacing w:after="0"/>
              <w:rPr>
                <w:sz w:val="18"/>
                <w:szCs w:val="18"/>
                <w:color w:val="auto"/>
              </w:rPr>
            </w:pPr>
          </w:p>
        </w:tc>
        <w:tc>
          <w:tcPr>
            <w:tcW w:w="13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4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Net revenues</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317.0</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341.4</w:t>
            </w:r>
          </w:p>
        </w:tc>
        <w:tc>
          <w:tcPr>
            <w:tcW w:w="100" w:type="dxa"/>
            <w:vAlign w:val="bottom"/>
            <w:tcBorders>
              <w:top w:val="single" w:sz="8" w:color="CCEEFF"/>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(24.4)</w:t>
            </w:r>
          </w:p>
        </w:tc>
        <w:tc>
          <w:tcPr>
            <w:tcW w:w="8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(7.2)%</w:t>
            </w:r>
          </w:p>
        </w:tc>
        <w:tc>
          <w:tcPr>
            <w:tcW w:w="0" w:type="dxa"/>
            <w:vAlign w:val="bottom"/>
          </w:tcPr>
          <w:p>
            <w:pPr>
              <w:spacing w:after="0"/>
              <w:rPr>
                <w:sz w:val="1"/>
                <w:szCs w:val="1"/>
                <w:color w:val="auto"/>
              </w:rPr>
            </w:pPr>
          </w:p>
        </w:tc>
      </w:tr>
      <w:tr>
        <w:trPr>
          <w:trHeight w:val="215"/>
        </w:trPr>
        <w:tc>
          <w:tcPr>
            <w:tcW w:w="2460" w:type="dxa"/>
            <w:vAlign w:val="bottom"/>
          </w:tcPr>
          <w:p>
            <w:pPr>
              <w:spacing w:after="0"/>
              <w:rPr>
                <w:sz w:val="20"/>
                <w:szCs w:val="20"/>
                <w:color w:val="auto"/>
              </w:rPr>
            </w:pPr>
            <w:r>
              <w:rPr>
                <w:rFonts w:ascii="Arial" w:cs="Arial" w:eastAsia="Arial" w:hAnsi="Arial"/>
                <w:sz w:val="16"/>
                <w:szCs w:val="16"/>
                <w:color w:val="auto"/>
              </w:rPr>
              <w:t>Adjusted EBITDA</w:t>
            </w: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20.6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6.5 %</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42.7</w:t>
            </w:r>
          </w:p>
        </w:tc>
        <w:tc>
          <w:tcPr>
            <w:tcW w:w="1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12.5 %</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(22.2)</w:t>
            </w:r>
          </w:p>
        </w:tc>
        <w:tc>
          <w:tcPr>
            <w:tcW w:w="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(51.9)%</w:t>
            </w:r>
          </w:p>
        </w:tc>
        <w:tc>
          <w:tcPr>
            <w:tcW w:w="0" w:type="dxa"/>
            <w:vAlign w:val="bottom"/>
          </w:tcPr>
          <w:p>
            <w:pPr>
              <w:spacing w:after="0"/>
              <w:rPr>
                <w:sz w:val="1"/>
                <w:szCs w:val="1"/>
                <w:color w:val="auto"/>
              </w:rPr>
            </w:pPr>
          </w:p>
        </w:tc>
      </w:tr>
      <w:tr>
        <w:trPr>
          <w:trHeight w:val="379"/>
        </w:trPr>
        <w:tc>
          <w:tcPr>
            <w:tcW w:w="246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860" w:type="dxa"/>
            <w:vAlign w:val="bottom"/>
            <w:tcBorders>
              <w:bottom w:val="single" w:sz="8" w:color="auto"/>
            </w:tcBorders>
            <w:gridSpan w:val="5"/>
          </w:tcPr>
          <w:p>
            <w:pPr>
              <w:jc w:val="center"/>
              <w:ind w:right="339"/>
              <w:spacing w:after="0"/>
              <w:rPr>
                <w:sz w:val="20"/>
                <w:szCs w:val="20"/>
                <w:color w:val="auto"/>
              </w:rPr>
            </w:pPr>
            <w:r>
              <w:rPr>
                <w:rFonts w:ascii="Arial" w:cs="Arial" w:eastAsia="Arial" w:hAnsi="Arial"/>
                <w:sz w:val="16"/>
                <w:szCs w:val="16"/>
                <w:b w:val="1"/>
                <w:bCs w:val="1"/>
                <w:color w:val="auto"/>
              </w:rPr>
              <w:t>Three Months Ended</w:t>
            </w:r>
          </w:p>
        </w:tc>
        <w:tc>
          <w:tcPr>
            <w:tcW w:w="1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2460" w:type="dxa"/>
            <w:vAlign w:val="bottom"/>
            <w:vMerge w:val="restart"/>
          </w:tcPr>
          <w:p>
            <w:pPr>
              <w:spacing w:after="0"/>
              <w:rPr>
                <w:sz w:val="20"/>
                <w:szCs w:val="20"/>
                <w:color w:val="auto"/>
              </w:rPr>
            </w:pPr>
            <w:r>
              <w:rPr>
                <w:rFonts w:ascii="Arial" w:cs="Arial" w:eastAsia="Arial" w:hAnsi="Arial"/>
                <w:sz w:val="16"/>
                <w:szCs w:val="16"/>
                <w:b w:val="1"/>
                <w:bCs w:val="1"/>
                <w:color w:val="auto"/>
              </w:rPr>
              <w:t>Unit deliveries</w:t>
            </w:r>
          </w:p>
        </w:tc>
        <w:tc>
          <w:tcPr>
            <w:tcW w:w="140" w:type="dxa"/>
            <w:vAlign w:val="bottom"/>
          </w:tcPr>
          <w:p>
            <w:pPr>
              <w:spacing w:after="0"/>
              <w:rPr>
                <w:sz w:val="13"/>
                <w:szCs w:val="13"/>
                <w:color w:val="auto"/>
              </w:rPr>
            </w:pPr>
          </w:p>
        </w:tc>
        <w:tc>
          <w:tcPr>
            <w:tcW w:w="1200" w:type="dxa"/>
            <w:vAlign w:val="bottom"/>
            <w:gridSpan w:val="2"/>
          </w:tcPr>
          <w:p>
            <w:pPr>
              <w:jc w:val="center"/>
              <w:ind w:right="260"/>
              <w:spacing w:after="0" w:line="155" w:lineRule="exact"/>
              <w:rPr>
                <w:sz w:val="20"/>
                <w:szCs w:val="20"/>
                <w:color w:val="auto"/>
              </w:rPr>
            </w:pPr>
            <w:r>
              <w:rPr>
                <w:rFonts w:ascii="Arial" w:cs="Arial" w:eastAsia="Arial" w:hAnsi="Arial"/>
                <w:sz w:val="16"/>
                <w:szCs w:val="16"/>
                <w:b w:val="1"/>
                <w:bCs w:val="1"/>
                <w:color w:val="auto"/>
              </w:rPr>
              <w:t>August 31,</w:t>
            </w:r>
          </w:p>
        </w:tc>
        <w:tc>
          <w:tcPr>
            <w:tcW w:w="140" w:type="dxa"/>
            <w:vAlign w:val="bottom"/>
          </w:tcPr>
          <w:p>
            <w:pPr>
              <w:spacing w:after="0"/>
              <w:rPr>
                <w:sz w:val="13"/>
                <w:szCs w:val="13"/>
                <w:color w:val="auto"/>
              </w:rPr>
            </w:pPr>
          </w:p>
        </w:tc>
        <w:tc>
          <w:tcPr>
            <w:tcW w:w="1380" w:type="dxa"/>
            <w:vAlign w:val="bottom"/>
            <w:gridSpan w:val="2"/>
            <w:vMerge w:val="restart"/>
          </w:tcPr>
          <w:p>
            <w:pPr>
              <w:jc w:val="center"/>
              <w:ind w:right="240"/>
              <w:spacing w:after="0"/>
              <w:rPr>
                <w:sz w:val="20"/>
                <w:szCs w:val="20"/>
                <w:color w:val="auto"/>
              </w:rPr>
            </w:pPr>
            <w:r>
              <w:rPr>
                <w:rFonts w:ascii="Arial" w:cs="Arial" w:eastAsia="Arial" w:hAnsi="Arial"/>
                <w:sz w:val="16"/>
                <w:szCs w:val="16"/>
                <w:b w:val="1"/>
                <w:bCs w:val="1"/>
                <w:color w:val="auto"/>
                <w:w w:val="97"/>
              </w:rPr>
              <w:t>Product Mix</w:t>
            </w:r>
            <w:r>
              <w:rPr>
                <w:rFonts w:ascii="Arial" w:cs="Arial" w:eastAsia="Arial" w:hAnsi="Arial"/>
                <w:sz w:val="21"/>
                <w:szCs w:val="21"/>
                <w:b w:val="1"/>
                <w:bCs w:val="1"/>
                <w:color w:val="auto"/>
                <w:w w:val="97"/>
                <w:vertAlign w:val="superscript"/>
              </w:rPr>
              <w:t>(2)</w:t>
            </w:r>
          </w:p>
        </w:tc>
        <w:tc>
          <w:tcPr>
            <w:tcW w:w="160" w:type="dxa"/>
            <w:vAlign w:val="bottom"/>
          </w:tcPr>
          <w:p>
            <w:pPr>
              <w:spacing w:after="0"/>
              <w:rPr>
                <w:sz w:val="13"/>
                <w:szCs w:val="13"/>
                <w:color w:val="auto"/>
              </w:rPr>
            </w:pPr>
          </w:p>
        </w:tc>
        <w:tc>
          <w:tcPr>
            <w:tcW w:w="1220" w:type="dxa"/>
            <w:vAlign w:val="bottom"/>
            <w:gridSpan w:val="2"/>
          </w:tcPr>
          <w:p>
            <w:pPr>
              <w:jc w:val="center"/>
              <w:ind w:right="260"/>
              <w:spacing w:after="0" w:line="155" w:lineRule="exact"/>
              <w:rPr>
                <w:sz w:val="20"/>
                <w:szCs w:val="20"/>
                <w:color w:val="auto"/>
              </w:rPr>
            </w:pPr>
            <w:r>
              <w:rPr>
                <w:rFonts w:ascii="Arial" w:cs="Arial" w:eastAsia="Arial" w:hAnsi="Arial"/>
                <w:sz w:val="16"/>
                <w:szCs w:val="16"/>
                <w:b w:val="1"/>
                <w:bCs w:val="1"/>
                <w:color w:val="auto"/>
              </w:rPr>
              <w:t>August 26,</w:t>
            </w:r>
          </w:p>
        </w:tc>
        <w:tc>
          <w:tcPr>
            <w:tcW w:w="1640" w:type="dxa"/>
            <w:vAlign w:val="bottom"/>
            <w:gridSpan w:val="3"/>
            <w:vMerge w:val="restart"/>
          </w:tcPr>
          <w:p>
            <w:pPr>
              <w:jc w:val="center"/>
              <w:ind w:right="179"/>
              <w:spacing w:after="0"/>
              <w:rPr>
                <w:sz w:val="20"/>
                <w:szCs w:val="20"/>
                <w:color w:val="auto"/>
              </w:rPr>
            </w:pPr>
            <w:r>
              <w:rPr>
                <w:rFonts w:ascii="Arial" w:cs="Arial" w:eastAsia="Arial" w:hAnsi="Arial"/>
                <w:sz w:val="16"/>
                <w:szCs w:val="16"/>
                <w:b w:val="1"/>
                <w:bCs w:val="1"/>
                <w:color w:val="auto"/>
                <w:w w:val="97"/>
              </w:rPr>
              <w:t>Product Mix</w:t>
            </w:r>
            <w:r>
              <w:rPr>
                <w:rFonts w:ascii="Arial" w:cs="Arial" w:eastAsia="Arial" w:hAnsi="Arial"/>
                <w:sz w:val="21"/>
                <w:szCs w:val="21"/>
                <w:b w:val="1"/>
                <w:bCs w:val="1"/>
                <w:color w:val="auto"/>
                <w:w w:val="97"/>
                <w:vertAlign w:val="superscript"/>
              </w:rPr>
              <w:t>(2)</w:t>
            </w:r>
          </w:p>
        </w:tc>
        <w:tc>
          <w:tcPr>
            <w:tcW w:w="1220" w:type="dxa"/>
            <w:vAlign w:val="bottom"/>
            <w:gridSpan w:val="2"/>
            <w:vMerge w:val="restart"/>
          </w:tcPr>
          <w:p>
            <w:pPr>
              <w:jc w:val="center"/>
              <w:ind w:right="240"/>
              <w:spacing w:after="0"/>
              <w:rPr>
                <w:sz w:val="20"/>
                <w:szCs w:val="20"/>
                <w:color w:val="auto"/>
              </w:rPr>
            </w:pPr>
            <w:r>
              <w:rPr>
                <w:rFonts w:ascii="Arial" w:cs="Arial" w:eastAsia="Arial" w:hAnsi="Arial"/>
                <w:sz w:val="16"/>
                <w:szCs w:val="16"/>
                <w:b w:val="1"/>
                <w:bCs w:val="1"/>
                <w:color w:val="auto"/>
                <w:w w:val="99"/>
              </w:rPr>
              <w:t>Unit Change</w:t>
            </w:r>
          </w:p>
        </w:tc>
        <w:tc>
          <w:tcPr>
            <w:tcW w:w="1380" w:type="dxa"/>
            <w:vAlign w:val="bottom"/>
            <w:vMerge w:val="restart"/>
          </w:tcPr>
          <w:p>
            <w:pPr>
              <w:jc w:val="center"/>
              <w:spacing w:after="0"/>
              <w:rPr>
                <w:sz w:val="20"/>
                <w:szCs w:val="20"/>
                <w:color w:val="auto"/>
              </w:rPr>
            </w:pPr>
            <w:r>
              <w:rPr>
                <w:rFonts w:ascii="Arial" w:cs="Arial" w:eastAsia="Arial" w:hAnsi="Arial"/>
                <w:sz w:val="16"/>
                <w:szCs w:val="16"/>
                <w:b w:val="1"/>
                <w:bCs w:val="1"/>
                <w:color w:val="auto"/>
              </w:rPr>
              <w:t>% Change</w:t>
            </w:r>
          </w:p>
        </w:tc>
        <w:tc>
          <w:tcPr>
            <w:tcW w:w="0" w:type="dxa"/>
            <w:vAlign w:val="bottom"/>
          </w:tcPr>
          <w:p>
            <w:pPr>
              <w:spacing w:after="0"/>
              <w:rPr>
                <w:sz w:val="1"/>
                <w:szCs w:val="1"/>
                <w:color w:val="auto"/>
              </w:rPr>
            </w:pPr>
          </w:p>
        </w:tc>
      </w:tr>
      <w:tr>
        <w:trPr>
          <w:trHeight w:val="216"/>
        </w:trPr>
        <w:tc>
          <w:tcPr>
            <w:tcW w:w="246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center"/>
              <w:ind w:right="59"/>
              <w:spacing w:after="0"/>
              <w:rPr>
                <w:sz w:val="20"/>
                <w:szCs w:val="20"/>
                <w:color w:val="auto"/>
              </w:rPr>
            </w:pPr>
            <w:r>
              <w:rPr>
                <w:rFonts w:ascii="Arial" w:cs="Arial" w:eastAsia="Arial" w:hAnsi="Arial"/>
                <w:sz w:val="16"/>
                <w:szCs w:val="16"/>
                <w:b w:val="1"/>
                <w:bCs w:val="1"/>
                <w:color w:val="auto"/>
              </w:rPr>
              <w:t>2024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jc w:val="center"/>
              <w:ind w:right="79"/>
              <w:spacing w:after="0"/>
              <w:rPr>
                <w:sz w:val="20"/>
                <w:szCs w:val="20"/>
                <w:color w:val="auto"/>
              </w:rPr>
            </w:pPr>
            <w:r>
              <w:rPr>
                <w:rFonts w:ascii="Arial" w:cs="Arial" w:eastAsia="Arial" w:hAnsi="Arial"/>
                <w:sz w:val="16"/>
                <w:szCs w:val="16"/>
                <w:b w:val="1"/>
                <w:bCs w:val="1"/>
                <w:color w:val="auto"/>
              </w:rPr>
              <w:t>2023</w:t>
            </w:r>
          </w:p>
        </w:tc>
        <w:tc>
          <w:tcPr>
            <w:tcW w:w="100" w:type="dxa"/>
            <w:vAlign w:val="bottom"/>
          </w:tcPr>
          <w:p>
            <w:pPr>
              <w:spacing w:after="0"/>
              <w:rPr>
                <w:sz w:val="18"/>
                <w:szCs w:val="18"/>
                <w:color w:val="auto"/>
              </w:rPr>
            </w:pPr>
          </w:p>
        </w:tc>
        <w:tc>
          <w:tcPr>
            <w:tcW w:w="1640" w:type="dxa"/>
            <w:vAlign w:val="bottom"/>
            <w:gridSpan w:val="3"/>
            <w:vMerge w:val="continue"/>
          </w:tcPr>
          <w:p>
            <w:pPr>
              <w:spacing w:after="0"/>
              <w:rPr>
                <w:sz w:val="18"/>
                <w:szCs w:val="18"/>
                <w:color w:val="auto"/>
              </w:rPr>
            </w:pPr>
          </w:p>
        </w:tc>
        <w:tc>
          <w:tcPr>
            <w:tcW w:w="1220" w:type="dxa"/>
            <w:vAlign w:val="bottom"/>
            <w:gridSpan w:val="2"/>
            <w:vMerge w:val="continue"/>
          </w:tcPr>
          <w:p>
            <w:pPr>
              <w:spacing w:after="0"/>
              <w:rPr>
                <w:sz w:val="18"/>
                <w:szCs w:val="18"/>
                <w:color w:val="auto"/>
              </w:rPr>
            </w:pPr>
          </w:p>
        </w:tc>
        <w:tc>
          <w:tcPr>
            <w:tcW w:w="13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4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Travel trailer</w:t>
            </w:r>
          </w:p>
        </w:tc>
        <w:tc>
          <w:tcPr>
            <w:tcW w:w="14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5,649</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69.0 %</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5,303</w:t>
            </w:r>
          </w:p>
        </w:tc>
        <w:tc>
          <w:tcPr>
            <w:tcW w:w="100" w:type="dxa"/>
            <w:vAlign w:val="bottom"/>
            <w:tcBorders>
              <w:top w:val="single" w:sz="8" w:color="CCEEFF"/>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68.8 %</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346</w:t>
            </w:r>
          </w:p>
        </w:tc>
        <w:tc>
          <w:tcPr>
            <w:tcW w:w="8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6.5 %</w:t>
            </w:r>
          </w:p>
        </w:tc>
        <w:tc>
          <w:tcPr>
            <w:tcW w:w="0" w:type="dxa"/>
            <w:vAlign w:val="bottom"/>
          </w:tcPr>
          <w:p>
            <w:pPr>
              <w:spacing w:after="0"/>
              <w:rPr>
                <w:sz w:val="1"/>
                <w:szCs w:val="1"/>
                <w:color w:val="auto"/>
              </w:rPr>
            </w:pPr>
          </w:p>
        </w:tc>
      </w:tr>
      <w:tr>
        <w:trPr>
          <w:trHeight w:val="215"/>
        </w:trPr>
        <w:tc>
          <w:tcPr>
            <w:tcW w:w="246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Fifth wheel</w:t>
            </w:r>
          </w:p>
        </w:tc>
        <w:tc>
          <w:tcPr>
            <w:tcW w:w="1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2,534</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31.0 %</w:t>
            </w:r>
          </w:p>
        </w:tc>
        <w:tc>
          <w:tcPr>
            <w:tcW w:w="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2,408</w:t>
            </w:r>
          </w:p>
        </w:tc>
        <w:tc>
          <w:tcPr>
            <w:tcW w:w="100" w:type="dxa"/>
            <w:vAlign w:val="bottom"/>
            <w:tcBorders>
              <w:bottom w:val="single" w:sz="8" w:color="CCEEFF"/>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31.2 %</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126</w:t>
            </w:r>
          </w:p>
        </w:tc>
        <w:tc>
          <w:tcPr>
            <w:tcW w:w="80" w:type="dxa"/>
            <w:vAlign w:val="bottom"/>
            <w:tcBorders>
              <w:bottom w:val="single" w:sz="8" w:color="CCEEFF"/>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5.2 %</w:t>
            </w:r>
          </w:p>
        </w:tc>
        <w:tc>
          <w:tcPr>
            <w:tcW w:w="0" w:type="dxa"/>
            <w:vAlign w:val="bottom"/>
          </w:tcPr>
          <w:p>
            <w:pPr>
              <w:spacing w:after="0"/>
              <w:rPr>
                <w:sz w:val="1"/>
                <w:szCs w:val="1"/>
                <w:color w:val="auto"/>
              </w:rPr>
            </w:pPr>
          </w:p>
        </w:tc>
      </w:tr>
      <w:tr>
        <w:trPr>
          <w:trHeight w:val="235"/>
        </w:trPr>
        <w:tc>
          <w:tcPr>
            <w:tcW w:w="24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Total Towable RV</w:t>
            </w:r>
          </w:p>
        </w:tc>
        <w:tc>
          <w:tcPr>
            <w:tcW w:w="14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8,183</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100.0 %</w:t>
            </w: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7,711</w:t>
            </w:r>
          </w:p>
        </w:tc>
        <w:tc>
          <w:tcPr>
            <w:tcW w:w="10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100.0 %</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472</w:t>
            </w:r>
          </w:p>
        </w:tc>
        <w:tc>
          <w:tcPr>
            <w:tcW w:w="8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6.1 %</w:t>
            </w:r>
          </w:p>
        </w:tc>
        <w:tc>
          <w:tcPr>
            <w:tcW w:w="0" w:type="dxa"/>
            <w:vAlign w:val="bottom"/>
          </w:tcPr>
          <w:p>
            <w:pPr>
              <w:spacing w:after="0"/>
              <w:rPr>
                <w:sz w:val="1"/>
                <w:szCs w:val="1"/>
                <w:color w:val="auto"/>
              </w:rPr>
            </w:pPr>
          </w:p>
        </w:tc>
      </w:tr>
      <w:tr>
        <w:trPr>
          <w:trHeight w:val="20"/>
        </w:trPr>
        <w:tc>
          <w:tcPr>
            <w:tcW w:w="24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246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860" w:type="dxa"/>
            <w:vAlign w:val="bottom"/>
            <w:tcBorders>
              <w:bottom w:val="single" w:sz="8" w:color="auto"/>
            </w:tcBorders>
            <w:gridSpan w:val="5"/>
          </w:tcPr>
          <w:p>
            <w:pPr>
              <w:jc w:val="center"/>
              <w:ind w:right="339"/>
              <w:spacing w:after="0"/>
              <w:rPr>
                <w:sz w:val="20"/>
                <w:szCs w:val="20"/>
                <w:color w:val="auto"/>
              </w:rPr>
            </w:pPr>
            <w:r>
              <w:rPr>
                <w:rFonts w:ascii="Arial" w:cs="Arial" w:eastAsia="Arial" w:hAnsi="Arial"/>
                <w:sz w:val="16"/>
                <w:szCs w:val="16"/>
                <w:b w:val="1"/>
                <w:bCs w:val="1"/>
                <w:color w:val="auto"/>
                <w:w w:val="99"/>
              </w:rPr>
              <w:t>Year Ended</w:t>
            </w:r>
          </w:p>
        </w:tc>
        <w:tc>
          <w:tcPr>
            <w:tcW w:w="1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24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0" w:type="dxa"/>
            <w:vAlign w:val="bottom"/>
            <w:gridSpan w:val="2"/>
          </w:tcPr>
          <w:p>
            <w:pPr>
              <w:jc w:val="center"/>
              <w:ind w:right="260"/>
              <w:spacing w:after="0" w:line="155" w:lineRule="exact"/>
              <w:rPr>
                <w:sz w:val="20"/>
                <w:szCs w:val="20"/>
                <w:color w:val="auto"/>
              </w:rPr>
            </w:pPr>
            <w:r>
              <w:rPr>
                <w:rFonts w:ascii="Arial" w:cs="Arial" w:eastAsia="Arial" w:hAnsi="Arial"/>
                <w:sz w:val="16"/>
                <w:szCs w:val="16"/>
                <w:b w:val="1"/>
                <w:bCs w:val="1"/>
                <w:color w:val="auto"/>
              </w:rPr>
              <w:t>August 31,</w:t>
            </w:r>
          </w:p>
        </w:tc>
        <w:tc>
          <w:tcPr>
            <w:tcW w:w="1520" w:type="dxa"/>
            <w:vAlign w:val="bottom"/>
            <w:gridSpan w:val="3"/>
            <w:vMerge w:val="restart"/>
          </w:tcPr>
          <w:p>
            <w:pPr>
              <w:jc w:val="center"/>
              <w:ind w:right="80"/>
              <w:spacing w:after="0"/>
              <w:rPr>
                <w:sz w:val="20"/>
                <w:szCs w:val="20"/>
                <w:color w:val="auto"/>
              </w:rPr>
            </w:pPr>
            <w:r>
              <w:rPr>
                <w:rFonts w:ascii="Arial" w:cs="Arial" w:eastAsia="Arial" w:hAnsi="Arial"/>
                <w:sz w:val="16"/>
                <w:szCs w:val="16"/>
                <w:b w:val="1"/>
                <w:bCs w:val="1"/>
                <w:color w:val="auto"/>
                <w:w w:val="97"/>
              </w:rPr>
              <w:t>% of Revenues</w:t>
            </w:r>
            <w:r>
              <w:rPr>
                <w:rFonts w:ascii="Arial" w:cs="Arial" w:eastAsia="Arial" w:hAnsi="Arial"/>
                <w:sz w:val="21"/>
                <w:szCs w:val="21"/>
                <w:b w:val="1"/>
                <w:bCs w:val="1"/>
                <w:color w:val="auto"/>
                <w:w w:val="97"/>
                <w:vertAlign w:val="superscript"/>
              </w:rPr>
              <w:t>(1)</w:t>
            </w:r>
          </w:p>
        </w:tc>
        <w:tc>
          <w:tcPr>
            <w:tcW w:w="160" w:type="dxa"/>
            <w:vAlign w:val="bottom"/>
          </w:tcPr>
          <w:p>
            <w:pPr>
              <w:spacing w:after="0"/>
              <w:rPr>
                <w:sz w:val="13"/>
                <w:szCs w:val="13"/>
                <w:color w:val="auto"/>
              </w:rPr>
            </w:pPr>
          </w:p>
        </w:tc>
        <w:tc>
          <w:tcPr>
            <w:tcW w:w="1220" w:type="dxa"/>
            <w:vAlign w:val="bottom"/>
            <w:gridSpan w:val="2"/>
          </w:tcPr>
          <w:p>
            <w:pPr>
              <w:jc w:val="center"/>
              <w:ind w:right="260"/>
              <w:spacing w:after="0" w:line="155" w:lineRule="exact"/>
              <w:rPr>
                <w:sz w:val="20"/>
                <w:szCs w:val="20"/>
                <w:color w:val="auto"/>
              </w:rPr>
            </w:pPr>
            <w:r>
              <w:rPr>
                <w:rFonts w:ascii="Arial" w:cs="Arial" w:eastAsia="Arial" w:hAnsi="Arial"/>
                <w:sz w:val="16"/>
                <w:szCs w:val="16"/>
                <w:b w:val="1"/>
                <w:bCs w:val="1"/>
                <w:color w:val="auto"/>
              </w:rPr>
              <w:t>August 26,</w:t>
            </w:r>
          </w:p>
        </w:tc>
        <w:tc>
          <w:tcPr>
            <w:tcW w:w="1640" w:type="dxa"/>
            <w:vAlign w:val="bottom"/>
            <w:gridSpan w:val="3"/>
            <w:vMerge w:val="restart"/>
          </w:tcPr>
          <w:p>
            <w:pPr>
              <w:jc w:val="center"/>
              <w:ind w:right="159"/>
              <w:spacing w:after="0"/>
              <w:rPr>
                <w:sz w:val="20"/>
                <w:szCs w:val="20"/>
                <w:color w:val="auto"/>
              </w:rPr>
            </w:pPr>
            <w:r>
              <w:rPr>
                <w:rFonts w:ascii="Arial" w:cs="Arial" w:eastAsia="Arial" w:hAnsi="Arial"/>
                <w:sz w:val="16"/>
                <w:szCs w:val="16"/>
                <w:b w:val="1"/>
                <w:bCs w:val="1"/>
                <w:color w:val="auto"/>
                <w:w w:val="97"/>
              </w:rPr>
              <w:t>% of Revenues</w:t>
            </w:r>
            <w:r>
              <w:rPr>
                <w:rFonts w:ascii="Arial" w:cs="Arial" w:eastAsia="Arial" w:hAnsi="Arial"/>
                <w:sz w:val="21"/>
                <w:szCs w:val="21"/>
                <w:b w:val="1"/>
                <w:bCs w:val="1"/>
                <w:color w:val="auto"/>
                <w:w w:val="97"/>
                <w:vertAlign w:val="superscript"/>
              </w:rPr>
              <w:t>(1)</w:t>
            </w:r>
          </w:p>
        </w:tc>
        <w:tc>
          <w:tcPr>
            <w:tcW w:w="1220" w:type="dxa"/>
            <w:vAlign w:val="bottom"/>
            <w:gridSpan w:val="2"/>
            <w:vMerge w:val="restart"/>
          </w:tcPr>
          <w:p>
            <w:pPr>
              <w:jc w:val="center"/>
              <w:ind w:right="240"/>
              <w:spacing w:after="0"/>
              <w:rPr>
                <w:sz w:val="20"/>
                <w:szCs w:val="20"/>
                <w:color w:val="auto"/>
              </w:rPr>
            </w:pPr>
            <w:r>
              <w:rPr>
                <w:rFonts w:ascii="Arial" w:cs="Arial" w:eastAsia="Arial" w:hAnsi="Arial"/>
                <w:sz w:val="16"/>
                <w:szCs w:val="16"/>
                <w:b w:val="1"/>
                <w:bCs w:val="1"/>
                <w:color w:val="auto"/>
                <w:w w:val="96"/>
              </w:rPr>
              <w:t>$ Change</w:t>
            </w:r>
            <w:r>
              <w:rPr>
                <w:rFonts w:ascii="Arial" w:cs="Arial" w:eastAsia="Arial" w:hAnsi="Arial"/>
                <w:sz w:val="21"/>
                <w:szCs w:val="21"/>
                <w:b w:val="1"/>
                <w:bCs w:val="1"/>
                <w:color w:val="auto"/>
                <w:w w:val="96"/>
                <w:vertAlign w:val="superscript"/>
              </w:rPr>
              <w:t>(1)</w:t>
            </w:r>
          </w:p>
        </w:tc>
        <w:tc>
          <w:tcPr>
            <w:tcW w:w="138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5"/>
              </w:rPr>
              <w:t>% Change</w:t>
            </w:r>
            <w:r>
              <w:rPr>
                <w:rFonts w:ascii="Arial" w:cs="Arial" w:eastAsia="Arial" w:hAnsi="Arial"/>
                <w:sz w:val="21"/>
                <w:szCs w:val="21"/>
                <w:b w:val="1"/>
                <w:bCs w:val="1"/>
                <w:color w:val="auto"/>
                <w:w w:val="95"/>
                <w:vertAlign w:val="superscript"/>
              </w:rPr>
              <w:t>(1)</w:t>
            </w:r>
          </w:p>
        </w:tc>
        <w:tc>
          <w:tcPr>
            <w:tcW w:w="0" w:type="dxa"/>
            <w:vAlign w:val="bottom"/>
          </w:tcPr>
          <w:p>
            <w:pPr>
              <w:spacing w:after="0"/>
              <w:rPr>
                <w:sz w:val="1"/>
                <w:szCs w:val="1"/>
                <w:color w:val="auto"/>
              </w:rPr>
            </w:pPr>
          </w:p>
        </w:tc>
      </w:tr>
      <w:tr>
        <w:trPr>
          <w:trHeight w:val="216"/>
        </w:trPr>
        <w:tc>
          <w:tcPr>
            <w:tcW w:w="2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center"/>
              <w:ind w:right="59"/>
              <w:spacing w:after="0"/>
              <w:rPr>
                <w:sz w:val="20"/>
                <w:szCs w:val="20"/>
                <w:color w:val="auto"/>
              </w:rPr>
            </w:pPr>
            <w:r>
              <w:rPr>
                <w:rFonts w:ascii="Arial" w:cs="Arial" w:eastAsia="Arial" w:hAnsi="Arial"/>
                <w:sz w:val="16"/>
                <w:szCs w:val="16"/>
                <w:b w:val="1"/>
                <w:bCs w:val="1"/>
                <w:color w:val="auto"/>
              </w:rPr>
              <w:t>2024</w:t>
            </w:r>
          </w:p>
        </w:tc>
        <w:tc>
          <w:tcPr>
            <w:tcW w:w="100" w:type="dxa"/>
            <w:vAlign w:val="bottom"/>
          </w:tcPr>
          <w:p>
            <w:pPr>
              <w:spacing w:after="0"/>
              <w:rPr>
                <w:sz w:val="18"/>
                <w:szCs w:val="18"/>
                <w:color w:val="auto"/>
              </w:rPr>
            </w:pPr>
          </w:p>
        </w:tc>
        <w:tc>
          <w:tcPr>
            <w:tcW w:w="1520" w:type="dxa"/>
            <w:vAlign w:val="bottom"/>
            <w:gridSpan w:val="3"/>
            <w:vMerge w:val="continue"/>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jc w:val="center"/>
              <w:ind w:right="79"/>
              <w:spacing w:after="0"/>
              <w:rPr>
                <w:sz w:val="20"/>
                <w:szCs w:val="20"/>
                <w:color w:val="auto"/>
              </w:rPr>
            </w:pPr>
            <w:r>
              <w:rPr>
                <w:rFonts w:ascii="Arial" w:cs="Arial" w:eastAsia="Arial" w:hAnsi="Arial"/>
                <w:sz w:val="16"/>
                <w:szCs w:val="16"/>
                <w:b w:val="1"/>
                <w:bCs w:val="1"/>
                <w:color w:val="auto"/>
              </w:rPr>
              <w:t>2023</w:t>
            </w:r>
          </w:p>
        </w:tc>
        <w:tc>
          <w:tcPr>
            <w:tcW w:w="100" w:type="dxa"/>
            <w:vAlign w:val="bottom"/>
          </w:tcPr>
          <w:p>
            <w:pPr>
              <w:spacing w:after="0"/>
              <w:rPr>
                <w:sz w:val="18"/>
                <w:szCs w:val="18"/>
                <w:color w:val="auto"/>
              </w:rPr>
            </w:pPr>
          </w:p>
        </w:tc>
        <w:tc>
          <w:tcPr>
            <w:tcW w:w="1640" w:type="dxa"/>
            <w:vAlign w:val="bottom"/>
            <w:gridSpan w:val="3"/>
            <w:vMerge w:val="continue"/>
          </w:tcPr>
          <w:p>
            <w:pPr>
              <w:spacing w:after="0"/>
              <w:rPr>
                <w:sz w:val="18"/>
                <w:szCs w:val="18"/>
                <w:color w:val="auto"/>
              </w:rPr>
            </w:pPr>
          </w:p>
        </w:tc>
        <w:tc>
          <w:tcPr>
            <w:tcW w:w="1220" w:type="dxa"/>
            <w:vAlign w:val="bottom"/>
            <w:gridSpan w:val="2"/>
            <w:vMerge w:val="continue"/>
          </w:tcPr>
          <w:p>
            <w:pPr>
              <w:spacing w:after="0"/>
              <w:rPr>
                <w:sz w:val="18"/>
                <w:szCs w:val="18"/>
                <w:color w:val="auto"/>
              </w:rPr>
            </w:pPr>
          </w:p>
        </w:tc>
        <w:tc>
          <w:tcPr>
            <w:tcW w:w="13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4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Net revenues</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1,318.8</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1,415.3</w:t>
            </w:r>
          </w:p>
        </w:tc>
        <w:tc>
          <w:tcPr>
            <w:tcW w:w="100" w:type="dxa"/>
            <w:vAlign w:val="bottom"/>
            <w:tcBorders>
              <w:top w:val="single" w:sz="8" w:color="CCEEFF"/>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(96.5)</w:t>
            </w:r>
          </w:p>
        </w:tc>
        <w:tc>
          <w:tcPr>
            <w:tcW w:w="8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(6.8)%</w:t>
            </w:r>
          </w:p>
        </w:tc>
        <w:tc>
          <w:tcPr>
            <w:tcW w:w="0" w:type="dxa"/>
            <w:vAlign w:val="bottom"/>
          </w:tcPr>
          <w:p>
            <w:pPr>
              <w:spacing w:after="0"/>
              <w:rPr>
                <w:sz w:val="1"/>
                <w:szCs w:val="1"/>
                <w:color w:val="auto"/>
              </w:rPr>
            </w:pPr>
          </w:p>
        </w:tc>
      </w:tr>
      <w:tr>
        <w:trPr>
          <w:trHeight w:val="215"/>
        </w:trPr>
        <w:tc>
          <w:tcPr>
            <w:tcW w:w="2460" w:type="dxa"/>
            <w:vAlign w:val="bottom"/>
          </w:tcPr>
          <w:p>
            <w:pPr>
              <w:spacing w:after="0"/>
              <w:rPr>
                <w:sz w:val="20"/>
                <w:szCs w:val="20"/>
                <w:color w:val="auto"/>
              </w:rPr>
            </w:pPr>
            <w:r>
              <w:rPr>
                <w:rFonts w:ascii="Arial" w:cs="Arial" w:eastAsia="Arial" w:hAnsi="Arial"/>
                <w:sz w:val="16"/>
                <w:szCs w:val="16"/>
                <w:color w:val="auto"/>
              </w:rPr>
              <w:t>Adjusted EBITDA</w:t>
            </w: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122.4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9.3 %</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172.1</w:t>
            </w:r>
          </w:p>
        </w:tc>
        <w:tc>
          <w:tcPr>
            <w:tcW w:w="1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12.2 %</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(49.7)</w:t>
            </w:r>
          </w:p>
        </w:tc>
        <w:tc>
          <w:tcPr>
            <w:tcW w:w="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(28.9)%</w:t>
            </w:r>
          </w:p>
        </w:tc>
        <w:tc>
          <w:tcPr>
            <w:tcW w:w="0" w:type="dxa"/>
            <w:vAlign w:val="bottom"/>
          </w:tcPr>
          <w:p>
            <w:pPr>
              <w:spacing w:after="0"/>
              <w:rPr>
                <w:sz w:val="1"/>
                <w:szCs w:val="1"/>
                <w:color w:val="auto"/>
              </w:rPr>
            </w:pPr>
          </w:p>
        </w:tc>
      </w:tr>
      <w:tr>
        <w:trPr>
          <w:trHeight w:val="379"/>
        </w:trPr>
        <w:tc>
          <w:tcPr>
            <w:tcW w:w="246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860" w:type="dxa"/>
            <w:vAlign w:val="bottom"/>
            <w:tcBorders>
              <w:bottom w:val="single" w:sz="8" w:color="auto"/>
            </w:tcBorders>
            <w:gridSpan w:val="5"/>
          </w:tcPr>
          <w:p>
            <w:pPr>
              <w:jc w:val="center"/>
              <w:ind w:right="339"/>
              <w:spacing w:after="0"/>
              <w:rPr>
                <w:sz w:val="20"/>
                <w:szCs w:val="20"/>
                <w:color w:val="auto"/>
              </w:rPr>
            </w:pPr>
            <w:r>
              <w:rPr>
                <w:rFonts w:ascii="Arial" w:cs="Arial" w:eastAsia="Arial" w:hAnsi="Arial"/>
                <w:sz w:val="16"/>
                <w:szCs w:val="16"/>
                <w:b w:val="1"/>
                <w:bCs w:val="1"/>
                <w:color w:val="auto"/>
                <w:w w:val="99"/>
              </w:rPr>
              <w:t>Year Ended</w:t>
            </w:r>
          </w:p>
        </w:tc>
        <w:tc>
          <w:tcPr>
            <w:tcW w:w="1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2460" w:type="dxa"/>
            <w:vAlign w:val="bottom"/>
            <w:vMerge w:val="restart"/>
          </w:tcPr>
          <w:p>
            <w:pPr>
              <w:spacing w:after="0"/>
              <w:rPr>
                <w:sz w:val="20"/>
                <w:szCs w:val="20"/>
                <w:color w:val="auto"/>
              </w:rPr>
            </w:pPr>
            <w:r>
              <w:rPr>
                <w:rFonts w:ascii="Arial" w:cs="Arial" w:eastAsia="Arial" w:hAnsi="Arial"/>
                <w:sz w:val="16"/>
                <w:szCs w:val="16"/>
                <w:b w:val="1"/>
                <w:bCs w:val="1"/>
                <w:color w:val="auto"/>
              </w:rPr>
              <w:t>Unit deliveries</w:t>
            </w:r>
          </w:p>
        </w:tc>
        <w:tc>
          <w:tcPr>
            <w:tcW w:w="140" w:type="dxa"/>
            <w:vAlign w:val="bottom"/>
          </w:tcPr>
          <w:p>
            <w:pPr>
              <w:spacing w:after="0"/>
              <w:rPr>
                <w:sz w:val="13"/>
                <w:szCs w:val="13"/>
                <w:color w:val="auto"/>
              </w:rPr>
            </w:pPr>
          </w:p>
        </w:tc>
        <w:tc>
          <w:tcPr>
            <w:tcW w:w="1200" w:type="dxa"/>
            <w:vAlign w:val="bottom"/>
            <w:gridSpan w:val="2"/>
          </w:tcPr>
          <w:p>
            <w:pPr>
              <w:jc w:val="center"/>
              <w:ind w:right="260"/>
              <w:spacing w:after="0" w:line="155" w:lineRule="exact"/>
              <w:rPr>
                <w:sz w:val="20"/>
                <w:szCs w:val="20"/>
                <w:color w:val="auto"/>
              </w:rPr>
            </w:pPr>
            <w:r>
              <w:rPr>
                <w:rFonts w:ascii="Arial" w:cs="Arial" w:eastAsia="Arial" w:hAnsi="Arial"/>
                <w:sz w:val="16"/>
                <w:szCs w:val="16"/>
                <w:b w:val="1"/>
                <w:bCs w:val="1"/>
                <w:color w:val="auto"/>
              </w:rPr>
              <w:t>August 31,</w:t>
            </w:r>
          </w:p>
        </w:tc>
        <w:tc>
          <w:tcPr>
            <w:tcW w:w="140" w:type="dxa"/>
            <w:vAlign w:val="bottom"/>
          </w:tcPr>
          <w:p>
            <w:pPr>
              <w:spacing w:after="0"/>
              <w:rPr>
                <w:sz w:val="13"/>
                <w:szCs w:val="13"/>
                <w:color w:val="auto"/>
              </w:rPr>
            </w:pPr>
          </w:p>
        </w:tc>
        <w:tc>
          <w:tcPr>
            <w:tcW w:w="1380" w:type="dxa"/>
            <w:vAlign w:val="bottom"/>
            <w:gridSpan w:val="2"/>
            <w:vMerge w:val="restart"/>
          </w:tcPr>
          <w:p>
            <w:pPr>
              <w:jc w:val="center"/>
              <w:ind w:right="240"/>
              <w:spacing w:after="0"/>
              <w:rPr>
                <w:sz w:val="20"/>
                <w:szCs w:val="20"/>
                <w:color w:val="auto"/>
              </w:rPr>
            </w:pPr>
            <w:r>
              <w:rPr>
                <w:rFonts w:ascii="Arial" w:cs="Arial" w:eastAsia="Arial" w:hAnsi="Arial"/>
                <w:sz w:val="16"/>
                <w:szCs w:val="16"/>
                <w:b w:val="1"/>
                <w:bCs w:val="1"/>
                <w:color w:val="auto"/>
                <w:w w:val="97"/>
              </w:rPr>
              <w:t>Product Mix</w:t>
            </w:r>
            <w:r>
              <w:rPr>
                <w:rFonts w:ascii="Arial" w:cs="Arial" w:eastAsia="Arial" w:hAnsi="Arial"/>
                <w:sz w:val="21"/>
                <w:szCs w:val="21"/>
                <w:b w:val="1"/>
                <w:bCs w:val="1"/>
                <w:color w:val="auto"/>
                <w:w w:val="97"/>
                <w:vertAlign w:val="superscript"/>
              </w:rPr>
              <w:t>(2)</w:t>
            </w:r>
          </w:p>
        </w:tc>
        <w:tc>
          <w:tcPr>
            <w:tcW w:w="160" w:type="dxa"/>
            <w:vAlign w:val="bottom"/>
          </w:tcPr>
          <w:p>
            <w:pPr>
              <w:spacing w:after="0"/>
              <w:rPr>
                <w:sz w:val="13"/>
                <w:szCs w:val="13"/>
                <w:color w:val="auto"/>
              </w:rPr>
            </w:pPr>
          </w:p>
        </w:tc>
        <w:tc>
          <w:tcPr>
            <w:tcW w:w="1220" w:type="dxa"/>
            <w:vAlign w:val="bottom"/>
            <w:gridSpan w:val="2"/>
          </w:tcPr>
          <w:p>
            <w:pPr>
              <w:jc w:val="center"/>
              <w:ind w:right="260"/>
              <w:spacing w:after="0" w:line="155" w:lineRule="exact"/>
              <w:rPr>
                <w:sz w:val="20"/>
                <w:szCs w:val="20"/>
                <w:color w:val="auto"/>
              </w:rPr>
            </w:pPr>
            <w:r>
              <w:rPr>
                <w:rFonts w:ascii="Arial" w:cs="Arial" w:eastAsia="Arial" w:hAnsi="Arial"/>
                <w:sz w:val="16"/>
                <w:szCs w:val="16"/>
                <w:b w:val="1"/>
                <w:bCs w:val="1"/>
                <w:color w:val="auto"/>
              </w:rPr>
              <w:t>August 26,</w:t>
            </w:r>
          </w:p>
        </w:tc>
        <w:tc>
          <w:tcPr>
            <w:tcW w:w="1640" w:type="dxa"/>
            <w:vAlign w:val="bottom"/>
            <w:gridSpan w:val="3"/>
            <w:vMerge w:val="restart"/>
          </w:tcPr>
          <w:p>
            <w:pPr>
              <w:jc w:val="center"/>
              <w:ind w:right="179"/>
              <w:spacing w:after="0"/>
              <w:rPr>
                <w:sz w:val="20"/>
                <w:szCs w:val="20"/>
                <w:color w:val="auto"/>
              </w:rPr>
            </w:pPr>
            <w:r>
              <w:rPr>
                <w:rFonts w:ascii="Arial" w:cs="Arial" w:eastAsia="Arial" w:hAnsi="Arial"/>
                <w:sz w:val="16"/>
                <w:szCs w:val="16"/>
                <w:b w:val="1"/>
                <w:bCs w:val="1"/>
                <w:color w:val="auto"/>
                <w:w w:val="97"/>
              </w:rPr>
              <w:t>Product Mix</w:t>
            </w:r>
            <w:r>
              <w:rPr>
                <w:rFonts w:ascii="Arial" w:cs="Arial" w:eastAsia="Arial" w:hAnsi="Arial"/>
                <w:sz w:val="21"/>
                <w:szCs w:val="21"/>
                <w:b w:val="1"/>
                <w:bCs w:val="1"/>
                <w:color w:val="auto"/>
                <w:w w:val="97"/>
                <w:vertAlign w:val="superscript"/>
              </w:rPr>
              <w:t>(2)</w:t>
            </w:r>
          </w:p>
        </w:tc>
        <w:tc>
          <w:tcPr>
            <w:tcW w:w="1220" w:type="dxa"/>
            <w:vAlign w:val="bottom"/>
            <w:gridSpan w:val="2"/>
            <w:vMerge w:val="restart"/>
          </w:tcPr>
          <w:p>
            <w:pPr>
              <w:jc w:val="center"/>
              <w:ind w:right="240"/>
              <w:spacing w:after="0"/>
              <w:rPr>
                <w:sz w:val="20"/>
                <w:szCs w:val="20"/>
                <w:color w:val="auto"/>
              </w:rPr>
            </w:pPr>
            <w:r>
              <w:rPr>
                <w:rFonts w:ascii="Arial" w:cs="Arial" w:eastAsia="Arial" w:hAnsi="Arial"/>
                <w:sz w:val="16"/>
                <w:szCs w:val="16"/>
                <w:b w:val="1"/>
                <w:bCs w:val="1"/>
                <w:color w:val="auto"/>
                <w:w w:val="99"/>
              </w:rPr>
              <w:t>Unit Change</w:t>
            </w:r>
          </w:p>
        </w:tc>
        <w:tc>
          <w:tcPr>
            <w:tcW w:w="1380" w:type="dxa"/>
            <w:vAlign w:val="bottom"/>
            <w:vMerge w:val="restart"/>
          </w:tcPr>
          <w:p>
            <w:pPr>
              <w:jc w:val="center"/>
              <w:spacing w:after="0"/>
              <w:rPr>
                <w:sz w:val="20"/>
                <w:szCs w:val="20"/>
                <w:color w:val="auto"/>
              </w:rPr>
            </w:pPr>
            <w:r>
              <w:rPr>
                <w:rFonts w:ascii="Arial" w:cs="Arial" w:eastAsia="Arial" w:hAnsi="Arial"/>
                <w:sz w:val="16"/>
                <w:szCs w:val="16"/>
                <w:b w:val="1"/>
                <w:bCs w:val="1"/>
                <w:color w:val="auto"/>
              </w:rPr>
              <w:t>% Change</w:t>
            </w:r>
          </w:p>
        </w:tc>
        <w:tc>
          <w:tcPr>
            <w:tcW w:w="0" w:type="dxa"/>
            <w:vAlign w:val="bottom"/>
          </w:tcPr>
          <w:p>
            <w:pPr>
              <w:spacing w:after="0"/>
              <w:rPr>
                <w:sz w:val="1"/>
                <w:szCs w:val="1"/>
                <w:color w:val="auto"/>
              </w:rPr>
            </w:pPr>
          </w:p>
        </w:tc>
      </w:tr>
      <w:tr>
        <w:trPr>
          <w:trHeight w:val="216"/>
        </w:trPr>
        <w:tc>
          <w:tcPr>
            <w:tcW w:w="246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center"/>
              <w:ind w:right="59"/>
              <w:spacing w:after="0"/>
              <w:rPr>
                <w:sz w:val="20"/>
                <w:szCs w:val="20"/>
                <w:color w:val="auto"/>
              </w:rPr>
            </w:pPr>
            <w:r>
              <w:rPr>
                <w:rFonts w:ascii="Arial" w:cs="Arial" w:eastAsia="Arial" w:hAnsi="Arial"/>
                <w:sz w:val="16"/>
                <w:szCs w:val="16"/>
                <w:b w:val="1"/>
                <w:bCs w:val="1"/>
                <w:color w:val="auto"/>
              </w:rPr>
              <w:t>2024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jc w:val="center"/>
              <w:ind w:right="79"/>
              <w:spacing w:after="0"/>
              <w:rPr>
                <w:sz w:val="20"/>
                <w:szCs w:val="20"/>
                <w:color w:val="auto"/>
              </w:rPr>
            </w:pPr>
            <w:r>
              <w:rPr>
                <w:rFonts w:ascii="Arial" w:cs="Arial" w:eastAsia="Arial" w:hAnsi="Arial"/>
                <w:sz w:val="16"/>
                <w:szCs w:val="16"/>
                <w:b w:val="1"/>
                <w:bCs w:val="1"/>
                <w:color w:val="auto"/>
              </w:rPr>
              <w:t>2023</w:t>
            </w:r>
          </w:p>
        </w:tc>
        <w:tc>
          <w:tcPr>
            <w:tcW w:w="100" w:type="dxa"/>
            <w:vAlign w:val="bottom"/>
          </w:tcPr>
          <w:p>
            <w:pPr>
              <w:spacing w:after="0"/>
              <w:rPr>
                <w:sz w:val="18"/>
                <w:szCs w:val="18"/>
                <w:color w:val="auto"/>
              </w:rPr>
            </w:pPr>
          </w:p>
        </w:tc>
        <w:tc>
          <w:tcPr>
            <w:tcW w:w="1640" w:type="dxa"/>
            <w:vAlign w:val="bottom"/>
            <w:gridSpan w:val="3"/>
            <w:vMerge w:val="continue"/>
          </w:tcPr>
          <w:p>
            <w:pPr>
              <w:spacing w:after="0"/>
              <w:rPr>
                <w:sz w:val="18"/>
                <w:szCs w:val="18"/>
                <w:color w:val="auto"/>
              </w:rPr>
            </w:pPr>
          </w:p>
        </w:tc>
        <w:tc>
          <w:tcPr>
            <w:tcW w:w="1220" w:type="dxa"/>
            <w:vAlign w:val="bottom"/>
            <w:gridSpan w:val="2"/>
            <w:vMerge w:val="continue"/>
          </w:tcPr>
          <w:p>
            <w:pPr>
              <w:spacing w:after="0"/>
              <w:rPr>
                <w:sz w:val="18"/>
                <w:szCs w:val="18"/>
                <w:color w:val="auto"/>
              </w:rPr>
            </w:pPr>
          </w:p>
        </w:tc>
        <w:tc>
          <w:tcPr>
            <w:tcW w:w="13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4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Travel trailer</w:t>
            </w:r>
          </w:p>
        </w:tc>
        <w:tc>
          <w:tcPr>
            <w:tcW w:w="14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21,636</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67.5 %</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21,352</w:t>
            </w:r>
          </w:p>
        </w:tc>
        <w:tc>
          <w:tcPr>
            <w:tcW w:w="100" w:type="dxa"/>
            <w:vAlign w:val="bottom"/>
            <w:tcBorders>
              <w:top w:val="single" w:sz="8" w:color="CCEEFF"/>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68.8 %</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284</w:t>
            </w:r>
          </w:p>
        </w:tc>
        <w:tc>
          <w:tcPr>
            <w:tcW w:w="8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1.3 %</w:t>
            </w:r>
          </w:p>
        </w:tc>
        <w:tc>
          <w:tcPr>
            <w:tcW w:w="0" w:type="dxa"/>
            <w:vAlign w:val="bottom"/>
          </w:tcPr>
          <w:p>
            <w:pPr>
              <w:spacing w:after="0"/>
              <w:rPr>
                <w:sz w:val="1"/>
                <w:szCs w:val="1"/>
                <w:color w:val="auto"/>
              </w:rPr>
            </w:pPr>
          </w:p>
        </w:tc>
      </w:tr>
      <w:tr>
        <w:trPr>
          <w:trHeight w:val="215"/>
        </w:trPr>
        <w:tc>
          <w:tcPr>
            <w:tcW w:w="246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Fifth wheel</w:t>
            </w:r>
          </w:p>
        </w:tc>
        <w:tc>
          <w:tcPr>
            <w:tcW w:w="1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10,403</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32.5 %</w:t>
            </w:r>
          </w:p>
        </w:tc>
        <w:tc>
          <w:tcPr>
            <w:tcW w:w="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9,701</w:t>
            </w:r>
          </w:p>
        </w:tc>
        <w:tc>
          <w:tcPr>
            <w:tcW w:w="100" w:type="dxa"/>
            <w:vAlign w:val="bottom"/>
            <w:tcBorders>
              <w:bottom w:val="single" w:sz="8" w:color="CCEEFF"/>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31.2 %</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702</w:t>
            </w:r>
          </w:p>
        </w:tc>
        <w:tc>
          <w:tcPr>
            <w:tcW w:w="80" w:type="dxa"/>
            <w:vAlign w:val="bottom"/>
            <w:tcBorders>
              <w:bottom w:val="single" w:sz="8" w:color="CCEEFF"/>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7.2 %</w:t>
            </w:r>
          </w:p>
        </w:tc>
        <w:tc>
          <w:tcPr>
            <w:tcW w:w="0" w:type="dxa"/>
            <w:vAlign w:val="bottom"/>
          </w:tcPr>
          <w:p>
            <w:pPr>
              <w:spacing w:after="0"/>
              <w:rPr>
                <w:sz w:val="1"/>
                <w:szCs w:val="1"/>
                <w:color w:val="auto"/>
              </w:rPr>
            </w:pPr>
          </w:p>
        </w:tc>
      </w:tr>
      <w:tr>
        <w:trPr>
          <w:trHeight w:val="235"/>
        </w:trPr>
        <w:tc>
          <w:tcPr>
            <w:tcW w:w="24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Total Towable RV</w:t>
            </w:r>
          </w:p>
        </w:tc>
        <w:tc>
          <w:tcPr>
            <w:tcW w:w="14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32,039</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100.0 %</w:t>
            </w: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31,053</w:t>
            </w:r>
          </w:p>
        </w:tc>
        <w:tc>
          <w:tcPr>
            <w:tcW w:w="10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100.0 %</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986</w:t>
            </w:r>
          </w:p>
        </w:tc>
        <w:tc>
          <w:tcPr>
            <w:tcW w:w="8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3.2 %</w:t>
            </w:r>
          </w:p>
        </w:tc>
        <w:tc>
          <w:tcPr>
            <w:tcW w:w="0" w:type="dxa"/>
            <w:vAlign w:val="bottom"/>
          </w:tcPr>
          <w:p>
            <w:pPr>
              <w:spacing w:after="0"/>
              <w:rPr>
                <w:sz w:val="1"/>
                <w:szCs w:val="1"/>
                <w:color w:val="auto"/>
              </w:rPr>
            </w:pPr>
          </w:p>
        </w:tc>
      </w:tr>
      <w:tr>
        <w:trPr>
          <w:trHeight w:val="20"/>
        </w:trPr>
        <w:tc>
          <w:tcPr>
            <w:tcW w:w="24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5"/>
        </w:trPr>
        <w:tc>
          <w:tcPr>
            <w:tcW w:w="2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rPr>
              <w:t>August 31,</w:t>
            </w:r>
          </w:p>
        </w:tc>
        <w:tc>
          <w:tcPr>
            <w:tcW w:w="1520" w:type="dxa"/>
            <w:vAlign w:val="bottom"/>
            <w:gridSpan w:val="3"/>
            <w:vMerge w:val="restart"/>
          </w:tcPr>
          <w:p>
            <w:pPr>
              <w:jc w:val="center"/>
              <w:ind w:right="100"/>
              <w:spacing w:after="0"/>
              <w:rPr>
                <w:sz w:val="20"/>
                <w:szCs w:val="20"/>
                <w:color w:val="auto"/>
              </w:rPr>
            </w:pPr>
            <w:r>
              <w:rPr>
                <w:rFonts w:ascii="Arial" w:cs="Arial" w:eastAsia="Arial" w:hAnsi="Arial"/>
                <w:sz w:val="16"/>
                <w:szCs w:val="16"/>
                <w:b w:val="1"/>
                <w:bCs w:val="1"/>
                <w:color w:val="auto"/>
              </w:rPr>
              <w:t>August 26, 2023</w:t>
            </w:r>
          </w:p>
        </w:tc>
        <w:tc>
          <w:tcPr>
            <w:tcW w:w="160" w:type="dxa"/>
            <w:vAlign w:val="bottom"/>
          </w:tcPr>
          <w:p>
            <w:pPr>
              <w:spacing w:after="0"/>
              <w:rPr>
                <w:sz w:val="24"/>
                <w:szCs w:val="24"/>
                <w:color w:val="auto"/>
              </w:rPr>
            </w:pPr>
          </w:p>
        </w:tc>
        <w:tc>
          <w:tcPr>
            <w:tcW w:w="1220" w:type="dxa"/>
            <w:vAlign w:val="bottom"/>
            <w:gridSpan w:val="2"/>
            <w:vMerge w:val="restart"/>
          </w:tcPr>
          <w:p>
            <w:pPr>
              <w:jc w:val="center"/>
              <w:ind w:right="260"/>
              <w:spacing w:after="0"/>
              <w:rPr>
                <w:sz w:val="20"/>
                <w:szCs w:val="20"/>
                <w:color w:val="auto"/>
              </w:rPr>
            </w:pPr>
            <w:r>
              <w:rPr>
                <w:rFonts w:ascii="Arial" w:cs="Arial" w:eastAsia="Arial" w:hAnsi="Arial"/>
                <w:sz w:val="16"/>
                <w:szCs w:val="16"/>
                <w:b w:val="1"/>
                <w:bCs w:val="1"/>
                <w:color w:val="auto"/>
                <w:w w:val="94"/>
              </w:rPr>
              <w:t>Change</w:t>
            </w:r>
            <w:r>
              <w:rPr>
                <w:rFonts w:ascii="Arial" w:cs="Arial" w:eastAsia="Arial" w:hAnsi="Arial"/>
                <w:sz w:val="21"/>
                <w:szCs w:val="21"/>
                <w:b w:val="1"/>
                <w:bCs w:val="1"/>
                <w:color w:val="auto"/>
                <w:w w:val="94"/>
                <w:vertAlign w:val="superscript"/>
              </w:rPr>
              <w:t>(1)</w:t>
            </w:r>
          </w:p>
        </w:tc>
        <w:tc>
          <w:tcPr>
            <w:tcW w:w="1640" w:type="dxa"/>
            <w:vAlign w:val="bottom"/>
            <w:gridSpan w:val="3"/>
            <w:vMerge w:val="restart"/>
          </w:tcPr>
          <w:p>
            <w:pPr>
              <w:jc w:val="center"/>
              <w:ind w:right="159"/>
              <w:spacing w:after="0"/>
              <w:rPr>
                <w:sz w:val="20"/>
                <w:szCs w:val="20"/>
                <w:color w:val="auto"/>
              </w:rPr>
            </w:pPr>
            <w:r>
              <w:rPr>
                <w:rFonts w:ascii="Arial" w:cs="Arial" w:eastAsia="Arial" w:hAnsi="Arial"/>
                <w:sz w:val="16"/>
                <w:szCs w:val="16"/>
                <w:b w:val="1"/>
                <w:bCs w:val="1"/>
                <w:color w:val="auto"/>
                <w:w w:val="97"/>
              </w:rPr>
              <w:t>% Change</w:t>
            </w:r>
            <w:r>
              <w:rPr>
                <w:rFonts w:ascii="Arial" w:cs="Arial" w:eastAsia="Arial" w:hAnsi="Arial"/>
                <w:sz w:val="21"/>
                <w:szCs w:val="21"/>
                <w:b w:val="1"/>
                <w:bCs w:val="1"/>
                <w:color w:val="auto"/>
                <w:w w:val="97"/>
                <w:vertAlign w:val="superscript"/>
              </w:rPr>
              <w:t>(1)</w:t>
            </w: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center"/>
              <w:ind w:right="59"/>
              <w:spacing w:after="0"/>
              <w:rPr>
                <w:sz w:val="20"/>
                <w:szCs w:val="20"/>
                <w:color w:val="auto"/>
              </w:rPr>
            </w:pPr>
            <w:r>
              <w:rPr>
                <w:rFonts w:ascii="Arial" w:cs="Arial" w:eastAsia="Arial" w:hAnsi="Arial"/>
                <w:sz w:val="16"/>
                <w:szCs w:val="16"/>
                <w:b w:val="1"/>
                <w:bCs w:val="1"/>
                <w:color w:val="auto"/>
              </w:rPr>
              <w:t>2024</w:t>
            </w:r>
          </w:p>
        </w:tc>
        <w:tc>
          <w:tcPr>
            <w:tcW w:w="100" w:type="dxa"/>
            <w:vAlign w:val="bottom"/>
          </w:tcPr>
          <w:p>
            <w:pPr>
              <w:spacing w:after="0"/>
              <w:rPr>
                <w:sz w:val="18"/>
                <w:szCs w:val="18"/>
                <w:color w:val="auto"/>
              </w:rPr>
            </w:pPr>
          </w:p>
        </w:tc>
        <w:tc>
          <w:tcPr>
            <w:tcW w:w="1520" w:type="dxa"/>
            <w:vAlign w:val="bottom"/>
            <w:gridSpan w:val="3"/>
            <w:vMerge w:val="continue"/>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vMerge w:val="continue"/>
          </w:tcPr>
          <w:p>
            <w:pPr>
              <w:spacing w:after="0"/>
              <w:rPr>
                <w:sz w:val="18"/>
                <w:szCs w:val="18"/>
                <w:color w:val="auto"/>
              </w:rPr>
            </w:pPr>
          </w:p>
        </w:tc>
        <w:tc>
          <w:tcPr>
            <w:tcW w:w="1640" w:type="dxa"/>
            <w:vAlign w:val="bottom"/>
            <w:gridSpan w:val="3"/>
            <w:vMerge w:val="continue"/>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460" w:type="dxa"/>
            <w:vAlign w:val="bottom"/>
            <w:tcBorders>
              <w:top w:val="single" w:sz="8" w:color="auto"/>
            </w:tcBorders>
            <w:shd w:val="clear" w:color="auto" w:fill="CCEEFF"/>
          </w:tcPr>
          <w:p>
            <w:pPr>
              <w:spacing w:after="0" w:line="210" w:lineRule="exact"/>
              <w:rPr>
                <w:sz w:val="20"/>
                <w:szCs w:val="20"/>
                <w:color w:val="auto"/>
              </w:rPr>
            </w:pPr>
            <w:r>
              <w:rPr>
                <w:rFonts w:ascii="Arial" w:cs="Arial" w:eastAsia="Arial" w:hAnsi="Arial"/>
                <w:sz w:val="16"/>
                <w:szCs w:val="16"/>
                <w:b w:val="1"/>
                <w:bCs w:val="1"/>
                <w:color w:val="auto"/>
              </w:rPr>
              <w:t>Backlog</w:t>
            </w:r>
            <w:r>
              <w:rPr>
                <w:rFonts w:ascii="Arial" w:cs="Arial" w:eastAsia="Arial" w:hAnsi="Arial"/>
                <w:sz w:val="21"/>
                <w:szCs w:val="21"/>
                <w:b w:val="1"/>
                <w:bCs w:val="1"/>
                <w:color w:val="auto"/>
                <w:vertAlign w:val="superscript"/>
              </w:rPr>
              <w:t>(3)</w:t>
            </w:r>
          </w:p>
        </w:tc>
        <w:tc>
          <w:tcPr>
            <w:tcW w:w="14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460" w:type="dxa"/>
            <w:vAlign w:val="bottom"/>
          </w:tcPr>
          <w:p>
            <w:pPr>
              <w:ind w:left="120"/>
              <w:spacing w:after="0"/>
              <w:rPr>
                <w:sz w:val="20"/>
                <w:szCs w:val="20"/>
                <w:color w:val="auto"/>
              </w:rPr>
            </w:pPr>
            <w:r>
              <w:rPr>
                <w:rFonts w:ascii="Arial" w:cs="Arial" w:eastAsia="Arial" w:hAnsi="Arial"/>
                <w:sz w:val="16"/>
                <w:szCs w:val="16"/>
                <w:color w:val="auto"/>
              </w:rPr>
              <w:t>Units</w:t>
            </w: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4,850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ind w:right="139"/>
              <w:spacing w:after="0"/>
              <w:rPr>
                <w:sz w:val="20"/>
                <w:szCs w:val="20"/>
                <w:color w:val="auto"/>
              </w:rPr>
            </w:pPr>
            <w:r>
              <w:rPr>
                <w:rFonts w:ascii="Arial" w:cs="Arial" w:eastAsia="Arial" w:hAnsi="Arial"/>
                <w:sz w:val="16"/>
                <w:szCs w:val="16"/>
                <w:color w:val="auto"/>
              </w:rPr>
              <w:t>5,111</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(261)</w:t>
            </w:r>
          </w:p>
        </w:tc>
        <w:tc>
          <w:tcPr>
            <w:tcW w:w="1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(5.1)%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4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Dollars</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137.1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208.1</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(71.0)</w:t>
            </w:r>
          </w:p>
        </w:tc>
        <w:tc>
          <w:tcPr>
            <w:tcW w:w="10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60" w:type="dxa"/>
            <w:vAlign w:val="bottom"/>
          </w:tcPr>
          <w:p>
            <w:pPr>
              <w:spacing w:after="0"/>
              <w:rPr>
                <w:sz w:val="20"/>
                <w:szCs w:val="20"/>
                <w:color w:val="auto"/>
              </w:rPr>
            </w:pPr>
            <w:r>
              <w:rPr>
                <w:rFonts w:ascii="Arial" w:cs="Arial" w:eastAsia="Arial" w:hAnsi="Arial"/>
                <w:sz w:val="16"/>
                <w:szCs w:val="16"/>
                <w:b w:val="1"/>
                <w:bCs w:val="1"/>
                <w:color w:val="auto"/>
              </w:rPr>
              <w:t>Dealer Inventory</w:t>
            </w: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Units</w:t>
            </w: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15,940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16,744</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(804)</w:t>
            </w:r>
          </w:p>
        </w:tc>
        <w:tc>
          <w:tcPr>
            <w:tcW w:w="10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p>
    <w:p>
      <w:pPr>
        <w:ind w:left="272" w:hanging="272"/>
        <w:spacing w:after="0"/>
        <w:tabs>
          <w:tab w:leader="none" w:pos="272" w:val="left"/>
        </w:tabs>
        <w:numPr>
          <w:ilvl w:val="0"/>
          <w:numId w:val="11"/>
        </w:numPr>
        <w:rPr>
          <w:rFonts w:ascii="Arial" w:cs="Arial" w:eastAsia="Arial" w:hAnsi="Arial"/>
          <w:sz w:val="21"/>
          <w:szCs w:val="21"/>
          <w:color w:val="auto"/>
          <w:vertAlign w:val="superscript"/>
        </w:rPr>
      </w:pPr>
      <w:r>
        <w:rPr>
          <w:rFonts w:ascii="Arial" w:cs="Arial" w:eastAsia="Arial" w:hAnsi="Arial"/>
          <w:sz w:val="14"/>
          <w:szCs w:val="14"/>
          <w:color w:val="auto"/>
        </w:rPr>
        <w:t>Amounts are calculated based on unrounded numbers and therefore may not recalculate using the rounded numbers provided.</w:t>
      </w:r>
    </w:p>
    <w:p>
      <w:pPr>
        <w:ind w:left="292" w:hanging="292"/>
        <w:spacing w:after="0" w:line="183" w:lineRule="auto"/>
        <w:tabs>
          <w:tab w:leader="none" w:pos="292" w:val="left"/>
        </w:tabs>
        <w:numPr>
          <w:ilvl w:val="0"/>
          <w:numId w:val="11"/>
        </w:numPr>
        <w:rPr>
          <w:rFonts w:ascii="Arial" w:cs="Arial" w:eastAsia="Arial" w:hAnsi="Arial"/>
          <w:sz w:val="20"/>
          <w:szCs w:val="20"/>
          <w:color w:val="auto"/>
          <w:vertAlign w:val="superscript"/>
        </w:rPr>
      </w:pPr>
      <w:r>
        <w:rPr>
          <w:rFonts w:ascii="Arial" w:cs="Arial" w:eastAsia="Arial" w:hAnsi="Arial"/>
          <w:sz w:val="14"/>
          <w:szCs w:val="14"/>
          <w:color w:val="auto"/>
        </w:rPr>
        <w:t>Percentages may not add due to rounding differences.</w:t>
      </w:r>
    </w:p>
    <w:p>
      <w:pPr>
        <w:ind w:left="252" w:right="40" w:hanging="252"/>
        <w:spacing w:after="0" w:line="209" w:lineRule="auto"/>
        <w:tabs>
          <w:tab w:leader="none" w:pos="297" w:val="left"/>
        </w:tabs>
        <w:numPr>
          <w:ilvl w:val="0"/>
          <w:numId w:val="11"/>
        </w:numPr>
        <w:rPr>
          <w:rFonts w:ascii="Arial" w:cs="Arial" w:eastAsia="Arial" w:hAnsi="Arial"/>
          <w:sz w:val="21"/>
          <w:szCs w:val="21"/>
          <w:color w:val="auto"/>
          <w:vertAlign w:val="superscript"/>
        </w:rPr>
      </w:pPr>
      <w:r>
        <w:rPr>
          <w:rFonts w:ascii="Arial" w:cs="Arial" w:eastAsia="Arial" w:hAnsi="Arial"/>
          <w:sz w:val="14"/>
          <w:szCs w:val="14"/>
          <w:color w:val="auto"/>
        </w:rPr>
        <w:t>Our backlog includes all accepted orders from dealers which generally have been requested to be shipped within the next six months. Orders in backlog generally can be cancelled or postponed at the option of the dealer at any time without penalty; therefore, backlog may not necessarily be an accurate measure of future sales.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131"/>
        <w:spacing w:after="0"/>
        <w:rPr>
          <w:sz w:val="20"/>
          <w:szCs w:val="20"/>
          <w:color w:val="auto"/>
        </w:rPr>
      </w:pPr>
      <w:r>
        <w:rPr>
          <w:rFonts w:ascii="Arial" w:cs="Arial" w:eastAsia="Arial" w:hAnsi="Arial"/>
          <w:sz w:val="16"/>
          <w:szCs w:val="16"/>
          <w:color w:val="auto"/>
        </w:rPr>
        <w:t>13</w:t>
      </w:r>
    </w:p>
    <w:p>
      <w:pPr>
        <w:sectPr>
          <w:pgSz w:w="11900" w:h="16838" w:orient="portrait"/>
          <w:cols w:equalWidth="0" w:num="1">
            <w:col w:w="11092"/>
          </w:cols>
          <w:pgMar w:left="328" w:top="850" w:right="479" w:bottom="1440" w:gutter="0" w:footer="0" w:header="0"/>
        </w:sectPr>
      </w:pPr>
    </w:p>
    <w:bookmarkStart w:id="16" w:name="page17"/>
    <w:bookmarkEnd w:id="16"/>
    <w:p>
      <w:pPr>
        <w:jc w:val="center"/>
        <w:ind w:right="-131"/>
        <w:spacing w:after="0"/>
        <w:rPr>
          <w:sz w:val="20"/>
          <w:szCs w:val="20"/>
          <w:color w:val="auto"/>
        </w:rPr>
      </w:pPr>
      <w:r>
        <w:rPr>
          <w:rFonts w:ascii="Arial" w:cs="Arial" w:eastAsia="Arial" w:hAnsi="Arial"/>
          <w:sz w:val="18"/>
          <w:szCs w:val="18"/>
          <w:b w:val="1"/>
          <w:bCs w:val="1"/>
          <w:color w:val="auto"/>
        </w:rPr>
        <w:t>Winnebago Industries, Inc.</w:t>
      </w:r>
    </w:p>
    <w:p>
      <w:pPr>
        <w:spacing w:after="0" w:line="27" w:lineRule="exact"/>
        <w:rPr>
          <w:sz w:val="20"/>
          <w:szCs w:val="20"/>
          <w:color w:val="auto"/>
        </w:rPr>
      </w:pPr>
    </w:p>
    <w:p>
      <w:pPr>
        <w:jc w:val="center"/>
        <w:ind w:right="-131"/>
        <w:spacing w:after="0"/>
        <w:rPr>
          <w:sz w:val="20"/>
          <w:szCs w:val="20"/>
          <w:color w:val="auto"/>
        </w:rPr>
      </w:pPr>
      <w:r>
        <w:rPr>
          <w:rFonts w:ascii="Arial" w:cs="Arial" w:eastAsia="Arial" w:hAnsi="Arial"/>
          <w:sz w:val="18"/>
          <w:szCs w:val="18"/>
          <w:b w:val="1"/>
          <w:bCs w:val="1"/>
          <w:color w:val="auto"/>
        </w:rPr>
        <w:t>Supplemental Information by Reportable Segment - Motorhome RV</w:t>
      </w:r>
    </w:p>
    <w:p>
      <w:pPr>
        <w:spacing w:after="0" w:line="12" w:lineRule="exact"/>
        <w:rPr>
          <w:sz w:val="20"/>
          <w:szCs w:val="20"/>
          <w:color w:val="auto"/>
        </w:rPr>
      </w:pPr>
    </w:p>
    <w:p>
      <w:pPr>
        <w:jc w:val="center"/>
        <w:ind w:right="-131"/>
        <w:spacing w:after="0"/>
        <w:rPr>
          <w:sz w:val="20"/>
          <w:szCs w:val="20"/>
          <w:color w:val="auto"/>
        </w:rPr>
      </w:pPr>
      <w:r>
        <w:rPr>
          <w:rFonts w:ascii="Arial" w:cs="Arial" w:eastAsia="Arial" w:hAnsi="Arial"/>
          <w:sz w:val="16"/>
          <w:szCs w:val="16"/>
          <w:b w:val="1"/>
          <w:bCs w:val="1"/>
          <w:color w:val="auto"/>
        </w:rPr>
        <w:t>(in millions, except unit data)</w:t>
      </w:r>
    </w:p>
    <w:p>
      <w:pPr>
        <w:spacing w:after="0" w:line="5" w:lineRule="exact"/>
        <w:rPr>
          <w:sz w:val="20"/>
          <w:szCs w:val="20"/>
          <w:color w:val="auto"/>
        </w:rPr>
      </w:pPr>
    </w:p>
    <w:p>
      <w:pPr>
        <w:jc w:val="center"/>
        <w:ind w:right="-131"/>
        <w:spacing w:after="0"/>
        <w:rPr>
          <w:sz w:val="20"/>
          <w:szCs w:val="20"/>
          <w:color w:val="auto"/>
        </w:rPr>
      </w:pPr>
      <w:r>
        <w:rPr>
          <w:rFonts w:ascii="Arial" w:cs="Arial" w:eastAsia="Arial" w:hAnsi="Arial"/>
          <w:sz w:val="16"/>
          <w:szCs w:val="16"/>
          <w:b w:val="1"/>
          <w:bCs w:val="1"/>
          <w:color w:val="auto"/>
        </w:rPr>
        <w:t>(Unaudited and subject to reclassification)</w:t>
      </w:r>
    </w:p>
    <w:p>
      <w:pPr>
        <w:spacing w:after="0" w:line="43" w:lineRule="exact"/>
        <w:rPr>
          <w:sz w:val="20"/>
          <w:szCs w:val="20"/>
          <w:color w:val="auto"/>
        </w:rPr>
      </w:pPr>
    </w:p>
    <w:tbl>
      <w:tblPr>
        <w:tblLayout w:type="fixed"/>
        <w:tblInd w:w="152" w:type="dxa"/>
        <w:tblCellMar>
          <w:top w:w="0" w:type="dxa"/>
          <w:left w:w="0" w:type="dxa"/>
          <w:bottom w:w="0" w:type="dxa"/>
          <w:right w:w="0" w:type="dxa"/>
        </w:tblCellMar>
      </w:tblPr>
      <w:tr>
        <w:trPr>
          <w:trHeight w:val="217"/>
        </w:trPr>
        <w:tc>
          <w:tcPr>
            <w:tcW w:w="24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860" w:type="dxa"/>
            <w:vAlign w:val="bottom"/>
            <w:tcBorders>
              <w:bottom w:val="single" w:sz="8" w:color="auto"/>
            </w:tcBorders>
            <w:gridSpan w:val="5"/>
          </w:tcPr>
          <w:p>
            <w:pPr>
              <w:jc w:val="center"/>
              <w:ind w:right="339"/>
              <w:spacing w:after="0"/>
              <w:rPr>
                <w:sz w:val="20"/>
                <w:szCs w:val="20"/>
                <w:color w:val="auto"/>
              </w:rPr>
            </w:pPr>
            <w:r>
              <w:rPr>
                <w:rFonts w:ascii="Arial" w:cs="Arial" w:eastAsia="Arial" w:hAnsi="Arial"/>
                <w:sz w:val="16"/>
                <w:szCs w:val="16"/>
                <w:b w:val="1"/>
                <w:bCs w:val="1"/>
                <w:color w:val="auto"/>
              </w:rPr>
              <w:t>Three Months Ended</w:t>
            </w:r>
          </w:p>
        </w:tc>
        <w:tc>
          <w:tcPr>
            <w:tcW w:w="11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24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80" w:type="dxa"/>
            <w:vAlign w:val="bottom"/>
            <w:gridSpan w:val="2"/>
          </w:tcPr>
          <w:p>
            <w:pPr>
              <w:jc w:val="center"/>
              <w:ind w:right="260"/>
              <w:spacing w:after="0" w:line="155" w:lineRule="exact"/>
              <w:rPr>
                <w:sz w:val="20"/>
                <w:szCs w:val="20"/>
                <w:color w:val="auto"/>
              </w:rPr>
            </w:pPr>
            <w:r>
              <w:rPr>
                <w:rFonts w:ascii="Arial" w:cs="Arial" w:eastAsia="Arial" w:hAnsi="Arial"/>
                <w:sz w:val="16"/>
                <w:szCs w:val="16"/>
                <w:b w:val="1"/>
                <w:bCs w:val="1"/>
                <w:color w:val="auto"/>
              </w:rPr>
              <w:t>August 31,</w:t>
            </w:r>
          </w:p>
        </w:tc>
        <w:tc>
          <w:tcPr>
            <w:tcW w:w="1520" w:type="dxa"/>
            <w:vAlign w:val="bottom"/>
            <w:gridSpan w:val="3"/>
            <w:vMerge w:val="restart"/>
          </w:tcPr>
          <w:p>
            <w:pPr>
              <w:jc w:val="center"/>
              <w:ind w:right="80"/>
              <w:spacing w:after="0"/>
              <w:rPr>
                <w:sz w:val="20"/>
                <w:szCs w:val="20"/>
                <w:color w:val="auto"/>
              </w:rPr>
            </w:pPr>
            <w:r>
              <w:rPr>
                <w:rFonts w:ascii="Arial" w:cs="Arial" w:eastAsia="Arial" w:hAnsi="Arial"/>
                <w:sz w:val="16"/>
                <w:szCs w:val="16"/>
                <w:b w:val="1"/>
                <w:bCs w:val="1"/>
                <w:color w:val="auto"/>
                <w:w w:val="97"/>
              </w:rPr>
              <w:t>% of Revenues</w:t>
            </w:r>
            <w:r>
              <w:rPr>
                <w:rFonts w:ascii="Arial" w:cs="Arial" w:eastAsia="Arial" w:hAnsi="Arial"/>
                <w:sz w:val="21"/>
                <w:szCs w:val="21"/>
                <w:b w:val="1"/>
                <w:bCs w:val="1"/>
                <w:color w:val="auto"/>
                <w:w w:val="97"/>
                <w:vertAlign w:val="superscript"/>
              </w:rPr>
              <w:t>(1)</w:t>
            </w:r>
          </w:p>
        </w:tc>
        <w:tc>
          <w:tcPr>
            <w:tcW w:w="160" w:type="dxa"/>
            <w:vAlign w:val="bottom"/>
          </w:tcPr>
          <w:p>
            <w:pPr>
              <w:spacing w:after="0"/>
              <w:rPr>
                <w:sz w:val="13"/>
                <w:szCs w:val="13"/>
                <w:color w:val="auto"/>
              </w:rPr>
            </w:pPr>
          </w:p>
        </w:tc>
        <w:tc>
          <w:tcPr>
            <w:tcW w:w="1220" w:type="dxa"/>
            <w:vAlign w:val="bottom"/>
            <w:gridSpan w:val="2"/>
          </w:tcPr>
          <w:p>
            <w:pPr>
              <w:jc w:val="center"/>
              <w:ind w:right="260"/>
              <w:spacing w:after="0" w:line="155" w:lineRule="exact"/>
              <w:rPr>
                <w:sz w:val="20"/>
                <w:szCs w:val="20"/>
                <w:color w:val="auto"/>
              </w:rPr>
            </w:pPr>
            <w:r>
              <w:rPr>
                <w:rFonts w:ascii="Arial" w:cs="Arial" w:eastAsia="Arial" w:hAnsi="Arial"/>
                <w:sz w:val="16"/>
                <w:szCs w:val="16"/>
                <w:b w:val="1"/>
                <w:bCs w:val="1"/>
                <w:color w:val="auto"/>
              </w:rPr>
              <w:t>August 26,</w:t>
            </w:r>
          </w:p>
        </w:tc>
        <w:tc>
          <w:tcPr>
            <w:tcW w:w="1640" w:type="dxa"/>
            <w:vAlign w:val="bottom"/>
            <w:gridSpan w:val="3"/>
            <w:vMerge w:val="restart"/>
          </w:tcPr>
          <w:p>
            <w:pPr>
              <w:jc w:val="center"/>
              <w:ind w:right="159"/>
              <w:spacing w:after="0"/>
              <w:rPr>
                <w:sz w:val="20"/>
                <w:szCs w:val="20"/>
                <w:color w:val="auto"/>
              </w:rPr>
            </w:pPr>
            <w:r>
              <w:rPr>
                <w:rFonts w:ascii="Arial" w:cs="Arial" w:eastAsia="Arial" w:hAnsi="Arial"/>
                <w:sz w:val="16"/>
                <w:szCs w:val="16"/>
                <w:b w:val="1"/>
                <w:bCs w:val="1"/>
                <w:color w:val="auto"/>
                <w:w w:val="97"/>
              </w:rPr>
              <w:t>% of Revenues</w:t>
            </w:r>
            <w:r>
              <w:rPr>
                <w:rFonts w:ascii="Arial" w:cs="Arial" w:eastAsia="Arial" w:hAnsi="Arial"/>
                <w:sz w:val="21"/>
                <w:szCs w:val="21"/>
                <w:b w:val="1"/>
                <w:bCs w:val="1"/>
                <w:color w:val="auto"/>
                <w:w w:val="97"/>
                <w:vertAlign w:val="superscript"/>
              </w:rPr>
              <w:t>(1)</w:t>
            </w:r>
          </w:p>
        </w:tc>
        <w:tc>
          <w:tcPr>
            <w:tcW w:w="1220" w:type="dxa"/>
            <w:vAlign w:val="bottom"/>
            <w:gridSpan w:val="2"/>
            <w:vMerge w:val="restart"/>
          </w:tcPr>
          <w:p>
            <w:pPr>
              <w:jc w:val="center"/>
              <w:ind w:right="240"/>
              <w:spacing w:after="0"/>
              <w:rPr>
                <w:sz w:val="20"/>
                <w:szCs w:val="20"/>
                <w:color w:val="auto"/>
              </w:rPr>
            </w:pPr>
            <w:r>
              <w:rPr>
                <w:rFonts w:ascii="Arial" w:cs="Arial" w:eastAsia="Arial" w:hAnsi="Arial"/>
                <w:sz w:val="16"/>
                <w:szCs w:val="16"/>
                <w:b w:val="1"/>
                <w:bCs w:val="1"/>
                <w:color w:val="auto"/>
                <w:w w:val="96"/>
              </w:rPr>
              <w:t>$ Change</w:t>
            </w:r>
            <w:r>
              <w:rPr>
                <w:rFonts w:ascii="Arial" w:cs="Arial" w:eastAsia="Arial" w:hAnsi="Arial"/>
                <w:sz w:val="21"/>
                <w:szCs w:val="21"/>
                <w:b w:val="1"/>
                <w:bCs w:val="1"/>
                <w:color w:val="auto"/>
                <w:w w:val="96"/>
                <w:vertAlign w:val="superscript"/>
              </w:rPr>
              <w:t>(1)</w:t>
            </w:r>
          </w:p>
        </w:tc>
        <w:tc>
          <w:tcPr>
            <w:tcW w:w="138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5"/>
              </w:rPr>
              <w:t>% Change</w:t>
            </w:r>
            <w:r>
              <w:rPr>
                <w:rFonts w:ascii="Arial" w:cs="Arial" w:eastAsia="Arial" w:hAnsi="Arial"/>
                <w:sz w:val="21"/>
                <w:szCs w:val="21"/>
                <w:b w:val="1"/>
                <w:bCs w:val="1"/>
                <w:color w:val="auto"/>
                <w:w w:val="95"/>
                <w:vertAlign w:val="superscript"/>
              </w:rPr>
              <w:t>(1)</w:t>
            </w:r>
          </w:p>
        </w:tc>
        <w:tc>
          <w:tcPr>
            <w:tcW w:w="0" w:type="dxa"/>
            <w:vAlign w:val="bottom"/>
          </w:tcPr>
          <w:p>
            <w:pPr>
              <w:spacing w:after="0"/>
              <w:rPr>
                <w:sz w:val="1"/>
                <w:szCs w:val="1"/>
                <w:color w:val="auto"/>
              </w:rPr>
            </w:pPr>
          </w:p>
        </w:tc>
      </w:tr>
      <w:tr>
        <w:trPr>
          <w:trHeight w:val="216"/>
        </w:trPr>
        <w:tc>
          <w:tcPr>
            <w:tcW w:w="2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center"/>
              <w:ind w:right="79"/>
              <w:spacing w:after="0"/>
              <w:rPr>
                <w:sz w:val="20"/>
                <w:szCs w:val="20"/>
                <w:color w:val="auto"/>
              </w:rPr>
            </w:pPr>
            <w:r>
              <w:rPr>
                <w:rFonts w:ascii="Arial" w:cs="Arial" w:eastAsia="Arial" w:hAnsi="Arial"/>
                <w:sz w:val="16"/>
                <w:szCs w:val="16"/>
                <w:b w:val="1"/>
                <w:bCs w:val="1"/>
                <w:color w:val="auto"/>
              </w:rPr>
              <w:t>2024</w:t>
            </w:r>
          </w:p>
        </w:tc>
        <w:tc>
          <w:tcPr>
            <w:tcW w:w="100" w:type="dxa"/>
            <w:vAlign w:val="bottom"/>
          </w:tcPr>
          <w:p>
            <w:pPr>
              <w:spacing w:after="0"/>
              <w:rPr>
                <w:sz w:val="18"/>
                <w:szCs w:val="18"/>
                <w:color w:val="auto"/>
              </w:rPr>
            </w:pPr>
          </w:p>
        </w:tc>
        <w:tc>
          <w:tcPr>
            <w:tcW w:w="1520" w:type="dxa"/>
            <w:vAlign w:val="bottom"/>
            <w:gridSpan w:val="3"/>
            <w:vMerge w:val="continue"/>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jc w:val="center"/>
              <w:ind w:right="79"/>
              <w:spacing w:after="0"/>
              <w:rPr>
                <w:sz w:val="20"/>
                <w:szCs w:val="20"/>
                <w:color w:val="auto"/>
              </w:rPr>
            </w:pPr>
            <w:r>
              <w:rPr>
                <w:rFonts w:ascii="Arial" w:cs="Arial" w:eastAsia="Arial" w:hAnsi="Arial"/>
                <w:sz w:val="16"/>
                <w:szCs w:val="16"/>
                <w:b w:val="1"/>
                <w:bCs w:val="1"/>
                <w:color w:val="auto"/>
              </w:rPr>
              <w:t>2023</w:t>
            </w:r>
          </w:p>
        </w:tc>
        <w:tc>
          <w:tcPr>
            <w:tcW w:w="100" w:type="dxa"/>
            <w:vAlign w:val="bottom"/>
          </w:tcPr>
          <w:p>
            <w:pPr>
              <w:spacing w:after="0"/>
              <w:rPr>
                <w:sz w:val="18"/>
                <w:szCs w:val="18"/>
                <w:color w:val="auto"/>
              </w:rPr>
            </w:pPr>
          </w:p>
        </w:tc>
        <w:tc>
          <w:tcPr>
            <w:tcW w:w="1640" w:type="dxa"/>
            <w:vAlign w:val="bottom"/>
            <w:gridSpan w:val="3"/>
            <w:vMerge w:val="continue"/>
          </w:tcPr>
          <w:p>
            <w:pPr>
              <w:spacing w:after="0"/>
              <w:rPr>
                <w:sz w:val="18"/>
                <w:szCs w:val="18"/>
                <w:color w:val="auto"/>
              </w:rPr>
            </w:pPr>
          </w:p>
        </w:tc>
        <w:tc>
          <w:tcPr>
            <w:tcW w:w="1220" w:type="dxa"/>
            <w:vAlign w:val="bottom"/>
            <w:gridSpan w:val="2"/>
            <w:vMerge w:val="continue"/>
          </w:tcPr>
          <w:p>
            <w:pPr>
              <w:spacing w:after="0"/>
              <w:rPr>
                <w:sz w:val="18"/>
                <w:szCs w:val="18"/>
                <w:color w:val="auto"/>
              </w:rPr>
            </w:pPr>
          </w:p>
        </w:tc>
        <w:tc>
          <w:tcPr>
            <w:tcW w:w="13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4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Net revenues</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308.0</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317.7</w:t>
            </w:r>
          </w:p>
        </w:tc>
        <w:tc>
          <w:tcPr>
            <w:tcW w:w="100" w:type="dxa"/>
            <w:vAlign w:val="bottom"/>
            <w:tcBorders>
              <w:top w:val="single" w:sz="8" w:color="CCEEFF"/>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(9.8)</w:t>
            </w:r>
          </w:p>
        </w:tc>
        <w:tc>
          <w:tcPr>
            <w:tcW w:w="8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w:t>
            </w:r>
          </w:p>
        </w:tc>
        <w:tc>
          <w:tcPr>
            <w:tcW w:w="0" w:type="dxa"/>
            <w:vAlign w:val="bottom"/>
          </w:tcPr>
          <w:p>
            <w:pPr>
              <w:spacing w:after="0"/>
              <w:rPr>
                <w:sz w:val="1"/>
                <w:szCs w:val="1"/>
                <w:color w:val="auto"/>
              </w:rPr>
            </w:pPr>
          </w:p>
        </w:tc>
      </w:tr>
      <w:tr>
        <w:trPr>
          <w:trHeight w:val="215"/>
        </w:trPr>
        <w:tc>
          <w:tcPr>
            <w:tcW w:w="2460" w:type="dxa"/>
            <w:vAlign w:val="bottom"/>
          </w:tcPr>
          <w:p>
            <w:pPr>
              <w:spacing w:after="0"/>
              <w:rPr>
                <w:sz w:val="20"/>
                <w:szCs w:val="20"/>
                <w:color w:val="auto"/>
              </w:rPr>
            </w:pPr>
            <w:r>
              <w:rPr>
                <w:rFonts w:ascii="Arial" w:cs="Arial" w:eastAsia="Arial" w:hAnsi="Arial"/>
                <w:sz w:val="16"/>
                <w:szCs w:val="16"/>
                <w:color w:val="auto"/>
              </w:rPr>
              <w:t>Adjusted EBITDA</w:t>
            </w: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13.0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4.2 %</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22.4</w:t>
            </w:r>
          </w:p>
        </w:tc>
        <w:tc>
          <w:tcPr>
            <w:tcW w:w="1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7.0 %</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(9.4)</w:t>
            </w:r>
          </w:p>
        </w:tc>
        <w:tc>
          <w:tcPr>
            <w:tcW w:w="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(41.9)%</w:t>
            </w:r>
          </w:p>
        </w:tc>
        <w:tc>
          <w:tcPr>
            <w:tcW w:w="0" w:type="dxa"/>
            <w:vAlign w:val="bottom"/>
          </w:tcPr>
          <w:p>
            <w:pPr>
              <w:spacing w:after="0"/>
              <w:rPr>
                <w:sz w:val="1"/>
                <w:szCs w:val="1"/>
                <w:color w:val="auto"/>
              </w:rPr>
            </w:pPr>
          </w:p>
        </w:tc>
      </w:tr>
      <w:tr>
        <w:trPr>
          <w:trHeight w:val="379"/>
        </w:trPr>
        <w:tc>
          <w:tcPr>
            <w:tcW w:w="24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860" w:type="dxa"/>
            <w:vAlign w:val="bottom"/>
            <w:tcBorders>
              <w:bottom w:val="single" w:sz="8" w:color="auto"/>
            </w:tcBorders>
            <w:gridSpan w:val="5"/>
          </w:tcPr>
          <w:p>
            <w:pPr>
              <w:jc w:val="center"/>
              <w:ind w:right="339"/>
              <w:spacing w:after="0"/>
              <w:rPr>
                <w:sz w:val="20"/>
                <w:szCs w:val="20"/>
                <w:color w:val="auto"/>
              </w:rPr>
            </w:pPr>
            <w:r>
              <w:rPr>
                <w:rFonts w:ascii="Arial" w:cs="Arial" w:eastAsia="Arial" w:hAnsi="Arial"/>
                <w:sz w:val="16"/>
                <w:szCs w:val="16"/>
                <w:b w:val="1"/>
                <w:bCs w:val="1"/>
                <w:color w:val="auto"/>
              </w:rPr>
              <w:t>Three Months Ended</w:t>
            </w:r>
          </w:p>
        </w:tc>
        <w:tc>
          <w:tcPr>
            <w:tcW w:w="1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2460" w:type="dxa"/>
            <w:vAlign w:val="bottom"/>
            <w:vMerge w:val="restart"/>
          </w:tcPr>
          <w:p>
            <w:pPr>
              <w:spacing w:after="0"/>
              <w:rPr>
                <w:sz w:val="20"/>
                <w:szCs w:val="20"/>
                <w:color w:val="auto"/>
              </w:rPr>
            </w:pPr>
            <w:r>
              <w:rPr>
                <w:rFonts w:ascii="Arial" w:cs="Arial" w:eastAsia="Arial" w:hAnsi="Arial"/>
                <w:sz w:val="16"/>
                <w:szCs w:val="16"/>
                <w:b w:val="1"/>
                <w:bCs w:val="1"/>
                <w:color w:val="auto"/>
              </w:rPr>
              <w:t>Unit deliveries</w:t>
            </w:r>
          </w:p>
        </w:tc>
        <w:tc>
          <w:tcPr>
            <w:tcW w:w="160" w:type="dxa"/>
            <w:vAlign w:val="bottom"/>
          </w:tcPr>
          <w:p>
            <w:pPr>
              <w:spacing w:after="0"/>
              <w:rPr>
                <w:sz w:val="13"/>
                <w:szCs w:val="13"/>
                <w:color w:val="auto"/>
              </w:rPr>
            </w:pPr>
          </w:p>
        </w:tc>
        <w:tc>
          <w:tcPr>
            <w:tcW w:w="1180" w:type="dxa"/>
            <w:vAlign w:val="bottom"/>
            <w:gridSpan w:val="2"/>
          </w:tcPr>
          <w:p>
            <w:pPr>
              <w:jc w:val="center"/>
              <w:ind w:right="260"/>
              <w:spacing w:after="0" w:line="155" w:lineRule="exact"/>
              <w:rPr>
                <w:sz w:val="20"/>
                <w:szCs w:val="20"/>
                <w:color w:val="auto"/>
              </w:rPr>
            </w:pPr>
            <w:r>
              <w:rPr>
                <w:rFonts w:ascii="Arial" w:cs="Arial" w:eastAsia="Arial" w:hAnsi="Arial"/>
                <w:sz w:val="16"/>
                <w:szCs w:val="16"/>
                <w:b w:val="1"/>
                <w:bCs w:val="1"/>
                <w:color w:val="auto"/>
              </w:rPr>
              <w:t>August 31,</w:t>
            </w:r>
          </w:p>
        </w:tc>
        <w:tc>
          <w:tcPr>
            <w:tcW w:w="140" w:type="dxa"/>
            <w:vAlign w:val="bottom"/>
          </w:tcPr>
          <w:p>
            <w:pPr>
              <w:spacing w:after="0"/>
              <w:rPr>
                <w:sz w:val="13"/>
                <w:szCs w:val="13"/>
                <w:color w:val="auto"/>
              </w:rPr>
            </w:pPr>
          </w:p>
        </w:tc>
        <w:tc>
          <w:tcPr>
            <w:tcW w:w="1380" w:type="dxa"/>
            <w:vAlign w:val="bottom"/>
            <w:gridSpan w:val="2"/>
            <w:vMerge w:val="restart"/>
          </w:tcPr>
          <w:p>
            <w:pPr>
              <w:jc w:val="center"/>
              <w:ind w:right="240"/>
              <w:spacing w:after="0"/>
              <w:rPr>
                <w:sz w:val="20"/>
                <w:szCs w:val="20"/>
                <w:color w:val="auto"/>
              </w:rPr>
            </w:pPr>
            <w:r>
              <w:rPr>
                <w:rFonts w:ascii="Arial" w:cs="Arial" w:eastAsia="Arial" w:hAnsi="Arial"/>
                <w:sz w:val="16"/>
                <w:szCs w:val="16"/>
                <w:b w:val="1"/>
                <w:bCs w:val="1"/>
                <w:color w:val="auto"/>
                <w:w w:val="97"/>
              </w:rPr>
              <w:t>Product Mix</w:t>
            </w:r>
            <w:r>
              <w:rPr>
                <w:rFonts w:ascii="Arial" w:cs="Arial" w:eastAsia="Arial" w:hAnsi="Arial"/>
                <w:sz w:val="21"/>
                <w:szCs w:val="21"/>
                <w:b w:val="1"/>
                <w:bCs w:val="1"/>
                <w:color w:val="auto"/>
                <w:w w:val="97"/>
                <w:vertAlign w:val="superscript"/>
              </w:rPr>
              <w:t>(2)</w:t>
            </w:r>
          </w:p>
        </w:tc>
        <w:tc>
          <w:tcPr>
            <w:tcW w:w="160" w:type="dxa"/>
            <w:vAlign w:val="bottom"/>
          </w:tcPr>
          <w:p>
            <w:pPr>
              <w:spacing w:after="0"/>
              <w:rPr>
                <w:sz w:val="13"/>
                <w:szCs w:val="13"/>
                <w:color w:val="auto"/>
              </w:rPr>
            </w:pPr>
          </w:p>
        </w:tc>
        <w:tc>
          <w:tcPr>
            <w:tcW w:w="1220" w:type="dxa"/>
            <w:vAlign w:val="bottom"/>
            <w:gridSpan w:val="2"/>
          </w:tcPr>
          <w:p>
            <w:pPr>
              <w:jc w:val="center"/>
              <w:ind w:right="260"/>
              <w:spacing w:after="0" w:line="155" w:lineRule="exact"/>
              <w:rPr>
                <w:sz w:val="20"/>
                <w:szCs w:val="20"/>
                <w:color w:val="auto"/>
              </w:rPr>
            </w:pPr>
            <w:r>
              <w:rPr>
                <w:rFonts w:ascii="Arial" w:cs="Arial" w:eastAsia="Arial" w:hAnsi="Arial"/>
                <w:sz w:val="16"/>
                <w:szCs w:val="16"/>
                <w:b w:val="1"/>
                <w:bCs w:val="1"/>
                <w:color w:val="auto"/>
              </w:rPr>
              <w:t>August 26,</w:t>
            </w:r>
          </w:p>
        </w:tc>
        <w:tc>
          <w:tcPr>
            <w:tcW w:w="1640" w:type="dxa"/>
            <w:vAlign w:val="bottom"/>
            <w:gridSpan w:val="3"/>
            <w:vMerge w:val="restart"/>
          </w:tcPr>
          <w:p>
            <w:pPr>
              <w:jc w:val="center"/>
              <w:ind w:right="179"/>
              <w:spacing w:after="0"/>
              <w:rPr>
                <w:sz w:val="20"/>
                <w:szCs w:val="20"/>
                <w:color w:val="auto"/>
              </w:rPr>
            </w:pPr>
            <w:r>
              <w:rPr>
                <w:rFonts w:ascii="Arial" w:cs="Arial" w:eastAsia="Arial" w:hAnsi="Arial"/>
                <w:sz w:val="16"/>
                <w:szCs w:val="16"/>
                <w:b w:val="1"/>
                <w:bCs w:val="1"/>
                <w:color w:val="auto"/>
                <w:w w:val="97"/>
              </w:rPr>
              <w:t>Product Mix</w:t>
            </w:r>
            <w:r>
              <w:rPr>
                <w:rFonts w:ascii="Arial" w:cs="Arial" w:eastAsia="Arial" w:hAnsi="Arial"/>
                <w:sz w:val="21"/>
                <w:szCs w:val="21"/>
                <w:b w:val="1"/>
                <w:bCs w:val="1"/>
                <w:color w:val="auto"/>
                <w:w w:val="97"/>
                <w:vertAlign w:val="superscript"/>
              </w:rPr>
              <w:t>(2)</w:t>
            </w:r>
          </w:p>
        </w:tc>
        <w:tc>
          <w:tcPr>
            <w:tcW w:w="1220" w:type="dxa"/>
            <w:vAlign w:val="bottom"/>
            <w:gridSpan w:val="2"/>
            <w:vMerge w:val="restart"/>
          </w:tcPr>
          <w:p>
            <w:pPr>
              <w:jc w:val="center"/>
              <w:ind w:right="240"/>
              <w:spacing w:after="0"/>
              <w:rPr>
                <w:sz w:val="20"/>
                <w:szCs w:val="20"/>
                <w:color w:val="auto"/>
              </w:rPr>
            </w:pPr>
            <w:r>
              <w:rPr>
                <w:rFonts w:ascii="Arial" w:cs="Arial" w:eastAsia="Arial" w:hAnsi="Arial"/>
                <w:sz w:val="16"/>
                <w:szCs w:val="16"/>
                <w:b w:val="1"/>
                <w:bCs w:val="1"/>
                <w:color w:val="auto"/>
                <w:w w:val="99"/>
              </w:rPr>
              <w:t>Unit Change</w:t>
            </w:r>
          </w:p>
        </w:tc>
        <w:tc>
          <w:tcPr>
            <w:tcW w:w="1380" w:type="dxa"/>
            <w:vAlign w:val="bottom"/>
            <w:vMerge w:val="restart"/>
          </w:tcPr>
          <w:p>
            <w:pPr>
              <w:jc w:val="center"/>
              <w:spacing w:after="0"/>
              <w:rPr>
                <w:sz w:val="20"/>
                <w:szCs w:val="20"/>
                <w:color w:val="auto"/>
              </w:rPr>
            </w:pPr>
            <w:r>
              <w:rPr>
                <w:rFonts w:ascii="Arial" w:cs="Arial" w:eastAsia="Arial" w:hAnsi="Arial"/>
                <w:sz w:val="16"/>
                <w:szCs w:val="16"/>
                <w:b w:val="1"/>
                <w:bCs w:val="1"/>
                <w:color w:val="auto"/>
              </w:rPr>
              <w:t>% Change</w:t>
            </w:r>
          </w:p>
        </w:tc>
        <w:tc>
          <w:tcPr>
            <w:tcW w:w="0" w:type="dxa"/>
            <w:vAlign w:val="bottom"/>
          </w:tcPr>
          <w:p>
            <w:pPr>
              <w:spacing w:after="0"/>
              <w:rPr>
                <w:sz w:val="1"/>
                <w:szCs w:val="1"/>
                <w:color w:val="auto"/>
              </w:rPr>
            </w:pPr>
          </w:p>
        </w:tc>
      </w:tr>
      <w:tr>
        <w:trPr>
          <w:trHeight w:val="216"/>
        </w:trPr>
        <w:tc>
          <w:tcPr>
            <w:tcW w:w="246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center"/>
              <w:ind w:right="79"/>
              <w:spacing w:after="0"/>
              <w:rPr>
                <w:sz w:val="20"/>
                <w:szCs w:val="20"/>
                <w:color w:val="auto"/>
              </w:rPr>
            </w:pPr>
            <w:r>
              <w:rPr>
                <w:rFonts w:ascii="Arial" w:cs="Arial" w:eastAsia="Arial" w:hAnsi="Arial"/>
                <w:sz w:val="16"/>
                <w:szCs w:val="16"/>
                <w:b w:val="1"/>
                <w:bCs w:val="1"/>
                <w:color w:val="auto"/>
              </w:rPr>
              <w:t>2024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jc w:val="center"/>
              <w:ind w:right="79"/>
              <w:spacing w:after="0"/>
              <w:rPr>
                <w:sz w:val="20"/>
                <w:szCs w:val="20"/>
                <w:color w:val="auto"/>
              </w:rPr>
            </w:pPr>
            <w:r>
              <w:rPr>
                <w:rFonts w:ascii="Arial" w:cs="Arial" w:eastAsia="Arial" w:hAnsi="Arial"/>
                <w:sz w:val="16"/>
                <w:szCs w:val="16"/>
                <w:b w:val="1"/>
                <w:bCs w:val="1"/>
                <w:color w:val="auto"/>
              </w:rPr>
              <w:t>2023</w:t>
            </w:r>
          </w:p>
        </w:tc>
        <w:tc>
          <w:tcPr>
            <w:tcW w:w="100" w:type="dxa"/>
            <w:vAlign w:val="bottom"/>
          </w:tcPr>
          <w:p>
            <w:pPr>
              <w:spacing w:after="0"/>
              <w:rPr>
                <w:sz w:val="18"/>
                <w:szCs w:val="18"/>
                <w:color w:val="auto"/>
              </w:rPr>
            </w:pPr>
          </w:p>
        </w:tc>
        <w:tc>
          <w:tcPr>
            <w:tcW w:w="1640" w:type="dxa"/>
            <w:vAlign w:val="bottom"/>
            <w:gridSpan w:val="3"/>
            <w:vMerge w:val="continue"/>
          </w:tcPr>
          <w:p>
            <w:pPr>
              <w:spacing w:after="0"/>
              <w:rPr>
                <w:sz w:val="18"/>
                <w:szCs w:val="18"/>
                <w:color w:val="auto"/>
              </w:rPr>
            </w:pPr>
          </w:p>
        </w:tc>
        <w:tc>
          <w:tcPr>
            <w:tcW w:w="1220" w:type="dxa"/>
            <w:vAlign w:val="bottom"/>
            <w:gridSpan w:val="2"/>
            <w:vMerge w:val="continue"/>
          </w:tcPr>
          <w:p>
            <w:pPr>
              <w:spacing w:after="0"/>
              <w:rPr>
                <w:sz w:val="18"/>
                <w:szCs w:val="18"/>
                <w:color w:val="auto"/>
              </w:rPr>
            </w:pPr>
          </w:p>
        </w:tc>
        <w:tc>
          <w:tcPr>
            <w:tcW w:w="13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4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Class A</w:t>
            </w:r>
          </w:p>
        </w:tc>
        <w:tc>
          <w:tcPr>
            <w:tcW w:w="16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356</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23.0 %</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408</w:t>
            </w:r>
          </w:p>
        </w:tc>
        <w:tc>
          <w:tcPr>
            <w:tcW w:w="100" w:type="dxa"/>
            <w:vAlign w:val="bottom"/>
            <w:tcBorders>
              <w:top w:val="single" w:sz="8" w:color="CCEEFF"/>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25.7 %</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w:t>
            </w:r>
          </w:p>
        </w:tc>
        <w:tc>
          <w:tcPr>
            <w:tcW w:w="8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(12.7)%</w:t>
            </w:r>
          </w:p>
        </w:tc>
        <w:tc>
          <w:tcPr>
            <w:tcW w:w="0" w:type="dxa"/>
            <w:vAlign w:val="bottom"/>
          </w:tcPr>
          <w:p>
            <w:pPr>
              <w:spacing w:after="0"/>
              <w:rPr>
                <w:sz w:val="1"/>
                <w:szCs w:val="1"/>
                <w:color w:val="auto"/>
              </w:rPr>
            </w:pPr>
          </w:p>
        </w:tc>
      </w:tr>
      <w:tr>
        <w:trPr>
          <w:trHeight w:val="215"/>
        </w:trPr>
        <w:tc>
          <w:tcPr>
            <w:tcW w:w="2460" w:type="dxa"/>
            <w:vAlign w:val="bottom"/>
          </w:tcPr>
          <w:p>
            <w:pPr>
              <w:spacing w:after="0"/>
              <w:rPr>
                <w:sz w:val="20"/>
                <w:szCs w:val="20"/>
                <w:color w:val="auto"/>
              </w:rPr>
            </w:pPr>
            <w:r>
              <w:rPr>
                <w:rFonts w:ascii="Arial" w:cs="Arial" w:eastAsia="Arial" w:hAnsi="Arial"/>
                <w:sz w:val="16"/>
                <w:szCs w:val="16"/>
                <w:color w:val="auto"/>
              </w:rPr>
              <w:t>Class B</w:t>
            </w: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463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30.0 %</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612</w:t>
            </w:r>
          </w:p>
        </w:tc>
        <w:tc>
          <w:tcPr>
            <w:tcW w:w="1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38.5 %</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(149)</w:t>
            </w:r>
          </w:p>
        </w:tc>
        <w:tc>
          <w:tcPr>
            <w:tcW w:w="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(24.3)%</w:t>
            </w:r>
          </w:p>
        </w:tc>
        <w:tc>
          <w:tcPr>
            <w:tcW w:w="0" w:type="dxa"/>
            <w:vAlign w:val="bottom"/>
          </w:tcPr>
          <w:p>
            <w:pPr>
              <w:spacing w:after="0"/>
              <w:rPr>
                <w:sz w:val="1"/>
                <w:szCs w:val="1"/>
                <w:color w:val="auto"/>
              </w:rPr>
            </w:pPr>
          </w:p>
        </w:tc>
      </w:tr>
      <w:tr>
        <w:trPr>
          <w:trHeight w:val="216"/>
        </w:trPr>
        <w:tc>
          <w:tcPr>
            <w:tcW w:w="2460" w:type="dxa"/>
            <w:vAlign w:val="bottom"/>
            <w:shd w:val="clear" w:color="auto" w:fill="CCEEFF"/>
          </w:tcPr>
          <w:p>
            <w:pPr>
              <w:spacing w:after="0"/>
              <w:rPr>
                <w:sz w:val="20"/>
                <w:szCs w:val="20"/>
                <w:color w:val="auto"/>
              </w:rPr>
            </w:pPr>
            <w:r>
              <w:rPr>
                <w:rFonts w:ascii="Arial" w:cs="Arial" w:eastAsia="Arial" w:hAnsi="Arial"/>
                <w:sz w:val="16"/>
                <w:szCs w:val="16"/>
                <w:color w:val="auto"/>
              </w:rPr>
              <w:t>Class C</w:t>
            </w:r>
          </w:p>
        </w:tc>
        <w:tc>
          <w:tcPr>
            <w:tcW w:w="16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726</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47.0 %</w:t>
            </w:r>
          </w:p>
        </w:tc>
        <w:tc>
          <w:tcPr>
            <w:tcW w:w="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570</w:t>
            </w:r>
          </w:p>
        </w:tc>
        <w:tc>
          <w:tcPr>
            <w:tcW w:w="100" w:type="dxa"/>
            <w:vAlign w:val="bottom"/>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35.8 %</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156</w:t>
            </w:r>
          </w:p>
        </w:tc>
        <w:tc>
          <w:tcPr>
            <w:tcW w:w="80" w:type="dxa"/>
            <w:vAlign w:val="bottom"/>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27.4 %</w:t>
            </w:r>
          </w:p>
        </w:tc>
        <w:tc>
          <w:tcPr>
            <w:tcW w:w="0" w:type="dxa"/>
            <w:vAlign w:val="bottom"/>
          </w:tcPr>
          <w:p>
            <w:pPr>
              <w:spacing w:after="0"/>
              <w:rPr>
                <w:sz w:val="1"/>
                <w:szCs w:val="1"/>
                <w:color w:val="auto"/>
              </w:rPr>
            </w:pPr>
          </w:p>
        </w:tc>
      </w:tr>
      <w:tr>
        <w:trPr>
          <w:trHeight w:val="210"/>
        </w:trPr>
        <w:tc>
          <w:tcPr>
            <w:tcW w:w="2460" w:type="dxa"/>
            <w:vAlign w:val="bottom"/>
          </w:tcPr>
          <w:p>
            <w:pPr>
              <w:ind w:left="120"/>
              <w:spacing w:after="0"/>
              <w:rPr>
                <w:sz w:val="20"/>
                <w:szCs w:val="20"/>
                <w:color w:val="auto"/>
              </w:rPr>
            </w:pPr>
            <w:r>
              <w:rPr>
                <w:rFonts w:ascii="Arial" w:cs="Arial" w:eastAsia="Arial" w:hAnsi="Arial"/>
                <w:sz w:val="16"/>
                <w:szCs w:val="16"/>
                <w:color w:val="auto"/>
              </w:rPr>
              <w:t>Total Motorhome RV</w:t>
            </w:r>
          </w:p>
        </w:tc>
        <w:tc>
          <w:tcPr>
            <w:tcW w:w="1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1,545</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100.0 %</w:t>
            </w: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1,590</w:t>
            </w:r>
          </w:p>
        </w:tc>
        <w:tc>
          <w:tcPr>
            <w:tcW w:w="100" w:type="dxa"/>
            <w:vAlign w:val="bottom"/>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100.0 %</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w:t>
            </w:r>
          </w:p>
        </w:tc>
        <w:tc>
          <w:tcPr>
            <w:tcW w:w="80" w:type="dxa"/>
            <w:vAlign w:val="bottom"/>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w:t>
            </w:r>
          </w:p>
        </w:tc>
        <w:tc>
          <w:tcPr>
            <w:tcW w:w="0" w:type="dxa"/>
            <w:vAlign w:val="bottom"/>
          </w:tcPr>
          <w:p>
            <w:pPr>
              <w:spacing w:after="0"/>
              <w:rPr>
                <w:sz w:val="1"/>
                <w:szCs w:val="1"/>
                <w:color w:val="auto"/>
              </w:rPr>
            </w:pPr>
          </w:p>
        </w:tc>
      </w:tr>
      <w:tr>
        <w:trPr>
          <w:trHeight w:val="21"/>
        </w:trPr>
        <w:tc>
          <w:tcPr>
            <w:tcW w:w="24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9"/>
        </w:trPr>
        <w:tc>
          <w:tcPr>
            <w:tcW w:w="24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860" w:type="dxa"/>
            <w:vAlign w:val="bottom"/>
            <w:tcBorders>
              <w:bottom w:val="single" w:sz="8" w:color="auto"/>
            </w:tcBorders>
            <w:gridSpan w:val="5"/>
          </w:tcPr>
          <w:p>
            <w:pPr>
              <w:jc w:val="center"/>
              <w:ind w:right="339"/>
              <w:spacing w:after="0"/>
              <w:rPr>
                <w:sz w:val="20"/>
                <w:szCs w:val="20"/>
                <w:color w:val="auto"/>
              </w:rPr>
            </w:pPr>
            <w:r>
              <w:rPr>
                <w:rFonts w:ascii="Arial" w:cs="Arial" w:eastAsia="Arial" w:hAnsi="Arial"/>
                <w:sz w:val="16"/>
                <w:szCs w:val="16"/>
                <w:b w:val="1"/>
                <w:bCs w:val="1"/>
                <w:color w:val="auto"/>
                <w:w w:val="99"/>
              </w:rPr>
              <w:t>Year Ended</w:t>
            </w:r>
          </w:p>
        </w:tc>
        <w:tc>
          <w:tcPr>
            <w:tcW w:w="1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24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80" w:type="dxa"/>
            <w:vAlign w:val="bottom"/>
            <w:gridSpan w:val="2"/>
          </w:tcPr>
          <w:p>
            <w:pPr>
              <w:jc w:val="center"/>
              <w:ind w:right="260"/>
              <w:spacing w:after="0" w:line="155" w:lineRule="exact"/>
              <w:rPr>
                <w:sz w:val="20"/>
                <w:szCs w:val="20"/>
                <w:color w:val="auto"/>
              </w:rPr>
            </w:pPr>
            <w:r>
              <w:rPr>
                <w:rFonts w:ascii="Arial" w:cs="Arial" w:eastAsia="Arial" w:hAnsi="Arial"/>
                <w:sz w:val="16"/>
                <w:szCs w:val="16"/>
                <w:b w:val="1"/>
                <w:bCs w:val="1"/>
                <w:color w:val="auto"/>
              </w:rPr>
              <w:t>August 31,</w:t>
            </w:r>
          </w:p>
        </w:tc>
        <w:tc>
          <w:tcPr>
            <w:tcW w:w="1520" w:type="dxa"/>
            <w:vAlign w:val="bottom"/>
            <w:gridSpan w:val="3"/>
            <w:vMerge w:val="restart"/>
          </w:tcPr>
          <w:p>
            <w:pPr>
              <w:jc w:val="center"/>
              <w:ind w:right="80"/>
              <w:spacing w:after="0"/>
              <w:rPr>
                <w:sz w:val="20"/>
                <w:szCs w:val="20"/>
                <w:color w:val="auto"/>
              </w:rPr>
            </w:pPr>
            <w:r>
              <w:rPr>
                <w:rFonts w:ascii="Arial" w:cs="Arial" w:eastAsia="Arial" w:hAnsi="Arial"/>
                <w:sz w:val="16"/>
                <w:szCs w:val="16"/>
                <w:b w:val="1"/>
                <w:bCs w:val="1"/>
                <w:color w:val="auto"/>
                <w:w w:val="97"/>
              </w:rPr>
              <w:t>% of Revenues</w:t>
            </w:r>
            <w:r>
              <w:rPr>
                <w:rFonts w:ascii="Arial" w:cs="Arial" w:eastAsia="Arial" w:hAnsi="Arial"/>
                <w:sz w:val="21"/>
                <w:szCs w:val="21"/>
                <w:b w:val="1"/>
                <w:bCs w:val="1"/>
                <w:color w:val="auto"/>
                <w:w w:val="97"/>
                <w:vertAlign w:val="superscript"/>
              </w:rPr>
              <w:t>(1)</w:t>
            </w:r>
          </w:p>
        </w:tc>
        <w:tc>
          <w:tcPr>
            <w:tcW w:w="160" w:type="dxa"/>
            <w:vAlign w:val="bottom"/>
          </w:tcPr>
          <w:p>
            <w:pPr>
              <w:spacing w:after="0"/>
              <w:rPr>
                <w:sz w:val="13"/>
                <w:szCs w:val="13"/>
                <w:color w:val="auto"/>
              </w:rPr>
            </w:pPr>
          </w:p>
        </w:tc>
        <w:tc>
          <w:tcPr>
            <w:tcW w:w="1220" w:type="dxa"/>
            <w:vAlign w:val="bottom"/>
            <w:gridSpan w:val="2"/>
          </w:tcPr>
          <w:p>
            <w:pPr>
              <w:jc w:val="center"/>
              <w:ind w:right="260"/>
              <w:spacing w:after="0" w:line="155" w:lineRule="exact"/>
              <w:rPr>
                <w:sz w:val="20"/>
                <w:szCs w:val="20"/>
                <w:color w:val="auto"/>
              </w:rPr>
            </w:pPr>
            <w:r>
              <w:rPr>
                <w:rFonts w:ascii="Arial" w:cs="Arial" w:eastAsia="Arial" w:hAnsi="Arial"/>
                <w:sz w:val="16"/>
                <w:szCs w:val="16"/>
                <w:b w:val="1"/>
                <w:bCs w:val="1"/>
                <w:color w:val="auto"/>
              </w:rPr>
              <w:t>August 26,</w:t>
            </w:r>
          </w:p>
        </w:tc>
        <w:tc>
          <w:tcPr>
            <w:tcW w:w="1640" w:type="dxa"/>
            <w:vAlign w:val="bottom"/>
            <w:gridSpan w:val="3"/>
            <w:vMerge w:val="restart"/>
          </w:tcPr>
          <w:p>
            <w:pPr>
              <w:jc w:val="center"/>
              <w:ind w:right="159"/>
              <w:spacing w:after="0"/>
              <w:rPr>
                <w:sz w:val="20"/>
                <w:szCs w:val="20"/>
                <w:color w:val="auto"/>
              </w:rPr>
            </w:pPr>
            <w:r>
              <w:rPr>
                <w:rFonts w:ascii="Arial" w:cs="Arial" w:eastAsia="Arial" w:hAnsi="Arial"/>
                <w:sz w:val="16"/>
                <w:szCs w:val="16"/>
                <w:b w:val="1"/>
                <w:bCs w:val="1"/>
                <w:color w:val="auto"/>
                <w:w w:val="97"/>
              </w:rPr>
              <w:t>% of Revenues</w:t>
            </w:r>
            <w:r>
              <w:rPr>
                <w:rFonts w:ascii="Arial" w:cs="Arial" w:eastAsia="Arial" w:hAnsi="Arial"/>
                <w:sz w:val="21"/>
                <w:szCs w:val="21"/>
                <w:b w:val="1"/>
                <w:bCs w:val="1"/>
                <w:color w:val="auto"/>
                <w:w w:val="97"/>
                <w:vertAlign w:val="superscript"/>
              </w:rPr>
              <w:t>(1)</w:t>
            </w:r>
          </w:p>
        </w:tc>
        <w:tc>
          <w:tcPr>
            <w:tcW w:w="1220" w:type="dxa"/>
            <w:vAlign w:val="bottom"/>
            <w:gridSpan w:val="2"/>
            <w:vMerge w:val="restart"/>
          </w:tcPr>
          <w:p>
            <w:pPr>
              <w:jc w:val="center"/>
              <w:ind w:right="240"/>
              <w:spacing w:after="0"/>
              <w:rPr>
                <w:sz w:val="20"/>
                <w:szCs w:val="20"/>
                <w:color w:val="auto"/>
              </w:rPr>
            </w:pPr>
            <w:r>
              <w:rPr>
                <w:rFonts w:ascii="Arial" w:cs="Arial" w:eastAsia="Arial" w:hAnsi="Arial"/>
                <w:sz w:val="16"/>
                <w:szCs w:val="16"/>
                <w:b w:val="1"/>
                <w:bCs w:val="1"/>
                <w:color w:val="auto"/>
                <w:w w:val="96"/>
              </w:rPr>
              <w:t>$ Change</w:t>
            </w:r>
            <w:r>
              <w:rPr>
                <w:rFonts w:ascii="Arial" w:cs="Arial" w:eastAsia="Arial" w:hAnsi="Arial"/>
                <w:sz w:val="21"/>
                <w:szCs w:val="21"/>
                <w:b w:val="1"/>
                <w:bCs w:val="1"/>
                <w:color w:val="auto"/>
                <w:w w:val="96"/>
                <w:vertAlign w:val="superscript"/>
              </w:rPr>
              <w:t>(1)</w:t>
            </w:r>
          </w:p>
        </w:tc>
        <w:tc>
          <w:tcPr>
            <w:tcW w:w="138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5"/>
              </w:rPr>
              <w:t>% Change</w:t>
            </w:r>
            <w:r>
              <w:rPr>
                <w:rFonts w:ascii="Arial" w:cs="Arial" w:eastAsia="Arial" w:hAnsi="Arial"/>
                <w:sz w:val="21"/>
                <w:szCs w:val="21"/>
                <w:b w:val="1"/>
                <w:bCs w:val="1"/>
                <w:color w:val="auto"/>
                <w:w w:val="95"/>
                <w:vertAlign w:val="superscript"/>
              </w:rPr>
              <w:t>(1)</w:t>
            </w:r>
          </w:p>
        </w:tc>
        <w:tc>
          <w:tcPr>
            <w:tcW w:w="0" w:type="dxa"/>
            <w:vAlign w:val="bottom"/>
          </w:tcPr>
          <w:p>
            <w:pPr>
              <w:spacing w:after="0"/>
              <w:rPr>
                <w:sz w:val="1"/>
                <w:szCs w:val="1"/>
                <w:color w:val="auto"/>
              </w:rPr>
            </w:pPr>
          </w:p>
        </w:tc>
      </w:tr>
      <w:tr>
        <w:trPr>
          <w:trHeight w:val="216"/>
        </w:trPr>
        <w:tc>
          <w:tcPr>
            <w:tcW w:w="2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center"/>
              <w:ind w:right="79"/>
              <w:spacing w:after="0"/>
              <w:rPr>
                <w:sz w:val="20"/>
                <w:szCs w:val="20"/>
                <w:color w:val="auto"/>
              </w:rPr>
            </w:pPr>
            <w:r>
              <w:rPr>
                <w:rFonts w:ascii="Arial" w:cs="Arial" w:eastAsia="Arial" w:hAnsi="Arial"/>
                <w:sz w:val="16"/>
                <w:szCs w:val="16"/>
                <w:b w:val="1"/>
                <w:bCs w:val="1"/>
                <w:color w:val="auto"/>
              </w:rPr>
              <w:t>2024</w:t>
            </w:r>
          </w:p>
        </w:tc>
        <w:tc>
          <w:tcPr>
            <w:tcW w:w="100" w:type="dxa"/>
            <w:vAlign w:val="bottom"/>
          </w:tcPr>
          <w:p>
            <w:pPr>
              <w:spacing w:after="0"/>
              <w:rPr>
                <w:sz w:val="18"/>
                <w:szCs w:val="18"/>
                <w:color w:val="auto"/>
              </w:rPr>
            </w:pPr>
          </w:p>
        </w:tc>
        <w:tc>
          <w:tcPr>
            <w:tcW w:w="1520" w:type="dxa"/>
            <w:vAlign w:val="bottom"/>
            <w:gridSpan w:val="3"/>
            <w:vMerge w:val="continue"/>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jc w:val="center"/>
              <w:ind w:right="79"/>
              <w:spacing w:after="0"/>
              <w:rPr>
                <w:sz w:val="20"/>
                <w:szCs w:val="20"/>
                <w:color w:val="auto"/>
              </w:rPr>
            </w:pPr>
            <w:r>
              <w:rPr>
                <w:rFonts w:ascii="Arial" w:cs="Arial" w:eastAsia="Arial" w:hAnsi="Arial"/>
                <w:sz w:val="16"/>
                <w:szCs w:val="16"/>
                <w:b w:val="1"/>
                <w:bCs w:val="1"/>
                <w:color w:val="auto"/>
              </w:rPr>
              <w:t>2023</w:t>
            </w:r>
          </w:p>
        </w:tc>
        <w:tc>
          <w:tcPr>
            <w:tcW w:w="100" w:type="dxa"/>
            <w:vAlign w:val="bottom"/>
          </w:tcPr>
          <w:p>
            <w:pPr>
              <w:spacing w:after="0"/>
              <w:rPr>
                <w:sz w:val="18"/>
                <w:szCs w:val="18"/>
                <w:color w:val="auto"/>
              </w:rPr>
            </w:pPr>
          </w:p>
        </w:tc>
        <w:tc>
          <w:tcPr>
            <w:tcW w:w="1640" w:type="dxa"/>
            <w:vAlign w:val="bottom"/>
            <w:gridSpan w:val="3"/>
            <w:vMerge w:val="continue"/>
          </w:tcPr>
          <w:p>
            <w:pPr>
              <w:spacing w:after="0"/>
              <w:rPr>
                <w:sz w:val="18"/>
                <w:szCs w:val="18"/>
                <w:color w:val="auto"/>
              </w:rPr>
            </w:pPr>
          </w:p>
        </w:tc>
        <w:tc>
          <w:tcPr>
            <w:tcW w:w="1220" w:type="dxa"/>
            <w:vAlign w:val="bottom"/>
            <w:gridSpan w:val="2"/>
            <w:vMerge w:val="continue"/>
          </w:tcPr>
          <w:p>
            <w:pPr>
              <w:spacing w:after="0"/>
              <w:rPr>
                <w:sz w:val="18"/>
                <w:szCs w:val="18"/>
                <w:color w:val="auto"/>
              </w:rPr>
            </w:pPr>
          </w:p>
        </w:tc>
        <w:tc>
          <w:tcPr>
            <w:tcW w:w="13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4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Net revenues</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1,279.8</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1,560.1</w:t>
            </w:r>
          </w:p>
        </w:tc>
        <w:tc>
          <w:tcPr>
            <w:tcW w:w="100" w:type="dxa"/>
            <w:vAlign w:val="bottom"/>
            <w:tcBorders>
              <w:top w:val="single" w:sz="8" w:color="CCEEFF"/>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(280.4)</w:t>
            </w:r>
          </w:p>
        </w:tc>
        <w:tc>
          <w:tcPr>
            <w:tcW w:w="8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(18.0)%</w:t>
            </w:r>
          </w:p>
        </w:tc>
        <w:tc>
          <w:tcPr>
            <w:tcW w:w="0" w:type="dxa"/>
            <w:vAlign w:val="bottom"/>
          </w:tcPr>
          <w:p>
            <w:pPr>
              <w:spacing w:after="0"/>
              <w:rPr>
                <w:sz w:val="1"/>
                <w:szCs w:val="1"/>
                <w:color w:val="auto"/>
              </w:rPr>
            </w:pPr>
          </w:p>
        </w:tc>
      </w:tr>
      <w:tr>
        <w:trPr>
          <w:trHeight w:val="215"/>
        </w:trPr>
        <w:tc>
          <w:tcPr>
            <w:tcW w:w="2460" w:type="dxa"/>
            <w:vAlign w:val="bottom"/>
          </w:tcPr>
          <w:p>
            <w:pPr>
              <w:spacing w:after="0"/>
              <w:rPr>
                <w:sz w:val="20"/>
                <w:szCs w:val="20"/>
                <w:color w:val="auto"/>
              </w:rPr>
            </w:pPr>
            <w:r>
              <w:rPr>
                <w:rFonts w:ascii="Arial" w:cs="Arial" w:eastAsia="Arial" w:hAnsi="Arial"/>
                <w:sz w:val="16"/>
                <w:szCs w:val="16"/>
                <w:color w:val="auto"/>
              </w:rPr>
              <w:t>Adjusted EBITDA</w:t>
            </w: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73.7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5.8 %</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142.0</w:t>
            </w:r>
          </w:p>
        </w:tc>
        <w:tc>
          <w:tcPr>
            <w:tcW w:w="1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9.1 %</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(68.3)</w:t>
            </w:r>
          </w:p>
        </w:tc>
        <w:tc>
          <w:tcPr>
            <w:tcW w:w="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(48.1)%</w:t>
            </w:r>
          </w:p>
        </w:tc>
        <w:tc>
          <w:tcPr>
            <w:tcW w:w="0" w:type="dxa"/>
            <w:vAlign w:val="bottom"/>
          </w:tcPr>
          <w:p>
            <w:pPr>
              <w:spacing w:after="0"/>
              <w:rPr>
                <w:sz w:val="1"/>
                <w:szCs w:val="1"/>
                <w:color w:val="auto"/>
              </w:rPr>
            </w:pPr>
          </w:p>
        </w:tc>
      </w:tr>
      <w:tr>
        <w:trPr>
          <w:trHeight w:val="379"/>
        </w:trPr>
        <w:tc>
          <w:tcPr>
            <w:tcW w:w="24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860" w:type="dxa"/>
            <w:vAlign w:val="bottom"/>
            <w:tcBorders>
              <w:bottom w:val="single" w:sz="8" w:color="auto"/>
            </w:tcBorders>
            <w:gridSpan w:val="5"/>
          </w:tcPr>
          <w:p>
            <w:pPr>
              <w:jc w:val="center"/>
              <w:ind w:right="339"/>
              <w:spacing w:after="0"/>
              <w:rPr>
                <w:sz w:val="20"/>
                <w:szCs w:val="20"/>
                <w:color w:val="auto"/>
              </w:rPr>
            </w:pPr>
            <w:r>
              <w:rPr>
                <w:rFonts w:ascii="Arial" w:cs="Arial" w:eastAsia="Arial" w:hAnsi="Arial"/>
                <w:sz w:val="16"/>
                <w:szCs w:val="16"/>
                <w:b w:val="1"/>
                <w:bCs w:val="1"/>
                <w:color w:val="auto"/>
                <w:w w:val="99"/>
              </w:rPr>
              <w:t>Year Ended</w:t>
            </w:r>
          </w:p>
        </w:tc>
        <w:tc>
          <w:tcPr>
            <w:tcW w:w="1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2460" w:type="dxa"/>
            <w:vAlign w:val="bottom"/>
            <w:vMerge w:val="restart"/>
          </w:tcPr>
          <w:p>
            <w:pPr>
              <w:spacing w:after="0"/>
              <w:rPr>
                <w:sz w:val="20"/>
                <w:szCs w:val="20"/>
                <w:color w:val="auto"/>
              </w:rPr>
            </w:pPr>
            <w:r>
              <w:rPr>
                <w:rFonts w:ascii="Arial" w:cs="Arial" w:eastAsia="Arial" w:hAnsi="Arial"/>
                <w:sz w:val="16"/>
                <w:szCs w:val="16"/>
                <w:b w:val="1"/>
                <w:bCs w:val="1"/>
                <w:color w:val="auto"/>
              </w:rPr>
              <w:t>Unit deliveries</w:t>
            </w:r>
          </w:p>
        </w:tc>
        <w:tc>
          <w:tcPr>
            <w:tcW w:w="160" w:type="dxa"/>
            <w:vAlign w:val="bottom"/>
          </w:tcPr>
          <w:p>
            <w:pPr>
              <w:spacing w:after="0"/>
              <w:rPr>
                <w:sz w:val="13"/>
                <w:szCs w:val="13"/>
                <w:color w:val="auto"/>
              </w:rPr>
            </w:pPr>
          </w:p>
        </w:tc>
        <w:tc>
          <w:tcPr>
            <w:tcW w:w="1180" w:type="dxa"/>
            <w:vAlign w:val="bottom"/>
            <w:gridSpan w:val="2"/>
          </w:tcPr>
          <w:p>
            <w:pPr>
              <w:jc w:val="center"/>
              <w:ind w:right="260"/>
              <w:spacing w:after="0" w:line="155" w:lineRule="exact"/>
              <w:rPr>
                <w:sz w:val="20"/>
                <w:szCs w:val="20"/>
                <w:color w:val="auto"/>
              </w:rPr>
            </w:pPr>
            <w:r>
              <w:rPr>
                <w:rFonts w:ascii="Arial" w:cs="Arial" w:eastAsia="Arial" w:hAnsi="Arial"/>
                <w:sz w:val="16"/>
                <w:szCs w:val="16"/>
                <w:b w:val="1"/>
                <w:bCs w:val="1"/>
                <w:color w:val="auto"/>
              </w:rPr>
              <w:t>August 31,</w:t>
            </w:r>
          </w:p>
        </w:tc>
        <w:tc>
          <w:tcPr>
            <w:tcW w:w="140" w:type="dxa"/>
            <w:vAlign w:val="bottom"/>
          </w:tcPr>
          <w:p>
            <w:pPr>
              <w:spacing w:after="0"/>
              <w:rPr>
                <w:sz w:val="13"/>
                <w:szCs w:val="13"/>
                <w:color w:val="auto"/>
              </w:rPr>
            </w:pPr>
          </w:p>
        </w:tc>
        <w:tc>
          <w:tcPr>
            <w:tcW w:w="1380" w:type="dxa"/>
            <w:vAlign w:val="bottom"/>
            <w:gridSpan w:val="2"/>
            <w:vMerge w:val="restart"/>
          </w:tcPr>
          <w:p>
            <w:pPr>
              <w:jc w:val="center"/>
              <w:ind w:right="240"/>
              <w:spacing w:after="0"/>
              <w:rPr>
                <w:sz w:val="20"/>
                <w:szCs w:val="20"/>
                <w:color w:val="auto"/>
              </w:rPr>
            </w:pPr>
            <w:r>
              <w:rPr>
                <w:rFonts w:ascii="Arial" w:cs="Arial" w:eastAsia="Arial" w:hAnsi="Arial"/>
                <w:sz w:val="16"/>
                <w:szCs w:val="16"/>
                <w:b w:val="1"/>
                <w:bCs w:val="1"/>
                <w:color w:val="auto"/>
                <w:w w:val="97"/>
              </w:rPr>
              <w:t>Product Mix</w:t>
            </w:r>
            <w:r>
              <w:rPr>
                <w:rFonts w:ascii="Arial" w:cs="Arial" w:eastAsia="Arial" w:hAnsi="Arial"/>
                <w:sz w:val="21"/>
                <w:szCs w:val="21"/>
                <w:b w:val="1"/>
                <w:bCs w:val="1"/>
                <w:color w:val="auto"/>
                <w:w w:val="97"/>
                <w:vertAlign w:val="superscript"/>
              </w:rPr>
              <w:t>(2)</w:t>
            </w:r>
          </w:p>
        </w:tc>
        <w:tc>
          <w:tcPr>
            <w:tcW w:w="160" w:type="dxa"/>
            <w:vAlign w:val="bottom"/>
          </w:tcPr>
          <w:p>
            <w:pPr>
              <w:spacing w:after="0"/>
              <w:rPr>
                <w:sz w:val="13"/>
                <w:szCs w:val="13"/>
                <w:color w:val="auto"/>
              </w:rPr>
            </w:pPr>
          </w:p>
        </w:tc>
        <w:tc>
          <w:tcPr>
            <w:tcW w:w="1220" w:type="dxa"/>
            <w:vAlign w:val="bottom"/>
            <w:gridSpan w:val="2"/>
          </w:tcPr>
          <w:p>
            <w:pPr>
              <w:jc w:val="center"/>
              <w:ind w:right="260"/>
              <w:spacing w:after="0" w:line="155" w:lineRule="exact"/>
              <w:rPr>
                <w:sz w:val="20"/>
                <w:szCs w:val="20"/>
                <w:color w:val="auto"/>
              </w:rPr>
            </w:pPr>
            <w:r>
              <w:rPr>
                <w:rFonts w:ascii="Arial" w:cs="Arial" w:eastAsia="Arial" w:hAnsi="Arial"/>
                <w:sz w:val="16"/>
                <w:szCs w:val="16"/>
                <w:b w:val="1"/>
                <w:bCs w:val="1"/>
                <w:color w:val="auto"/>
              </w:rPr>
              <w:t>August 26,</w:t>
            </w:r>
          </w:p>
        </w:tc>
        <w:tc>
          <w:tcPr>
            <w:tcW w:w="1640" w:type="dxa"/>
            <w:vAlign w:val="bottom"/>
            <w:gridSpan w:val="3"/>
            <w:vMerge w:val="restart"/>
          </w:tcPr>
          <w:p>
            <w:pPr>
              <w:jc w:val="center"/>
              <w:ind w:right="179"/>
              <w:spacing w:after="0"/>
              <w:rPr>
                <w:sz w:val="20"/>
                <w:szCs w:val="20"/>
                <w:color w:val="auto"/>
              </w:rPr>
            </w:pPr>
            <w:r>
              <w:rPr>
                <w:rFonts w:ascii="Arial" w:cs="Arial" w:eastAsia="Arial" w:hAnsi="Arial"/>
                <w:sz w:val="16"/>
                <w:szCs w:val="16"/>
                <w:b w:val="1"/>
                <w:bCs w:val="1"/>
                <w:color w:val="auto"/>
                <w:w w:val="97"/>
              </w:rPr>
              <w:t>Product Mix</w:t>
            </w:r>
            <w:r>
              <w:rPr>
                <w:rFonts w:ascii="Arial" w:cs="Arial" w:eastAsia="Arial" w:hAnsi="Arial"/>
                <w:sz w:val="21"/>
                <w:szCs w:val="21"/>
                <w:b w:val="1"/>
                <w:bCs w:val="1"/>
                <w:color w:val="auto"/>
                <w:w w:val="97"/>
                <w:vertAlign w:val="superscript"/>
              </w:rPr>
              <w:t>(2)</w:t>
            </w:r>
          </w:p>
        </w:tc>
        <w:tc>
          <w:tcPr>
            <w:tcW w:w="1220" w:type="dxa"/>
            <w:vAlign w:val="bottom"/>
            <w:gridSpan w:val="2"/>
            <w:vMerge w:val="restart"/>
          </w:tcPr>
          <w:p>
            <w:pPr>
              <w:jc w:val="center"/>
              <w:ind w:right="240"/>
              <w:spacing w:after="0"/>
              <w:rPr>
                <w:sz w:val="20"/>
                <w:szCs w:val="20"/>
                <w:color w:val="auto"/>
              </w:rPr>
            </w:pPr>
            <w:r>
              <w:rPr>
                <w:rFonts w:ascii="Arial" w:cs="Arial" w:eastAsia="Arial" w:hAnsi="Arial"/>
                <w:sz w:val="16"/>
                <w:szCs w:val="16"/>
                <w:b w:val="1"/>
                <w:bCs w:val="1"/>
                <w:color w:val="auto"/>
                <w:w w:val="99"/>
              </w:rPr>
              <w:t>Unit Change</w:t>
            </w:r>
          </w:p>
        </w:tc>
        <w:tc>
          <w:tcPr>
            <w:tcW w:w="1380" w:type="dxa"/>
            <w:vAlign w:val="bottom"/>
            <w:vMerge w:val="restart"/>
          </w:tcPr>
          <w:p>
            <w:pPr>
              <w:jc w:val="center"/>
              <w:spacing w:after="0"/>
              <w:rPr>
                <w:sz w:val="20"/>
                <w:szCs w:val="20"/>
                <w:color w:val="auto"/>
              </w:rPr>
            </w:pPr>
            <w:r>
              <w:rPr>
                <w:rFonts w:ascii="Arial" w:cs="Arial" w:eastAsia="Arial" w:hAnsi="Arial"/>
                <w:sz w:val="16"/>
                <w:szCs w:val="16"/>
                <w:b w:val="1"/>
                <w:bCs w:val="1"/>
                <w:color w:val="auto"/>
              </w:rPr>
              <w:t>% Change</w:t>
            </w:r>
          </w:p>
        </w:tc>
        <w:tc>
          <w:tcPr>
            <w:tcW w:w="0" w:type="dxa"/>
            <w:vAlign w:val="bottom"/>
          </w:tcPr>
          <w:p>
            <w:pPr>
              <w:spacing w:after="0"/>
              <w:rPr>
                <w:sz w:val="1"/>
                <w:szCs w:val="1"/>
                <w:color w:val="auto"/>
              </w:rPr>
            </w:pPr>
          </w:p>
        </w:tc>
      </w:tr>
      <w:tr>
        <w:trPr>
          <w:trHeight w:val="216"/>
        </w:trPr>
        <w:tc>
          <w:tcPr>
            <w:tcW w:w="246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center"/>
              <w:ind w:right="79"/>
              <w:spacing w:after="0"/>
              <w:rPr>
                <w:sz w:val="20"/>
                <w:szCs w:val="20"/>
                <w:color w:val="auto"/>
              </w:rPr>
            </w:pPr>
            <w:r>
              <w:rPr>
                <w:rFonts w:ascii="Arial" w:cs="Arial" w:eastAsia="Arial" w:hAnsi="Arial"/>
                <w:sz w:val="16"/>
                <w:szCs w:val="16"/>
                <w:b w:val="1"/>
                <w:bCs w:val="1"/>
                <w:color w:val="auto"/>
              </w:rPr>
              <w:t>2024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jc w:val="center"/>
              <w:ind w:right="79"/>
              <w:spacing w:after="0"/>
              <w:rPr>
                <w:sz w:val="20"/>
                <w:szCs w:val="20"/>
                <w:color w:val="auto"/>
              </w:rPr>
            </w:pPr>
            <w:r>
              <w:rPr>
                <w:rFonts w:ascii="Arial" w:cs="Arial" w:eastAsia="Arial" w:hAnsi="Arial"/>
                <w:sz w:val="16"/>
                <w:szCs w:val="16"/>
                <w:b w:val="1"/>
                <w:bCs w:val="1"/>
                <w:color w:val="auto"/>
              </w:rPr>
              <w:t>2023</w:t>
            </w:r>
          </w:p>
        </w:tc>
        <w:tc>
          <w:tcPr>
            <w:tcW w:w="100" w:type="dxa"/>
            <w:vAlign w:val="bottom"/>
          </w:tcPr>
          <w:p>
            <w:pPr>
              <w:spacing w:after="0"/>
              <w:rPr>
                <w:sz w:val="18"/>
                <w:szCs w:val="18"/>
                <w:color w:val="auto"/>
              </w:rPr>
            </w:pPr>
          </w:p>
        </w:tc>
        <w:tc>
          <w:tcPr>
            <w:tcW w:w="1640" w:type="dxa"/>
            <w:vAlign w:val="bottom"/>
            <w:gridSpan w:val="3"/>
            <w:vMerge w:val="continue"/>
          </w:tcPr>
          <w:p>
            <w:pPr>
              <w:spacing w:after="0"/>
              <w:rPr>
                <w:sz w:val="18"/>
                <w:szCs w:val="18"/>
                <w:color w:val="auto"/>
              </w:rPr>
            </w:pPr>
          </w:p>
        </w:tc>
        <w:tc>
          <w:tcPr>
            <w:tcW w:w="1220" w:type="dxa"/>
            <w:vAlign w:val="bottom"/>
            <w:gridSpan w:val="2"/>
            <w:vMerge w:val="continue"/>
          </w:tcPr>
          <w:p>
            <w:pPr>
              <w:spacing w:after="0"/>
              <w:rPr>
                <w:sz w:val="18"/>
                <w:szCs w:val="18"/>
                <w:color w:val="auto"/>
              </w:rPr>
            </w:pPr>
          </w:p>
        </w:tc>
        <w:tc>
          <w:tcPr>
            <w:tcW w:w="13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4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Class A</w:t>
            </w:r>
          </w:p>
        </w:tc>
        <w:tc>
          <w:tcPr>
            <w:tcW w:w="16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1,625</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24.0 %</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2,142</w:t>
            </w:r>
          </w:p>
        </w:tc>
        <w:tc>
          <w:tcPr>
            <w:tcW w:w="100" w:type="dxa"/>
            <w:vAlign w:val="bottom"/>
            <w:tcBorders>
              <w:top w:val="single" w:sz="8" w:color="CCEEFF"/>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25.5 %</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(517)</w:t>
            </w:r>
          </w:p>
        </w:tc>
        <w:tc>
          <w:tcPr>
            <w:tcW w:w="8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(24.1)%</w:t>
            </w:r>
          </w:p>
        </w:tc>
        <w:tc>
          <w:tcPr>
            <w:tcW w:w="0" w:type="dxa"/>
            <w:vAlign w:val="bottom"/>
          </w:tcPr>
          <w:p>
            <w:pPr>
              <w:spacing w:after="0"/>
              <w:rPr>
                <w:sz w:val="1"/>
                <w:szCs w:val="1"/>
                <w:color w:val="auto"/>
              </w:rPr>
            </w:pPr>
          </w:p>
        </w:tc>
      </w:tr>
      <w:tr>
        <w:trPr>
          <w:trHeight w:val="215"/>
        </w:trPr>
        <w:tc>
          <w:tcPr>
            <w:tcW w:w="2460" w:type="dxa"/>
            <w:vAlign w:val="bottom"/>
          </w:tcPr>
          <w:p>
            <w:pPr>
              <w:spacing w:after="0"/>
              <w:rPr>
                <w:sz w:val="20"/>
                <w:szCs w:val="20"/>
                <w:color w:val="auto"/>
              </w:rPr>
            </w:pPr>
            <w:r>
              <w:rPr>
                <w:rFonts w:ascii="Arial" w:cs="Arial" w:eastAsia="Arial" w:hAnsi="Arial"/>
                <w:sz w:val="16"/>
                <w:szCs w:val="16"/>
                <w:color w:val="auto"/>
              </w:rPr>
              <w:t>Class B</w:t>
            </w: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2,278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33.7 %</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3,845</w:t>
            </w:r>
          </w:p>
        </w:tc>
        <w:tc>
          <w:tcPr>
            <w:tcW w:w="1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45.8 %</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(1,567)</w:t>
            </w:r>
          </w:p>
        </w:tc>
        <w:tc>
          <w:tcPr>
            <w:tcW w:w="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(40.8)%</w:t>
            </w:r>
          </w:p>
        </w:tc>
        <w:tc>
          <w:tcPr>
            <w:tcW w:w="0" w:type="dxa"/>
            <w:vAlign w:val="bottom"/>
          </w:tcPr>
          <w:p>
            <w:pPr>
              <w:spacing w:after="0"/>
              <w:rPr>
                <w:sz w:val="1"/>
                <w:szCs w:val="1"/>
                <w:color w:val="auto"/>
              </w:rPr>
            </w:pPr>
          </w:p>
        </w:tc>
      </w:tr>
      <w:tr>
        <w:trPr>
          <w:trHeight w:val="216"/>
        </w:trPr>
        <w:tc>
          <w:tcPr>
            <w:tcW w:w="2460" w:type="dxa"/>
            <w:vAlign w:val="bottom"/>
            <w:shd w:val="clear" w:color="auto" w:fill="CCEEFF"/>
          </w:tcPr>
          <w:p>
            <w:pPr>
              <w:spacing w:after="0"/>
              <w:rPr>
                <w:sz w:val="20"/>
                <w:szCs w:val="20"/>
                <w:color w:val="auto"/>
              </w:rPr>
            </w:pPr>
            <w:r>
              <w:rPr>
                <w:rFonts w:ascii="Arial" w:cs="Arial" w:eastAsia="Arial" w:hAnsi="Arial"/>
                <w:sz w:val="16"/>
                <w:szCs w:val="16"/>
                <w:color w:val="auto"/>
              </w:rPr>
              <w:t>Class C</w:t>
            </w:r>
          </w:p>
        </w:tc>
        <w:tc>
          <w:tcPr>
            <w:tcW w:w="16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2,854</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42.2 %</w:t>
            </w:r>
          </w:p>
        </w:tc>
        <w:tc>
          <w:tcPr>
            <w:tcW w:w="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2,407</w:t>
            </w:r>
          </w:p>
        </w:tc>
        <w:tc>
          <w:tcPr>
            <w:tcW w:w="100" w:type="dxa"/>
            <w:vAlign w:val="bottom"/>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28.7 %</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447</w:t>
            </w:r>
          </w:p>
        </w:tc>
        <w:tc>
          <w:tcPr>
            <w:tcW w:w="80" w:type="dxa"/>
            <w:vAlign w:val="bottom"/>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18.6 %</w:t>
            </w:r>
          </w:p>
        </w:tc>
        <w:tc>
          <w:tcPr>
            <w:tcW w:w="0" w:type="dxa"/>
            <w:vAlign w:val="bottom"/>
          </w:tcPr>
          <w:p>
            <w:pPr>
              <w:spacing w:after="0"/>
              <w:rPr>
                <w:sz w:val="1"/>
                <w:szCs w:val="1"/>
                <w:color w:val="auto"/>
              </w:rPr>
            </w:pPr>
          </w:p>
        </w:tc>
      </w:tr>
      <w:tr>
        <w:trPr>
          <w:trHeight w:val="210"/>
        </w:trPr>
        <w:tc>
          <w:tcPr>
            <w:tcW w:w="2460" w:type="dxa"/>
            <w:vAlign w:val="bottom"/>
          </w:tcPr>
          <w:p>
            <w:pPr>
              <w:ind w:left="120"/>
              <w:spacing w:after="0"/>
              <w:rPr>
                <w:sz w:val="20"/>
                <w:szCs w:val="20"/>
                <w:color w:val="auto"/>
              </w:rPr>
            </w:pPr>
            <w:r>
              <w:rPr>
                <w:rFonts w:ascii="Arial" w:cs="Arial" w:eastAsia="Arial" w:hAnsi="Arial"/>
                <w:sz w:val="16"/>
                <w:szCs w:val="16"/>
                <w:color w:val="auto"/>
              </w:rPr>
              <w:t>Total Motorhome RV</w:t>
            </w:r>
          </w:p>
        </w:tc>
        <w:tc>
          <w:tcPr>
            <w:tcW w:w="1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6,757</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100.0 %</w:t>
            </w: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8,394</w:t>
            </w:r>
          </w:p>
        </w:tc>
        <w:tc>
          <w:tcPr>
            <w:tcW w:w="100" w:type="dxa"/>
            <w:vAlign w:val="bottom"/>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100.0 %</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(1,637)</w:t>
            </w:r>
          </w:p>
        </w:tc>
        <w:tc>
          <w:tcPr>
            <w:tcW w:w="80" w:type="dxa"/>
            <w:vAlign w:val="bottom"/>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(19.5)%</w:t>
            </w:r>
          </w:p>
        </w:tc>
        <w:tc>
          <w:tcPr>
            <w:tcW w:w="0" w:type="dxa"/>
            <w:vAlign w:val="bottom"/>
          </w:tcPr>
          <w:p>
            <w:pPr>
              <w:spacing w:after="0"/>
              <w:rPr>
                <w:sz w:val="1"/>
                <w:szCs w:val="1"/>
                <w:color w:val="auto"/>
              </w:rPr>
            </w:pPr>
          </w:p>
        </w:tc>
      </w:tr>
      <w:tr>
        <w:trPr>
          <w:trHeight w:val="20"/>
        </w:trPr>
        <w:tc>
          <w:tcPr>
            <w:tcW w:w="24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85"/>
        </w:trPr>
        <w:tc>
          <w:tcPr>
            <w:tcW w:w="2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rPr>
              <w:t>August 31,</w:t>
            </w:r>
          </w:p>
        </w:tc>
        <w:tc>
          <w:tcPr>
            <w:tcW w:w="1520" w:type="dxa"/>
            <w:vAlign w:val="bottom"/>
            <w:gridSpan w:val="3"/>
            <w:vMerge w:val="restart"/>
          </w:tcPr>
          <w:p>
            <w:pPr>
              <w:jc w:val="center"/>
              <w:ind w:right="100"/>
              <w:spacing w:after="0"/>
              <w:rPr>
                <w:sz w:val="20"/>
                <w:szCs w:val="20"/>
                <w:color w:val="auto"/>
              </w:rPr>
            </w:pPr>
            <w:r>
              <w:rPr>
                <w:rFonts w:ascii="Arial" w:cs="Arial" w:eastAsia="Arial" w:hAnsi="Arial"/>
                <w:sz w:val="16"/>
                <w:szCs w:val="16"/>
                <w:b w:val="1"/>
                <w:bCs w:val="1"/>
                <w:color w:val="auto"/>
              </w:rPr>
              <w:t>August 26, 2023</w:t>
            </w:r>
          </w:p>
        </w:tc>
        <w:tc>
          <w:tcPr>
            <w:tcW w:w="160" w:type="dxa"/>
            <w:vAlign w:val="bottom"/>
          </w:tcPr>
          <w:p>
            <w:pPr>
              <w:spacing w:after="0"/>
              <w:rPr>
                <w:sz w:val="24"/>
                <w:szCs w:val="24"/>
                <w:color w:val="auto"/>
              </w:rPr>
            </w:pPr>
          </w:p>
        </w:tc>
        <w:tc>
          <w:tcPr>
            <w:tcW w:w="1220" w:type="dxa"/>
            <w:vAlign w:val="bottom"/>
            <w:gridSpan w:val="2"/>
            <w:vMerge w:val="restart"/>
          </w:tcPr>
          <w:p>
            <w:pPr>
              <w:jc w:val="center"/>
              <w:ind w:right="260"/>
              <w:spacing w:after="0"/>
              <w:rPr>
                <w:sz w:val="20"/>
                <w:szCs w:val="20"/>
                <w:color w:val="auto"/>
              </w:rPr>
            </w:pPr>
            <w:r>
              <w:rPr>
                <w:rFonts w:ascii="Arial" w:cs="Arial" w:eastAsia="Arial" w:hAnsi="Arial"/>
                <w:sz w:val="16"/>
                <w:szCs w:val="16"/>
                <w:b w:val="1"/>
                <w:bCs w:val="1"/>
                <w:color w:val="auto"/>
                <w:w w:val="94"/>
              </w:rPr>
              <w:t>Change</w:t>
            </w:r>
            <w:r>
              <w:rPr>
                <w:rFonts w:ascii="Arial" w:cs="Arial" w:eastAsia="Arial" w:hAnsi="Arial"/>
                <w:sz w:val="21"/>
                <w:szCs w:val="21"/>
                <w:b w:val="1"/>
                <w:bCs w:val="1"/>
                <w:color w:val="auto"/>
                <w:w w:val="94"/>
                <w:vertAlign w:val="superscript"/>
              </w:rPr>
              <w:t>(1)</w:t>
            </w:r>
          </w:p>
        </w:tc>
        <w:tc>
          <w:tcPr>
            <w:tcW w:w="1640" w:type="dxa"/>
            <w:vAlign w:val="bottom"/>
            <w:gridSpan w:val="3"/>
            <w:vMerge w:val="restart"/>
          </w:tcPr>
          <w:p>
            <w:pPr>
              <w:jc w:val="center"/>
              <w:ind w:right="159"/>
              <w:spacing w:after="0"/>
              <w:rPr>
                <w:sz w:val="20"/>
                <w:szCs w:val="20"/>
                <w:color w:val="auto"/>
              </w:rPr>
            </w:pPr>
            <w:r>
              <w:rPr>
                <w:rFonts w:ascii="Arial" w:cs="Arial" w:eastAsia="Arial" w:hAnsi="Arial"/>
                <w:sz w:val="16"/>
                <w:szCs w:val="16"/>
                <w:b w:val="1"/>
                <w:bCs w:val="1"/>
                <w:color w:val="auto"/>
                <w:w w:val="97"/>
              </w:rPr>
              <w:t>% Change</w:t>
            </w:r>
            <w:r>
              <w:rPr>
                <w:rFonts w:ascii="Arial" w:cs="Arial" w:eastAsia="Arial" w:hAnsi="Arial"/>
                <w:sz w:val="21"/>
                <w:szCs w:val="21"/>
                <w:b w:val="1"/>
                <w:bCs w:val="1"/>
                <w:color w:val="auto"/>
                <w:w w:val="97"/>
                <w:vertAlign w:val="superscript"/>
              </w:rPr>
              <w:t>(1)</w:t>
            </w: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center"/>
              <w:ind w:right="79"/>
              <w:spacing w:after="0"/>
              <w:rPr>
                <w:sz w:val="20"/>
                <w:szCs w:val="20"/>
                <w:color w:val="auto"/>
              </w:rPr>
            </w:pPr>
            <w:r>
              <w:rPr>
                <w:rFonts w:ascii="Arial" w:cs="Arial" w:eastAsia="Arial" w:hAnsi="Arial"/>
                <w:sz w:val="16"/>
                <w:szCs w:val="16"/>
                <w:b w:val="1"/>
                <w:bCs w:val="1"/>
                <w:color w:val="auto"/>
              </w:rPr>
              <w:t>2024</w:t>
            </w:r>
          </w:p>
        </w:tc>
        <w:tc>
          <w:tcPr>
            <w:tcW w:w="100" w:type="dxa"/>
            <w:vAlign w:val="bottom"/>
          </w:tcPr>
          <w:p>
            <w:pPr>
              <w:spacing w:after="0"/>
              <w:rPr>
                <w:sz w:val="18"/>
                <w:szCs w:val="18"/>
                <w:color w:val="auto"/>
              </w:rPr>
            </w:pPr>
          </w:p>
        </w:tc>
        <w:tc>
          <w:tcPr>
            <w:tcW w:w="1520" w:type="dxa"/>
            <w:vAlign w:val="bottom"/>
            <w:gridSpan w:val="3"/>
            <w:vMerge w:val="continue"/>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vMerge w:val="continue"/>
          </w:tcPr>
          <w:p>
            <w:pPr>
              <w:spacing w:after="0"/>
              <w:rPr>
                <w:sz w:val="18"/>
                <w:szCs w:val="18"/>
                <w:color w:val="auto"/>
              </w:rPr>
            </w:pPr>
          </w:p>
        </w:tc>
        <w:tc>
          <w:tcPr>
            <w:tcW w:w="1640" w:type="dxa"/>
            <w:vAlign w:val="bottom"/>
            <w:gridSpan w:val="3"/>
            <w:vMerge w:val="continue"/>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460" w:type="dxa"/>
            <w:vAlign w:val="bottom"/>
            <w:tcBorders>
              <w:top w:val="single" w:sz="8" w:color="auto"/>
            </w:tcBorders>
            <w:shd w:val="clear" w:color="auto" w:fill="CCEEFF"/>
          </w:tcPr>
          <w:p>
            <w:pPr>
              <w:spacing w:after="0" w:line="210" w:lineRule="exact"/>
              <w:rPr>
                <w:sz w:val="20"/>
                <w:szCs w:val="20"/>
                <w:color w:val="auto"/>
              </w:rPr>
            </w:pPr>
            <w:r>
              <w:rPr>
                <w:rFonts w:ascii="Arial" w:cs="Arial" w:eastAsia="Arial" w:hAnsi="Arial"/>
                <w:sz w:val="16"/>
                <w:szCs w:val="16"/>
                <w:b w:val="1"/>
                <w:bCs w:val="1"/>
                <w:color w:val="auto"/>
              </w:rPr>
              <w:t>Backlog</w:t>
            </w:r>
            <w:r>
              <w:rPr>
                <w:rFonts w:ascii="Arial" w:cs="Arial" w:eastAsia="Arial" w:hAnsi="Arial"/>
                <w:sz w:val="21"/>
                <w:szCs w:val="21"/>
                <w:b w:val="1"/>
                <w:bCs w:val="1"/>
                <w:color w:val="auto"/>
                <w:vertAlign w:val="superscript"/>
              </w:rPr>
              <w:t>(3)</w:t>
            </w:r>
          </w:p>
        </w:tc>
        <w:tc>
          <w:tcPr>
            <w:tcW w:w="16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460" w:type="dxa"/>
            <w:vAlign w:val="bottom"/>
          </w:tcPr>
          <w:p>
            <w:pPr>
              <w:ind w:left="120"/>
              <w:spacing w:after="0"/>
              <w:rPr>
                <w:sz w:val="20"/>
                <w:szCs w:val="20"/>
                <w:color w:val="auto"/>
              </w:rPr>
            </w:pPr>
            <w:r>
              <w:rPr>
                <w:rFonts w:ascii="Arial" w:cs="Arial" w:eastAsia="Arial" w:hAnsi="Arial"/>
                <w:sz w:val="16"/>
                <w:szCs w:val="16"/>
                <w:color w:val="auto"/>
              </w:rPr>
              <w:t>Units</w:t>
            </w: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897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ind w:right="139"/>
              <w:spacing w:after="0"/>
              <w:rPr>
                <w:sz w:val="20"/>
                <w:szCs w:val="20"/>
                <w:color w:val="auto"/>
              </w:rPr>
            </w:pPr>
            <w:r>
              <w:rPr>
                <w:rFonts w:ascii="Arial" w:cs="Arial" w:eastAsia="Arial" w:hAnsi="Arial"/>
                <w:sz w:val="16"/>
                <w:szCs w:val="16"/>
                <w:color w:val="auto"/>
              </w:rPr>
              <w:t>3,828</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(2,931)</w:t>
            </w:r>
          </w:p>
        </w:tc>
        <w:tc>
          <w:tcPr>
            <w:tcW w:w="1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(76.6)%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4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Dollars</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234.4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688.6</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(454.1)</w:t>
            </w:r>
          </w:p>
        </w:tc>
        <w:tc>
          <w:tcPr>
            <w:tcW w:w="10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60" w:type="dxa"/>
            <w:vAlign w:val="bottom"/>
          </w:tcPr>
          <w:p>
            <w:pPr>
              <w:spacing w:after="0"/>
              <w:rPr>
                <w:sz w:val="20"/>
                <w:szCs w:val="20"/>
                <w:color w:val="auto"/>
              </w:rPr>
            </w:pPr>
            <w:r>
              <w:rPr>
                <w:rFonts w:ascii="Arial" w:cs="Arial" w:eastAsia="Arial" w:hAnsi="Arial"/>
                <w:sz w:val="16"/>
                <w:szCs w:val="16"/>
                <w:b w:val="1"/>
                <w:bCs w:val="1"/>
                <w:color w:val="auto"/>
              </w:rPr>
              <w:t>Dealer Inventory</w:t>
            </w: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Units</w:t>
            </w: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3,933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4,068</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(135)</w:t>
            </w:r>
          </w:p>
        </w:tc>
        <w:tc>
          <w:tcPr>
            <w:tcW w:w="10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74" w:lineRule="exact"/>
        <w:rPr>
          <w:sz w:val="20"/>
          <w:szCs w:val="20"/>
          <w:color w:val="auto"/>
        </w:rPr>
      </w:pPr>
    </w:p>
    <w:p>
      <w:pPr>
        <w:ind w:left="272" w:hanging="272"/>
        <w:spacing w:after="0"/>
        <w:tabs>
          <w:tab w:leader="none" w:pos="272" w:val="left"/>
        </w:tabs>
        <w:numPr>
          <w:ilvl w:val="0"/>
          <w:numId w:val="12"/>
        </w:numPr>
        <w:rPr>
          <w:rFonts w:ascii="Arial" w:cs="Arial" w:eastAsia="Arial" w:hAnsi="Arial"/>
          <w:sz w:val="21"/>
          <w:szCs w:val="21"/>
          <w:color w:val="auto"/>
          <w:vertAlign w:val="superscript"/>
        </w:rPr>
      </w:pPr>
      <w:r>
        <w:rPr>
          <w:rFonts w:ascii="Arial" w:cs="Arial" w:eastAsia="Arial" w:hAnsi="Arial"/>
          <w:sz w:val="14"/>
          <w:szCs w:val="14"/>
          <w:color w:val="auto"/>
        </w:rPr>
        <w:t>Amounts are calculated based on unrounded numbers and therefore may not recalculate using the rounded numbers provided.</w:t>
      </w:r>
    </w:p>
    <w:p>
      <w:pPr>
        <w:ind w:left="292" w:hanging="292"/>
        <w:spacing w:after="0" w:line="183" w:lineRule="auto"/>
        <w:tabs>
          <w:tab w:leader="none" w:pos="292" w:val="left"/>
        </w:tabs>
        <w:numPr>
          <w:ilvl w:val="0"/>
          <w:numId w:val="12"/>
        </w:numPr>
        <w:rPr>
          <w:rFonts w:ascii="Arial" w:cs="Arial" w:eastAsia="Arial" w:hAnsi="Arial"/>
          <w:sz w:val="20"/>
          <w:szCs w:val="20"/>
          <w:color w:val="auto"/>
          <w:vertAlign w:val="superscript"/>
        </w:rPr>
      </w:pPr>
      <w:r>
        <w:rPr>
          <w:rFonts w:ascii="Arial" w:cs="Arial" w:eastAsia="Arial" w:hAnsi="Arial"/>
          <w:sz w:val="14"/>
          <w:szCs w:val="14"/>
          <w:color w:val="auto"/>
        </w:rPr>
        <w:t>Percentages may not add due to rounding differences.</w:t>
      </w:r>
    </w:p>
    <w:p>
      <w:pPr>
        <w:ind w:left="252" w:right="40" w:hanging="252"/>
        <w:spacing w:after="0" w:line="209" w:lineRule="auto"/>
        <w:tabs>
          <w:tab w:leader="none" w:pos="297" w:val="left"/>
        </w:tabs>
        <w:numPr>
          <w:ilvl w:val="0"/>
          <w:numId w:val="12"/>
        </w:numPr>
        <w:rPr>
          <w:rFonts w:ascii="Arial" w:cs="Arial" w:eastAsia="Arial" w:hAnsi="Arial"/>
          <w:sz w:val="21"/>
          <w:szCs w:val="21"/>
          <w:color w:val="auto"/>
          <w:vertAlign w:val="superscript"/>
        </w:rPr>
      </w:pPr>
      <w:r>
        <w:rPr>
          <w:rFonts w:ascii="Arial" w:cs="Arial" w:eastAsia="Arial" w:hAnsi="Arial"/>
          <w:sz w:val="14"/>
          <w:szCs w:val="14"/>
          <w:color w:val="auto"/>
        </w:rPr>
        <w:t>Our backlog includes all accepted orders from dealers which generally have been requested to be shipped within the next six months. Orders in backlog generally can be cancelled or postponed at the option of the dealer at any time without penalty; therefore, backlog may not necessarily be an accurate measure of future sales.</w:t>
      </w:r>
    </w:p>
    <w:p>
      <w:pPr>
        <w:sectPr>
          <w:pgSz w:w="11900" w:h="16838" w:orient="portrait"/>
          <w:cols w:equalWidth="0" w:num="1">
            <w:col w:w="11092"/>
          </w:cols>
          <w:pgMar w:left="328" w:top="1093" w:right="4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151"/>
        <w:spacing w:after="0"/>
        <w:rPr>
          <w:sz w:val="20"/>
          <w:szCs w:val="20"/>
          <w:color w:val="auto"/>
        </w:rPr>
      </w:pPr>
      <w:r>
        <w:rPr>
          <w:rFonts w:ascii="Arial" w:cs="Arial" w:eastAsia="Arial" w:hAnsi="Arial"/>
          <w:sz w:val="16"/>
          <w:szCs w:val="16"/>
          <w:color w:val="auto"/>
        </w:rPr>
        <w:t>14</w:t>
      </w:r>
    </w:p>
    <w:p>
      <w:pPr>
        <w:sectPr>
          <w:pgSz w:w="11900" w:h="16838" w:orient="portrait"/>
          <w:cols w:equalWidth="0" w:num="1">
            <w:col w:w="11092"/>
          </w:cols>
          <w:pgMar w:left="328" w:top="1093" w:right="479" w:bottom="1440" w:gutter="0" w:footer="0" w:header="0"/>
          <w:type w:val="continuous"/>
        </w:sectPr>
      </w:pPr>
    </w:p>
    <w:bookmarkStart w:id="17" w:name="page18"/>
    <w:bookmarkEnd w:id="17"/>
    <w:p>
      <w:pPr>
        <w:jc w:val="center"/>
        <w:ind w:right="-111"/>
        <w:spacing w:after="0"/>
        <w:rPr>
          <w:sz w:val="20"/>
          <w:szCs w:val="20"/>
          <w:color w:val="auto"/>
        </w:rPr>
      </w:pPr>
      <w:r>
        <w:rPr>
          <w:rFonts w:ascii="Arial" w:cs="Arial" w:eastAsia="Arial" w:hAnsi="Arial"/>
          <w:sz w:val="18"/>
          <w:szCs w:val="18"/>
          <w:b w:val="1"/>
          <w:bCs w:val="1"/>
          <w:color w:val="auto"/>
        </w:rPr>
        <w:t>Winnebago Industries, Inc.</w:t>
      </w:r>
    </w:p>
    <w:p>
      <w:pPr>
        <w:spacing w:after="0" w:line="27" w:lineRule="exact"/>
        <w:rPr>
          <w:sz w:val="20"/>
          <w:szCs w:val="20"/>
          <w:color w:val="auto"/>
        </w:rPr>
      </w:pPr>
    </w:p>
    <w:p>
      <w:pPr>
        <w:jc w:val="center"/>
        <w:ind w:right="-111"/>
        <w:spacing w:after="0"/>
        <w:rPr>
          <w:sz w:val="20"/>
          <w:szCs w:val="20"/>
          <w:color w:val="auto"/>
        </w:rPr>
      </w:pPr>
      <w:r>
        <w:rPr>
          <w:rFonts w:ascii="Arial" w:cs="Arial" w:eastAsia="Arial" w:hAnsi="Arial"/>
          <w:sz w:val="18"/>
          <w:szCs w:val="18"/>
          <w:b w:val="1"/>
          <w:bCs w:val="1"/>
          <w:color w:val="auto"/>
        </w:rPr>
        <w:t>Supplemental Information by Reportable Segment - Marine</w:t>
      </w:r>
    </w:p>
    <w:p>
      <w:pPr>
        <w:spacing w:after="0" w:line="12" w:lineRule="exact"/>
        <w:rPr>
          <w:sz w:val="20"/>
          <w:szCs w:val="20"/>
          <w:color w:val="auto"/>
        </w:rPr>
      </w:pPr>
    </w:p>
    <w:p>
      <w:pPr>
        <w:jc w:val="center"/>
        <w:ind w:right="-111"/>
        <w:spacing w:after="0"/>
        <w:rPr>
          <w:sz w:val="20"/>
          <w:szCs w:val="20"/>
          <w:color w:val="auto"/>
        </w:rPr>
      </w:pPr>
      <w:r>
        <w:rPr>
          <w:rFonts w:ascii="Arial" w:cs="Arial" w:eastAsia="Arial" w:hAnsi="Arial"/>
          <w:sz w:val="16"/>
          <w:szCs w:val="16"/>
          <w:b w:val="1"/>
          <w:bCs w:val="1"/>
          <w:color w:val="auto"/>
        </w:rPr>
        <w:t>(in millions, except unit data)</w:t>
      </w:r>
    </w:p>
    <w:p>
      <w:pPr>
        <w:spacing w:after="0" w:line="5" w:lineRule="exact"/>
        <w:rPr>
          <w:sz w:val="20"/>
          <w:szCs w:val="20"/>
          <w:color w:val="auto"/>
        </w:rPr>
      </w:pPr>
    </w:p>
    <w:p>
      <w:pPr>
        <w:jc w:val="center"/>
        <w:ind w:right="-111"/>
        <w:spacing w:after="0"/>
        <w:rPr>
          <w:sz w:val="20"/>
          <w:szCs w:val="20"/>
          <w:color w:val="auto"/>
        </w:rPr>
      </w:pPr>
      <w:r>
        <w:rPr>
          <w:rFonts w:ascii="Arial" w:cs="Arial" w:eastAsia="Arial" w:hAnsi="Arial"/>
          <w:sz w:val="16"/>
          <w:szCs w:val="16"/>
          <w:b w:val="1"/>
          <w:bCs w:val="1"/>
          <w:color w:val="auto"/>
        </w:rPr>
        <w:t>(Unaudited and subject to reclassification)</w:t>
      </w:r>
    </w:p>
    <w:p>
      <w:pPr>
        <w:spacing w:after="0" w:line="43" w:lineRule="exact"/>
        <w:rPr>
          <w:sz w:val="20"/>
          <w:szCs w:val="20"/>
          <w:color w:val="auto"/>
        </w:rPr>
      </w:pPr>
    </w:p>
    <w:tbl>
      <w:tblPr>
        <w:tblLayout w:type="fixed"/>
        <w:tblInd w:w="132" w:type="dxa"/>
        <w:tblCellMar>
          <w:top w:w="0" w:type="dxa"/>
          <w:left w:w="0" w:type="dxa"/>
          <w:bottom w:w="0" w:type="dxa"/>
          <w:right w:w="0" w:type="dxa"/>
        </w:tblCellMar>
      </w:tblPr>
      <w:tr>
        <w:trPr>
          <w:trHeight w:val="217"/>
        </w:trPr>
        <w:tc>
          <w:tcPr>
            <w:tcW w:w="25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900" w:type="dxa"/>
            <w:vAlign w:val="bottom"/>
            <w:tcBorders>
              <w:bottom w:val="single" w:sz="8" w:color="auto"/>
            </w:tcBorders>
            <w:gridSpan w:val="5"/>
          </w:tcPr>
          <w:p>
            <w:pPr>
              <w:jc w:val="right"/>
              <w:ind w:right="759"/>
              <w:spacing w:after="0"/>
              <w:rPr>
                <w:sz w:val="20"/>
                <w:szCs w:val="20"/>
                <w:color w:val="auto"/>
              </w:rPr>
            </w:pPr>
            <w:r>
              <w:rPr>
                <w:rFonts w:ascii="Arial" w:cs="Arial" w:eastAsia="Arial" w:hAnsi="Arial"/>
                <w:sz w:val="16"/>
                <w:szCs w:val="16"/>
                <w:b w:val="1"/>
                <w:bCs w:val="1"/>
                <w:color w:val="auto"/>
              </w:rPr>
              <w:t>Three Months Ended</w:t>
            </w:r>
          </w:p>
        </w:tc>
        <w:tc>
          <w:tcPr>
            <w:tcW w:w="11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25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80" w:type="dxa"/>
            <w:vAlign w:val="bottom"/>
            <w:gridSpan w:val="2"/>
          </w:tcPr>
          <w:p>
            <w:pPr>
              <w:jc w:val="center"/>
              <w:ind w:right="240"/>
              <w:spacing w:after="0" w:line="155" w:lineRule="exact"/>
              <w:rPr>
                <w:sz w:val="20"/>
                <w:szCs w:val="20"/>
                <w:color w:val="auto"/>
              </w:rPr>
            </w:pPr>
            <w:r>
              <w:rPr>
                <w:rFonts w:ascii="Arial" w:cs="Arial" w:eastAsia="Arial" w:hAnsi="Arial"/>
                <w:sz w:val="16"/>
                <w:szCs w:val="16"/>
                <w:b w:val="1"/>
                <w:bCs w:val="1"/>
                <w:color w:val="auto"/>
              </w:rPr>
              <w:t>August 31,</w:t>
            </w:r>
          </w:p>
        </w:tc>
        <w:tc>
          <w:tcPr>
            <w:tcW w:w="1520" w:type="dxa"/>
            <w:vAlign w:val="bottom"/>
            <w:gridSpan w:val="3"/>
            <w:vMerge w:val="restart"/>
          </w:tcPr>
          <w:p>
            <w:pPr>
              <w:ind w:left="80"/>
              <w:spacing w:after="0"/>
              <w:rPr>
                <w:sz w:val="20"/>
                <w:szCs w:val="20"/>
                <w:color w:val="auto"/>
              </w:rPr>
            </w:pPr>
            <w:r>
              <w:rPr>
                <w:rFonts w:ascii="Arial" w:cs="Arial" w:eastAsia="Arial" w:hAnsi="Arial"/>
                <w:sz w:val="16"/>
                <w:szCs w:val="16"/>
                <w:b w:val="1"/>
                <w:bCs w:val="1"/>
                <w:color w:val="auto"/>
              </w:rPr>
              <w:t>% of Revenues</w:t>
            </w:r>
            <w:r>
              <w:rPr>
                <w:rFonts w:ascii="Arial" w:cs="Arial" w:eastAsia="Arial" w:hAnsi="Arial"/>
                <w:sz w:val="21"/>
                <w:szCs w:val="21"/>
                <w:b w:val="1"/>
                <w:bCs w:val="1"/>
                <w:color w:val="auto"/>
                <w:vertAlign w:val="superscript"/>
              </w:rPr>
              <w:t>(1)</w:t>
            </w:r>
          </w:p>
        </w:tc>
        <w:tc>
          <w:tcPr>
            <w:tcW w:w="140" w:type="dxa"/>
            <w:vAlign w:val="bottom"/>
          </w:tcPr>
          <w:p>
            <w:pPr>
              <w:spacing w:after="0"/>
              <w:rPr>
                <w:sz w:val="13"/>
                <w:szCs w:val="13"/>
                <w:color w:val="auto"/>
              </w:rPr>
            </w:pPr>
          </w:p>
        </w:tc>
        <w:tc>
          <w:tcPr>
            <w:tcW w:w="1240" w:type="dxa"/>
            <w:vAlign w:val="bottom"/>
            <w:gridSpan w:val="2"/>
          </w:tcPr>
          <w:p>
            <w:pPr>
              <w:jc w:val="center"/>
              <w:ind w:right="240"/>
              <w:spacing w:after="0" w:line="155" w:lineRule="exact"/>
              <w:rPr>
                <w:sz w:val="20"/>
                <w:szCs w:val="20"/>
                <w:color w:val="auto"/>
              </w:rPr>
            </w:pPr>
            <w:r>
              <w:rPr>
                <w:rFonts w:ascii="Arial" w:cs="Arial" w:eastAsia="Arial" w:hAnsi="Arial"/>
                <w:sz w:val="16"/>
                <w:szCs w:val="16"/>
                <w:b w:val="1"/>
                <w:bCs w:val="1"/>
                <w:color w:val="auto"/>
              </w:rPr>
              <w:t>August 26,</w:t>
            </w:r>
          </w:p>
        </w:tc>
        <w:tc>
          <w:tcPr>
            <w:tcW w:w="1660" w:type="dxa"/>
            <w:vAlign w:val="bottom"/>
            <w:gridSpan w:val="3"/>
            <w:vMerge w:val="restart"/>
          </w:tcPr>
          <w:p>
            <w:pPr>
              <w:jc w:val="center"/>
              <w:ind w:right="179"/>
              <w:spacing w:after="0"/>
              <w:rPr>
                <w:sz w:val="20"/>
                <w:szCs w:val="20"/>
                <w:color w:val="auto"/>
              </w:rPr>
            </w:pPr>
            <w:r>
              <w:rPr>
                <w:rFonts w:ascii="Arial" w:cs="Arial" w:eastAsia="Arial" w:hAnsi="Arial"/>
                <w:sz w:val="16"/>
                <w:szCs w:val="16"/>
                <w:b w:val="1"/>
                <w:bCs w:val="1"/>
                <w:color w:val="auto"/>
                <w:w w:val="97"/>
              </w:rPr>
              <w:t>% of Revenues</w:t>
            </w:r>
            <w:r>
              <w:rPr>
                <w:rFonts w:ascii="Arial" w:cs="Arial" w:eastAsia="Arial" w:hAnsi="Arial"/>
                <w:sz w:val="21"/>
                <w:szCs w:val="21"/>
                <w:b w:val="1"/>
                <w:bCs w:val="1"/>
                <w:color w:val="auto"/>
                <w:w w:val="97"/>
                <w:vertAlign w:val="superscript"/>
              </w:rPr>
              <w:t>(1)</w:t>
            </w:r>
          </w:p>
        </w:tc>
        <w:tc>
          <w:tcPr>
            <w:tcW w:w="1200" w:type="dxa"/>
            <w:vAlign w:val="bottom"/>
            <w:gridSpan w:val="2"/>
            <w:vMerge w:val="restart"/>
          </w:tcPr>
          <w:p>
            <w:pPr>
              <w:ind w:left="40"/>
              <w:spacing w:after="0"/>
              <w:rPr>
                <w:sz w:val="20"/>
                <w:szCs w:val="20"/>
                <w:color w:val="auto"/>
              </w:rPr>
            </w:pPr>
            <w:r>
              <w:rPr>
                <w:rFonts w:ascii="Arial" w:cs="Arial" w:eastAsia="Arial" w:hAnsi="Arial"/>
                <w:sz w:val="16"/>
                <w:szCs w:val="16"/>
                <w:b w:val="1"/>
                <w:bCs w:val="1"/>
                <w:color w:val="auto"/>
              </w:rPr>
              <w:t>$ Change</w:t>
            </w:r>
            <w:r>
              <w:rPr>
                <w:rFonts w:ascii="Arial" w:cs="Arial" w:eastAsia="Arial" w:hAnsi="Arial"/>
                <w:sz w:val="21"/>
                <w:szCs w:val="21"/>
                <w:b w:val="1"/>
                <w:bCs w:val="1"/>
                <w:color w:val="auto"/>
                <w:vertAlign w:val="superscript"/>
              </w:rPr>
              <w:t>(1)</w:t>
            </w:r>
          </w:p>
        </w:tc>
        <w:tc>
          <w:tcPr>
            <w:tcW w:w="1400" w:type="dxa"/>
            <w:vAlign w:val="bottom"/>
            <w:vMerge w:val="restart"/>
          </w:tcPr>
          <w:p>
            <w:pPr>
              <w:jc w:val="right"/>
              <w:ind w:right="159"/>
              <w:spacing w:after="0"/>
              <w:rPr>
                <w:sz w:val="20"/>
                <w:szCs w:val="20"/>
                <w:color w:val="auto"/>
              </w:rPr>
            </w:pPr>
            <w:r>
              <w:rPr>
                <w:rFonts w:ascii="Arial" w:cs="Arial" w:eastAsia="Arial" w:hAnsi="Arial"/>
                <w:sz w:val="16"/>
                <w:szCs w:val="16"/>
                <w:b w:val="1"/>
                <w:bCs w:val="1"/>
                <w:color w:val="auto"/>
              </w:rPr>
              <w:t>% Change</w:t>
            </w:r>
            <w:r>
              <w:rPr>
                <w:rFonts w:ascii="Arial" w:cs="Arial" w:eastAsia="Arial" w:hAnsi="Arial"/>
                <w:sz w:val="21"/>
                <w:szCs w:val="21"/>
                <w:b w:val="1"/>
                <w:bCs w:val="1"/>
                <w:color w:val="auto"/>
                <w:vertAlign w:val="superscript"/>
              </w:rPr>
              <w:t>(1)</w:t>
            </w:r>
          </w:p>
        </w:tc>
        <w:tc>
          <w:tcPr>
            <w:tcW w:w="0" w:type="dxa"/>
            <w:vAlign w:val="bottom"/>
          </w:tcPr>
          <w:p>
            <w:pPr>
              <w:spacing w:after="0"/>
              <w:rPr>
                <w:sz w:val="1"/>
                <w:szCs w:val="1"/>
                <w:color w:val="auto"/>
              </w:rPr>
            </w:pPr>
          </w:p>
        </w:tc>
      </w:tr>
      <w:tr>
        <w:trPr>
          <w:trHeight w:val="216"/>
        </w:trPr>
        <w:tc>
          <w:tcPr>
            <w:tcW w:w="2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center"/>
              <w:ind w:right="79"/>
              <w:spacing w:after="0"/>
              <w:rPr>
                <w:sz w:val="20"/>
                <w:szCs w:val="20"/>
                <w:color w:val="auto"/>
              </w:rPr>
            </w:pPr>
            <w:r>
              <w:rPr>
                <w:rFonts w:ascii="Arial" w:cs="Arial" w:eastAsia="Arial" w:hAnsi="Arial"/>
                <w:sz w:val="16"/>
                <w:szCs w:val="16"/>
                <w:b w:val="1"/>
                <w:bCs w:val="1"/>
                <w:color w:val="auto"/>
              </w:rPr>
              <w:t>2024</w:t>
            </w:r>
          </w:p>
        </w:tc>
        <w:tc>
          <w:tcPr>
            <w:tcW w:w="100" w:type="dxa"/>
            <w:vAlign w:val="bottom"/>
          </w:tcPr>
          <w:p>
            <w:pPr>
              <w:spacing w:after="0"/>
              <w:rPr>
                <w:sz w:val="18"/>
                <w:szCs w:val="18"/>
                <w:color w:val="auto"/>
              </w:rPr>
            </w:pPr>
          </w:p>
        </w:tc>
        <w:tc>
          <w:tcPr>
            <w:tcW w:w="1520" w:type="dxa"/>
            <w:vAlign w:val="bottom"/>
            <w:gridSpan w:val="3"/>
            <w:vMerge w:val="continue"/>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center"/>
              <w:ind w:right="59"/>
              <w:spacing w:after="0"/>
              <w:rPr>
                <w:sz w:val="20"/>
                <w:szCs w:val="20"/>
                <w:color w:val="auto"/>
              </w:rPr>
            </w:pPr>
            <w:r>
              <w:rPr>
                <w:rFonts w:ascii="Arial" w:cs="Arial" w:eastAsia="Arial" w:hAnsi="Arial"/>
                <w:sz w:val="16"/>
                <w:szCs w:val="16"/>
                <w:b w:val="1"/>
                <w:bCs w:val="1"/>
                <w:color w:val="auto"/>
              </w:rPr>
              <w:t>2023</w:t>
            </w:r>
          </w:p>
        </w:tc>
        <w:tc>
          <w:tcPr>
            <w:tcW w:w="100" w:type="dxa"/>
            <w:vAlign w:val="bottom"/>
          </w:tcPr>
          <w:p>
            <w:pPr>
              <w:spacing w:after="0"/>
              <w:rPr>
                <w:sz w:val="18"/>
                <w:szCs w:val="18"/>
                <w:color w:val="auto"/>
              </w:rPr>
            </w:pPr>
          </w:p>
        </w:tc>
        <w:tc>
          <w:tcPr>
            <w:tcW w:w="1660" w:type="dxa"/>
            <w:vAlign w:val="bottom"/>
            <w:gridSpan w:val="3"/>
            <w:vMerge w:val="continue"/>
          </w:tcPr>
          <w:p>
            <w:pPr>
              <w:spacing w:after="0"/>
              <w:rPr>
                <w:sz w:val="18"/>
                <w:szCs w:val="18"/>
                <w:color w:val="auto"/>
              </w:rPr>
            </w:pPr>
          </w:p>
        </w:tc>
        <w:tc>
          <w:tcPr>
            <w:tcW w:w="1200" w:type="dxa"/>
            <w:vAlign w:val="bottom"/>
            <w:gridSpan w:val="2"/>
            <w:vMerge w:val="continue"/>
          </w:tcPr>
          <w:p>
            <w:pPr>
              <w:spacing w:after="0"/>
              <w:rPr>
                <w:sz w:val="18"/>
                <w:szCs w:val="18"/>
                <w:color w:val="auto"/>
              </w:rPr>
            </w:pPr>
          </w:p>
        </w:tc>
        <w:tc>
          <w:tcPr>
            <w:tcW w:w="14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5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Net revenues</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80.5</w:t>
            </w:r>
          </w:p>
        </w:tc>
        <w:tc>
          <w:tcPr>
            <w:tcW w:w="10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96.4</w:t>
            </w:r>
          </w:p>
        </w:tc>
        <w:tc>
          <w:tcPr>
            <w:tcW w:w="100" w:type="dxa"/>
            <w:vAlign w:val="bottom"/>
            <w:tcBorders>
              <w:top w:val="single" w:sz="8" w:color="CCEEFF"/>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(16.0)</w:t>
            </w:r>
          </w:p>
        </w:tc>
        <w:tc>
          <w:tcPr>
            <w:tcW w:w="80" w:type="dxa"/>
            <w:vAlign w:val="bottom"/>
            <w:tcBorders>
              <w:top w:val="single" w:sz="8" w:color="CCEEFF"/>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(16.6)%</w:t>
            </w:r>
          </w:p>
        </w:tc>
        <w:tc>
          <w:tcPr>
            <w:tcW w:w="0" w:type="dxa"/>
            <w:vAlign w:val="bottom"/>
          </w:tcPr>
          <w:p>
            <w:pPr>
              <w:spacing w:after="0"/>
              <w:rPr>
                <w:sz w:val="1"/>
                <w:szCs w:val="1"/>
                <w:color w:val="auto"/>
              </w:rPr>
            </w:pPr>
          </w:p>
        </w:tc>
      </w:tr>
      <w:tr>
        <w:trPr>
          <w:trHeight w:val="215"/>
        </w:trPr>
        <w:tc>
          <w:tcPr>
            <w:tcW w:w="2500" w:type="dxa"/>
            <w:vAlign w:val="bottom"/>
          </w:tcPr>
          <w:p>
            <w:pPr>
              <w:ind w:left="20"/>
              <w:spacing w:after="0"/>
              <w:rPr>
                <w:sz w:val="20"/>
                <w:szCs w:val="20"/>
                <w:color w:val="auto"/>
              </w:rPr>
            </w:pPr>
            <w:r>
              <w:rPr>
                <w:rFonts w:ascii="Arial" w:cs="Arial" w:eastAsia="Arial" w:hAnsi="Arial"/>
                <w:sz w:val="16"/>
                <w:szCs w:val="16"/>
                <w:color w:val="auto"/>
              </w:rPr>
              <w:t>Adjusted EBITDA</w:t>
            </w: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5.5</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6.9 %</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10.3</w:t>
            </w:r>
          </w:p>
        </w:tc>
        <w:tc>
          <w:tcPr>
            <w:tcW w:w="1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10.6 %</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(4.7)</w:t>
            </w:r>
          </w:p>
        </w:tc>
        <w:tc>
          <w:tcPr>
            <w:tcW w:w="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(45.7)%</w:t>
            </w:r>
          </w:p>
        </w:tc>
        <w:tc>
          <w:tcPr>
            <w:tcW w:w="0" w:type="dxa"/>
            <w:vAlign w:val="bottom"/>
          </w:tcPr>
          <w:p>
            <w:pPr>
              <w:spacing w:after="0"/>
              <w:rPr>
                <w:sz w:val="1"/>
                <w:szCs w:val="1"/>
                <w:color w:val="auto"/>
              </w:rPr>
            </w:pPr>
          </w:p>
        </w:tc>
      </w:tr>
      <w:tr>
        <w:trPr>
          <w:trHeight w:val="379"/>
        </w:trPr>
        <w:tc>
          <w:tcPr>
            <w:tcW w:w="25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2500" w:type="dxa"/>
            <w:vAlign w:val="bottom"/>
            <w:tcBorders>
              <w:bottom w:val="single" w:sz="8" w:color="auto"/>
            </w:tcBorders>
            <w:gridSpan w:val="5"/>
          </w:tcPr>
          <w:p>
            <w:pPr>
              <w:jc w:val="center"/>
              <w:ind w:right="340"/>
              <w:spacing w:after="0"/>
              <w:rPr>
                <w:sz w:val="20"/>
                <w:szCs w:val="20"/>
                <w:color w:val="auto"/>
              </w:rPr>
            </w:pPr>
            <w:r>
              <w:rPr>
                <w:rFonts w:ascii="Arial" w:cs="Arial" w:eastAsia="Arial" w:hAnsi="Arial"/>
                <w:sz w:val="16"/>
                <w:szCs w:val="16"/>
                <w:b w:val="1"/>
                <w:bCs w:val="1"/>
                <w:color w:val="auto"/>
              </w:rPr>
              <w:t>Three Months Ended</w:t>
            </w:r>
          </w:p>
        </w:tc>
        <w:tc>
          <w:tcPr>
            <w:tcW w:w="14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250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Unit deliveries</w:t>
            </w:r>
          </w:p>
        </w:tc>
        <w:tc>
          <w:tcPr>
            <w:tcW w:w="140" w:type="dxa"/>
            <w:vAlign w:val="bottom"/>
          </w:tcPr>
          <w:p>
            <w:pPr>
              <w:spacing w:after="0"/>
              <w:rPr>
                <w:sz w:val="13"/>
                <w:szCs w:val="13"/>
                <w:color w:val="auto"/>
              </w:rPr>
            </w:pPr>
          </w:p>
        </w:tc>
        <w:tc>
          <w:tcPr>
            <w:tcW w:w="1180" w:type="dxa"/>
            <w:vAlign w:val="bottom"/>
            <w:gridSpan w:val="2"/>
          </w:tcPr>
          <w:p>
            <w:pPr>
              <w:jc w:val="center"/>
              <w:ind w:right="240"/>
              <w:spacing w:after="0" w:line="155" w:lineRule="exact"/>
              <w:rPr>
                <w:sz w:val="20"/>
                <w:szCs w:val="20"/>
                <w:color w:val="auto"/>
              </w:rPr>
            </w:pPr>
            <w:r>
              <w:rPr>
                <w:rFonts w:ascii="Arial" w:cs="Arial" w:eastAsia="Arial" w:hAnsi="Arial"/>
                <w:sz w:val="16"/>
                <w:szCs w:val="16"/>
                <w:b w:val="1"/>
                <w:bCs w:val="1"/>
                <w:color w:val="auto"/>
              </w:rPr>
              <w:t>August 31,</w:t>
            </w:r>
          </w:p>
        </w:tc>
        <w:tc>
          <w:tcPr>
            <w:tcW w:w="1520" w:type="dxa"/>
            <w:vAlign w:val="bottom"/>
            <w:gridSpan w:val="3"/>
            <w:vMerge w:val="restart"/>
          </w:tcPr>
          <w:p>
            <w:pPr>
              <w:ind w:left="100"/>
              <w:spacing w:after="0"/>
              <w:rPr>
                <w:sz w:val="20"/>
                <w:szCs w:val="20"/>
                <w:color w:val="auto"/>
              </w:rPr>
            </w:pPr>
            <w:r>
              <w:rPr>
                <w:rFonts w:ascii="Arial" w:cs="Arial" w:eastAsia="Arial" w:hAnsi="Arial"/>
                <w:sz w:val="16"/>
                <w:szCs w:val="16"/>
                <w:b w:val="1"/>
                <w:bCs w:val="1"/>
                <w:color w:val="auto"/>
              </w:rPr>
              <w:t>August 26, 2023</w:t>
            </w:r>
          </w:p>
        </w:tc>
        <w:tc>
          <w:tcPr>
            <w:tcW w:w="140" w:type="dxa"/>
            <w:vAlign w:val="bottom"/>
          </w:tcPr>
          <w:p>
            <w:pPr>
              <w:spacing w:after="0"/>
              <w:rPr>
                <w:sz w:val="13"/>
                <w:szCs w:val="13"/>
                <w:color w:val="auto"/>
              </w:rPr>
            </w:pPr>
          </w:p>
        </w:tc>
        <w:tc>
          <w:tcPr>
            <w:tcW w:w="1240" w:type="dxa"/>
            <w:vAlign w:val="bottom"/>
            <w:gridSpan w:val="2"/>
            <w:vMerge w:val="restart"/>
          </w:tcPr>
          <w:p>
            <w:pPr>
              <w:jc w:val="center"/>
              <w:ind w:right="240"/>
              <w:spacing w:after="0"/>
              <w:rPr>
                <w:sz w:val="20"/>
                <w:szCs w:val="20"/>
                <w:color w:val="auto"/>
              </w:rPr>
            </w:pPr>
            <w:r>
              <w:rPr>
                <w:rFonts w:ascii="Arial" w:cs="Arial" w:eastAsia="Arial" w:hAnsi="Arial"/>
                <w:sz w:val="16"/>
                <w:szCs w:val="16"/>
                <w:b w:val="1"/>
                <w:bCs w:val="1"/>
                <w:color w:val="auto"/>
              </w:rPr>
              <w:t>Unit Change</w:t>
            </w:r>
          </w:p>
        </w:tc>
        <w:tc>
          <w:tcPr>
            <w:tcW w:w="1660" w:type="dxa"/>
            <w:vAlign w:val="bottom"/>
            <w:gridSpan w:val="3"/>
            <w:vMerge w:val="restart"/>
          </w:tcPr>
          <w:p>
            <w:pPr>
              <w:jc w:val="center"/>
              <w:ind w:right="199"/>
              <w:spacing w:after="0"/>
              <w:rPr>
                <w:sz w:val="20"/>
                <w:szCs w:val="20"/>
                <w:color w:val="auto"/>
              </w:rPr>
            </w:pPr>
            <w:r>
              <w:rPr>
                <w:rFonts w:ascii="Arial" w:cs="Arial" w:eastAsia="Arial" w:hAnsi="Arial"/>
                <w:sz w:val="16"/>
                <w:szCs w:val="16"/>
                <w:b w:val="1"/>
                <w:bCs w:val="1"/>
                <w:color w:val="auto"/>
              </w:rPr>
              <w:t>% Change</w:t>
            </w:r>
          </w:p>
        </w:tc>
        <w:tc>
          <w:tcPr>
            <w:tcW w:w="1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250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center"/>
              <w:ind w:right="79"/>
              <w:spacing w:after="0"/>
              <w:rPr>
                <w:sz w:val="20"/>
                <w:szCs w:val="20"/>
                <w:color w:val="auto"/>
              </w:rPr>
            </w:pPr>
            <w:r>
              <w:rPr>
                <w:rFonts w:ascii="Arial" w:cs="Arial" w:eastAsia="Arial" w:hAnsi="Arial"/>
                <w:sz w:val="16"/>
                <w:szCs w:val="16"/>
                <w:b w:val="1"/>
                <w:bCs w:val="1"/>
                <w:color w:val="auto"/>
              </w:rPr>
              <w:t>2024</w:t>
            </w:r>
          </w:p>
        </w:tc>
        <w:tc>
          <w:tcPr>
            <w:tcW w:w="100" w:type="dxa"/>
            <w:vAlign w:val="bottom"/>
          </w:tcPr>
          <w:p>
            <w:pPr>
              <w:spacing w:after="0"/>
              <w:rPr>
                <w:sz w:val="18"/>
                <w:szCs w:val="18"/>
                <w:color w:val="auto"/>
              </w:rPr>
            </w:pPr>
          </w:p>
        </w:tc>
        <w:tc>
          <w:tcPr>
            <w:tcW w:w="1520" w:type="dxa"/>
            <w:vAlign w:val="bottom"/>
            <w:gridSpan w:val="3"/>
            <w:vMerge w:val="continue"/>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vMerge w:val="continue"/>
          </w:tcPr>
          <w:p>
            <w:pPr>
              <w:spacing w:after="0"/>
              <w:rPr>
                <w:sz w:val="18"/>
                <w:szCs w:val="18"/>
                <w:color w:val="auto"/>
              </w:rPr>
            </w:pPr>
          </w:p>
        </w:tc>
        <w:tc>
          <w:tcPr>
            <w:tcW w:w="1660" w:type="dxa"/>
            <w:vAlign w:val="bottom"/>
            <w:gridSpan w:val="3"/>
            <w:vMerge w:val="continue"/>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50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Boats</w:t>
            </w: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1,042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400" w:type="dxa"/>
            <w:vAlign w:val="bottom"/>
            <w:tcBorders>
              <w:top w:val="single" w:sz="8" w:color="auto"/>
              <w:bottom w:val="single" w:sz="8" w:color="auto"/>
            </w:tcBorders>
            <w:shd w:val="clear" w:color="auto" w:fill="CCEEFF"/>
          </w:tcPr>
          <w:p>
            <w:pPr>
              <w:spacing w:after="0"/>
              <w:rPr>
                <w:sz w:val="19"/>
                <w:szCs w:val="19"/>
                <w:color w:val="auto"/>
              </w:rPr>
            </w:pPr>
          </w:p>
        </w:tc>
        <w:tc>
          <w:tcPr>
            <w:tcW w:w="1040" w:type="dxa"/>
            <w:vAlign w:val="bottom"/>
            <w:tcBorders>
              <w:top w:val="single" w:sz="8" w:color="auto"/>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1,162</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5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5"/>
        </w:trPr>
        <w:tc>
          <w:tcPr>
            <w:tcW w:w="25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900" w:type="dxa"/>
            <w:vAlign w:val="bottom"/>
            <w:tcBorders>
              <w:bottom w:val="single" w:sz="8" w:color="auto"/>
            </w:tcBorders>
            <w:gridSpan w:val="5"/>
          </w:tcPr>
          <w:p>
            <w:pPr>
              <w:jc w:val="right"/>
              <w:ind w:right="1119"/>
              <w:spacing w:after="0"/>
              <w:rPr>
                <w:sz w:val="20"/>
                <w:szCs w:val="20"/>
                <w:color w:val="auto"/>
              </w:rPr>
            </w:pPr>
            <w:r>
              <w:rPr>
                <w:rFonts w:ascii="Arial" w:cs="Arial" w:eastAsia="Arial" w:hAnsi="Arial"/>
                <w:sz w:val="16"/>
                <w:szCs w:val="16"/>
                <w:b w:val="1"/>
                <w:bCs w:val="1"/>
                <w:color w:val="auto"/>
              </w:rPr>
              <w:t>Year Ended</w:t>
            </w:r>
          </w:p>
        </w:tc>
        <w:tc>
          <w:tcPr>
            <w:tcW w:w="1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25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80" w:type="dxa"/>
            <w:vAlign w:val="bottom"/>
            <w:gridSpan w:val="2"/>
          </w:tcPr>
          <w:p>
            <w:pPr>
              <w:jc w:val="center"/>
              <w:ind w:right="240"/>
              <w:spacing w:after="0" w:line="155" w:lineRule="exact"/>
              <w:rPr>
                <w:sz w:val="20"/>
                <w:szCs w:val="20"/>
                <w:color w:val="auto"/>
              </w:rPr>
            </w:pPr>
            <w:r>
              <w:rPr>
                <w:rFonts w:ascii="Arial" w:cs="Arial" w:eastAsia="Arial" w:hAnsi="Arial"/>
                <w:sz w:val="16"/>
                <w:szCs w:val="16"/>
                <w:b w:val="1"/>
                <w:bCs w:val="1"/>
                <w:color w:val="auto"/>
              </w:rPr>
              <w:t>August 31,</w:t>
            </w:r>
          </w:p>
        </w:tc>
        <w:tc>
          <w:tcPr>
            <w:tcW w:w="1520" w:type="dxa"/>
            <w:vAlign w:val="bottom"/>
            <w:gridSpan w:val="3"/>
            <w:vMerge w:val="restart"/>
          </w:tcPr>
          <w:p>
            <w:pPr>
              <w:ind w:left="80"/>
              <w:spacing w:after="0"/>
              <w:rPr>
                <w:sz w:val="20"/>
                <w:szCs w:val="20"/>
                <w:color w:val="auto"/>
              </w:rPr>
            </w:pPr>
            <w:r>
              <w:rPr>
                <w:rFonts w:ascii="Arial" w:cs="Arial" w:eastAsia="Arial" w:hAnsi="Arial"/>
                <w:sz w:val="16"/>
                <w:szCs w:val="16"/>
                <w:b w:val="1"/>
                <w:bCs w:val="1"/>
                <w:color w:val="auto"/>
              </w:rPr>
              <w:t>% of Revenues</w:t>
            </w:r>
            <w:r>
              <w:rPr>
                <w:rFonts w:ascii="Arial" w:cs="Arial" w:eastAsia="Arial" w:hAnsi="Arial"/>
                <w:sz w:val="21"/>
                <w:szCs w:val="21"/>
                <w:b w:val="1"/>
                <w:bCs w:val="1"/>
                <w:color w:val="auto"/>
                <w:vertAlign w:val="superscript"/>
              </w:rPr>
              <w:t>(1)</w:t>
            </w:r>
          </w:p>
        </w:tc>
        <w:tc>
          <w:tcPr>
            <w:tcW w:w="140" w:type="dxa"/>
            <w:vAlign w:val="bottom"/>
          </w:tcPr>
          <w:p>
            <w:pPr>
              <w:spacing w:after="0"/>
              <w:rPr>
                <w:sz w:val="13"/>
                <w:szCs w:val="13"/>
                <w:color w:val="auto"/>
              </w:rPr>
            </w:pPr>
          </w:p>
        </w:tc>
        <w:tc>
          <w:tcPr>
            <w:tcW w:w="1240" w:type="dxa"/>
            <w:vAlign w:val="bottom"/>
            <w:gridSpan w:val="2"/>
          </w:tcPr>
          <w:p>
            <w:pPr>
              <w:jc w:val="center"/>
              <w:ind w:right="240"/>
              <w:spacing w:after="0" w:line="155" w:lineRule="exact"/>
              <w:rPr>
                <w:sz w:val="20"/>
                <w:szCs w:val="20"/>
                <w:color w:val="auto"/>
              </w:rPr>
            </w:pPr>
            <w:r>
              <w:rPr>
                <w:rFonts w:ascii="Arial" w:cs="Arial" w:eastAsia="Arial" w:hAnsi="Arial"/>
                <w:sz w:val="16"/>
                <w:szCs w:val="16"/>
                <w:b w:val="1"/>
                <w:bCs w:val="1"/>
                <w:color w:val="auto"/>
              </w:rPr>
              <w:t>August 26,</w:t>
            </w:r>
          </w:p>
        </w:tc>
        <w:tc>
          <w:tcPr>
            <w:tcW w:w="1660" w:type="dxa"/>
            <w:vAlign w:val="bottom"/>
            <w:gridSpan w:val="3"/>
            <w:vMerge w:val="restart"/>
          </w:tcPr>
          <w:p>
            <w:pPr>
              <w:jc w:val="center"/>
              <w:ind w:right="179"/>
              <w:spacing w:after="0"/>
              <w:rPr>
                <w:sz w:val="20"/>
                <w:szCs w:val="20"/>
                <w:color w:val="auto"/>
              </w:rPr>
            </w:pPr>
            <w:r>
              <w:rPr>
                <w:rFonts w:ascii="Arial" w:cs="Arial" w:eastAsia="Arial" w:hAnsi="Arial"/>
                <w:sz w:val="16"/>
                <w:szCs w:val="16"/>
                <w:b w:val="1"/>
                <w:bCs w:val="1"/>
                <w:color w:val="auto"/>
                <w:w w:val="97"/>
              </w:rPr>
              <w:t>% of Revenues</w:t>
            </w:r>
            <w:r>
              <w:rPr>
                <w:rFonts w:ascii="Arial" w:cs="Arial" w:eastAsia="Arial" w:hAnsi="Arial"/>
                <w:sz w:val="21"/>
                <w:szCs w:val="21"/>
                <w:b w:val="1"/>
                <w:bCs w:val="1"/>
                <w:color w:val="auto"/>
                <w:w w:val="97"/>
                <w:vertAlign w:val="superscript"/>
              </w:rPr>
              <w:t>(1)</w:t>
            </w:r>
          </w:p>
        </w:tc>
        <w:tc>
          <w:tcPr>
            <w:tcW w:w="1200" w:type="dxa"/>
            <w:vAlign w:val="bottom"/>
            <w:gridSpan w:val="2"/>
            <w:vMerge w:val="restart"/>
          </w:tcPr>
          <w:p>
            <w:pPr>
              <w:ind w:left="40"/>
              <w:spacing w:after="0"/>
              <w:rPr>
                <w:sz w:val="20"/>
                <w:szCs w:val="20"/>
                <w:color w:val="auto"/>
              </w:rPr>
            </w:pPr>
            <w:r>
              <w:rPr>
                <w:rFonts w:ascii="Arial" w:cs="Arial" w:eastAsia="Arial" w:hAnsi="Arial"/>
                <w:sz w:val="16"/>
                <w:szCs w:val="16"/>
                <w:b w:val="1"/>
                <w:bCs w:val="1"/>
                <w:color w:val="auto"/>
              </w:rPr>
              <w:t>$ Change</w:t>
            </w:r>
            <w:r>
              <w:rPr>
                <w:rFonts w:ascii="Arial" w:cs="Arial" w:eastAsia="Arial" w:hAnsi="Arial"/>
                <w:sz w:val="21"/>
                <w:szCs w:val="21"/>
                <w:b w:val="1"/>
                <w:bCs w:val="1"/>
                <w:color w:val="auto"/>
                <w:vertAlign w:val="superscript"/>
              </w:rPr>
              <w:t>(1)</w:t>
            </w:r>
          </w:p>
        </w:tc>
        <w:tc>
          <w:tcPr>
            <w:tcW w:w="1400" w:type="dxa"/>
            <w:vAlign w:val="bottom"/>
            <w:vMerge w:val="restart"/>
          </w:tcPr>
          <w:p>
            <w:pPr>
              <w:jc w:val="right"/>
              <w:ind w:right="159"/>
              <w:spacing w:after="0"/>
              <w:rPr>
                <w:sz w:val="20"/>
                <w:szCs w:val="20"/>
                <w:color w:val="auto"/>
              </w:rPr>
            </w:pPr>
            <w:r>
              <w:rPr>
                <w:rFonts w:ascii="Arial" w:cs="Arial" w:eastAsia="Arial" w:hAnsi="Arial"/>
                <w:sz w:val="16"/>
                <w:szCs w:val="16"/>
                <w:b w:val="1"/>
                <w:bCs w:val="1"/>
                <w:color w:val="auto"/>
              </w:rPr>
              <w:t>% Change</w:t>
            </w:r>
            <w:r>
              <w:rPr>
                <w:rFonts w:ascii="Arial" w:cs="Arial" w:eastAsia="Arial" w:hAnsi="Arial"/>
                <w:sz w:val="21"/>
                <w:szCs w:val="21"/>
                <w:b w:val="1"/>
                <w:bCs w:val="1"/>
                <w:color w:val="auto"/>
                <w:vertAlign w:val="superscript"/>
              </w:rPr>
              <w:t>(1)</w:t>
            </w:r>
          </w:p>
        </w:tc>
        <w:tc>
          <w:tcPr>
            <w:tcW w:w="0" w:type="dxa"/>
            <w:vAlign w:val="bottom"/>
          </w:tcPr>
          <w:p>
            <w:pPr>
              <w:spacing w:after="0"/>
              <w:rPr>
                <w:sz w:val="1"/>
                <w:szCs w:val="1"/>
                <w:color w:val="auto"/>
              </w:rPr>
            </w:pPr>
          </w:p>
        </w:tc>
      </w:tr>
      <w:tr>
        <w:trPr>
          <w:trHeight w:val="216"/>
        </w:trPr>
        <w:tc>
          <w:tcPr>
            <w:tcW w:w="2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center"/>
              <w:ind w:right="79"/>
              <w:spacing w:after="0"/>
              <w:rPr>
                <w:sz w:val="20"/>
                <w:szCs w:val="20"/>
                <w:color w:val="auto"/>
              </w:rPr>
            </w:pPr>
            <w:r>
              <w:rPr>
                <w:rFonts w:ascii="Arial" w:cs="Arial" w:eastAsia="Arial" w:hAnsi="Arial"/>
                <w:sz w:val="16"/>
                <w:szCs w:val="16"/>
                <w:b w:val="1"/>
                <w:bCs w:val="1"/>
                <w:color w:val="auto"/>
              </w:rPr>
              <w:t>2024</w:t>
            </w:r>
          </w:p>
        </w:tc>
        <w:tc>
          <w:tcPr>
            <w:tcW w:w="100" w:type="dxa"/>
            <w:vAlign w:val="bottom"/>
          </w:tcPr>
          <w:p>
            <w:pPr>
              <w:spacing w:after="0"/>
              <w:rPr>
                <w:sz w:val="18"/>
                <w:szCs w:val="18"/>
                <w:color w:val="auto"/>
              </w:rPr>
            </w:pPr>
          </w:p>
        </w:tc>
        <w:tc>
          <w:tcPr>
            <w:tcW w:w="1520" w:type="dxa"/>
            <w:vAlign w:val="bottom"/>
            <w:gridSpan w:val="3"/>
            <w:vMerge w:val="continue"/>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center"/>
              <w:ind w:right="59"/>
              <w:spacing w:after="0"/>
              <w:rPr>
                <w:sz w:val="20"/>
                <w:szCs w:val="20"/>
                <w:color w:val="auto"/>
              </w:rPr>
            </w:pPr>
            <w:r>
              <w:rPr>
                <w:rFonts w:ascii="Arial" w:cs="Arial" w:eastAsia="Arial" w:hAnsi="Arial"/>
                <w:sz w:val="16"/>
                <w:szCs w:val="16"/>
                <w:b w:val="1"/>
                <w:bCs w:val="1"/>
                <w:color w:val="auto"/>
              </w:rPr>
              <w:t>2023</w:t>
            </w:r>
          </w:p>
        </w:tc>
        <w:tc>
          <w:tcPr>
            <w:tcW w:w="100" w:type="dxa"/>
            <w:vAlign w:val="bottom"/>
          </w:tcPr>
          <w:p>
            <w:pPr>
              <w:spacing w:after="0"/>
              <w:rPr>
                <w:sz w:val="18"/>
                <w:szCs w:val="18"/>
                <w:color w:val="auto"/>
              </w:rPr>
            </w:pPr>
          </w:p>
        </w:tc>
        <w:tc>
          <w:tcPr>
            <w:tcW w:w="1660" w:type="dxa"/>
            <w:vAlign w:val="bottom"/>
            <w:gridSpan w:val="3"/>
            <w:vMerge w:val="continue"/>
          </w:tcPr>
          <w:p>
            <w:pPr>
              <w:spacing w:after="0"/>
              <w:rPr>
                <w:sz w:val="18"/>
                <w:szCs w:val="18"/>
                <w:color w:val="auto"/>
              </w:rPr>
            </w:pPr>
          </w:p>
        </w:tc>
        <w:tc>
          <w:tcPr>
            <w:tcW w:w="1200" w:type="dxa"/>
            <w:vAlign w:val="bottom"/>
            <w:gridSpan w:val="2"/>
            <w:vMerge w:val="continue"/>
          </w:tcPr>
          <w:p>
            <w:pPr>
              <w:spacing w:after="0"/>
              <w:rPr>
                <w:sz w:val="18"/>
                <w:szCs w:val="18"/>
                <w:color w:val="auto"/>
              </w:rPr>
            </w:pPr>
          </w:p>
        </w:tc>
        <w:tc>
          <w:tcPr>
            <w:tcW w:w="14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5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Net revenues</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325.5</w:t>
            </w:r>
          </w:p>
        </w:tc>
        <w:tc>
          <w:tcPr>
            <w:tcW w:w="10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469.7</w:t>
            </w:r>
          </w:p>
        </w:tc>
        <w:tc>
          <w:tcPr>
            <w:tcW w:w="100" w:type="dxa"/>
            <w:vAlign w:val="bottom"/>
            <w:tcBorders>
              <w:top w:val="single" w:sz="8" w:color="CCEEFF"/>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(144.2)</w:t>
            </w:r>
          </w:p>
        </w:tc>
        <w:tc>
          <w:tcPr>
            <w:tcW w:w="80" w:type="dxa"/>
            <w:vAlign w:val="bottom"/>
            <w:tcBorders>
              <w:top w:val="single" w:sz="8" w:color="CCEEFF"/>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(30.7)%</w:t>
            </w:r>
          </w:p>
        </w:tc>
        <w:tc>
          <w:tcPr>
            <w:tcW w:w="0" w:type="dxa"/>
            <w:vAlign w:val="bottom"/>
          </w:tcPr>
          <w:p>
            <w:pPr>
              <w:spacing w:after="0"/>
              <w:rPr>
                <w:sz w:val="1"/>
                <w:szCs w:val="1"/>
                <w:color w:val="auto"/>
              </w:rPr>
            </w:pPr>
          </w:p>
        </w:tc>
      </w:tr>
      <w:tr>
        <w:trPr>
          <w:trHeight w:val="215"/>
        </w:trPr>
        <w:tc>
          <w:tcPr>
            <w:tcW w:w="2500" w:type="dxa"/>
            <w:vAlign w:val="bottom"/>
          </w:tcPr>
          <w:p>
            <w:pPr>
              <w:ind w:left="20"/>
              <w:spacing w:after="0"/>
              <w:rPr>
                <w:sz w:val="20"/>
                <w:szCs w:val="20"/>
                <w:color w:val="auto"/>
              </w:rPr>
            </w:pPr>
            <w:r>
              <w:rPr>
                <w:rFonts w:ascii="Arial" w:cs="Arial" w:eastAsia="Arial" w:hAnsi="Arial"/>
                <w:sz w:val="16"/>
                <w:szCs w:val="16"/>
                <w:color w:val="auto"/>
              </w:rPr>
              <w:t>Adjusted EBITDA</w:t>
            </w: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25.6</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7.9 %</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60.5</w:t>
            </w:r>
          </w:p>
        </w:tc>
        <w:tc>
          <w:tcPr>
            <w:tcW w:w="1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12.9 %</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(34.8)</w:t>
            </w:r>
          </w:p>
        </w:tc>
        <w:tc>
          <w:tcPr>
            <w:tcW w:w="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(57.6)%</w:t>
            </w:r>
          </w:p>
        </w:tc>
        <w:tc>
          <w:tcPr>
            <w:tcW w:w="0" w:type="dxa"/>
            <w:vAlign w:val="bottom"/>
          </w:tcPr>
          <w:p>
            <w:pPr>
              <w:spacing w:after="0"/>
              <w:rPr>
                <w:sz w:val="1"/>
                <w:szCs w:val="1"/>
                <w:color w:val="auto"/>
              </w:rPr>
            </w:pPr>
          </w:p>
        </w:tc>
      </w:tr>
      <w:tr>
        <w:trPr>
          <w:trHeight w:val="379"/>
        </w:trPr>
        <w:tc>
          <w:tcPr>
            <w:tcW w:w="25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2500" w:type="dxa"/>
            <w:vAlign w:val="bottom"/>
            <w:tcBorders>
              <w:bottom w:val="single" w:sz="8" w:color="auto"/>
            </w:tcBorders>
            <w:gridSpan w:val="5"/>
          </w:tcPr>
          <w:p>
            <w:pPr>
              <w:jc w:val="center"/>
              <w:ind w:right="340"/>
              <w:spacing w:after="0"/>
              <w:rPr>
                <w:sz w:val="20"/>
                <w:szCs w:val="20"/>
                <w:color w:val="auto"/>
              </w:rPr>
            </w:pPr>
            <w:r>
              <w:rPr>
                <w:rFonts w:ascii="Arial" w:cs="Arial" w:eastAsia="Arial" w:hAnsi="Arial"/>
                <w:sz w:val="16"/>
                <w:szCs w:val="16"/>
                <w:b w:val="1"/>
                <w:bCs w:val="1"/>
                <w:color w:val="auto"/>
                <w:w w:val="99"/>
              </w:rPr>
              <w:t>Year Ended</w:t>
            </w:r>
          </w:p>
        </w:tc>
        <w:tc>
          <w:tcPr>
            <w:tcW w:w="14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250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Unit deliveries</w:t>
            </w:r>
          </w:p>
        </w:tc>
        <w:tc>
          <w:tcPr>
            <w:tcW w:w="140" w:type="dxa"/>
            <w:vAlign w:val="bottom"/>
          </w:tcPr>
          <w:p>
            <w:pPr>
              <w:spacing w:after="0"/>
              <w:rPr>
                <w:sz w:val="13"/>
                <w:szCs w:val="13"/>
                <w:color w:val="auto"/>
              </w:rPr>
            </w:pPr>
          </w:p>
        </w:tc>
        <w:tc>
          <w:tcPr>
            <w:tcW w:w="1180" w:type="dxa"/>
            <w:vAlign w:val="bottom"/>
            <w:gridSpan w:val="2"/>
          </w:tcPr>
          <w:p>
            <w:pPr>
              <w:jc w:val="center"/>
              <w:ind w:right="240"/>
              <w:spacing w:after="0" w:line="155" w:lineRule="exact"/>
              <w:rPr>
                <w:sz w:val="20"/>
                <w:szCs w:val="20"/>
                <w:color w:val="auto"/>
              </w:rPr>
            </w:pPr>
            <w:r>
              <w:rPr>
                <w:rFonts w:ascii="Arial" w:cs="Arial" w:eastAsia="Arial" w:hAnsi="Arial"/>
                <w:sz w:val="16"/>
                <w:szCs w:val="16"/>
                <w:b w:val="1"/>
                <w:bCs w:val="1"/>
                <w:color w:val="auto"/>
              </w:rPr>
              <w:t>August 31,</w:t>
            </w:r>
          </w:p>
        </w:tc>
        <w:tc>
          <w:tcPr>
            <w:tcW w:w="1520" w:type="dxa"/>
            <w:vAlign w:val="bottom"/>
            <w:gridSpan w:val="3"/>
            <w:vMerge w:val="restart"/>
          </w:tcPr>
          <w:p>
            <w:pPr>
              <w:ind w:left="100"/>
              <w:spacing w:after="0"/>
              <w:rPr>
                <w:sz w:val="20"/>
                <w:szCs w:val="20"/>
                <w:color w:val="auto"/>
              </w:rPr>
            </w:pPr>
            <w:r>
              <w:rPr>
                <w:rFonts w:ascii="Arial" w:cs="Arial" w:eastAsia="Arial" w:hAnsi="Arial"/>
                <w:sz w:val="16"/>
                <w:szCs w:val="16"/>
                <w:b w:val="1"/>
                <w:bCs w:val="1"/>
                <w:color w:val="auto"/>
              </w:rPr>
              <w:t>August 26, 2023</w:t>
            </w:r>
          </w:p>
        </w:tc>
        <w:tc>
          <w:tcPr>
            <w:tcW w:w="140" w:type="dxa"/>
            <w:vAlign w:val="bottom"/>
          </w:tcPr>
          <w:p>
            <w:pPr>
              <w:spacing w:after="0"/>
              <w:rPr>
                <w:sz w:val="13"/>
                <w:szCs w:val="13"/>
                <w:color w:val="auto"/>
              </w:rPr>
            </w:pPr>
          </w:p>
        </w:tc>
        <w:tc>
          <w:tcPr>
            <w:tcW w:w="1240" w:type="dxa"/>
            <w:vAlign w:val="bottom"/>
            <w:gridSpan w:val="2"/>
            <w:vMerge w:val="restart"/>
          </w:tcPr>
          <w:p>
            <w:pPr>
              <w:jc w:val="center"/>
              <w:ind w:right="240"/>
              <w:spacing w:after="0"/>
              <w:rPr>
                <w:sz w:val="20"/>
                <w:szCs w:val="20"/>
                <w:color w:val="auto"/>
              </w:rPr>
            </w:pPr>
            <w:r>
              <w:rPr>
                <w:rFonts w:ascii="Arial" w:cs="Arial" w:eastAsia="Arial" w:hAnsi="Arial"/>
                <w:sz w:val="16"/>
                <w:szCs w:val="16"/>
                <w:b w:val="1"/>
                <w:bCs w:val="1"/>
                <w:color w:val="auto"/>
              </w:rPr>
              <w:t>Unit Change</w:t>
            </w:r>
          </w:p>
        </w:tc>
        <w:tc>
          <w:tcPr>
            <w:tcW w:w="1660" w:type="dxa"/>
            <w:vAlign w:val="bottom"/>
            <w:gridSpan w:val="3"/>
            <w:vMerge w:val="restart"/>
          </w:tcPr>
          <w:p>
            <w:pPr>
              <w:jc w:val="center"/>
              <w:ind w:right="199"/>
              <w:spacing w:after="0"/>
              <w:rPr>
                <w:sz w:val="20"/>
                <w:szCs w:val="20"/>
                <w:color w:val="auto"/>
              </w:rPr>
            </w:pPr>
            <w:r>
              <w:rPr>
                <w:rFonts w:ascii="Arial" w:cs="Arial" w:eastAsia="Arial" w:hAnsi="Arial"/>
                <w:sz w:val="16"/>
                <w:szCs w:val="16"/>
                <w:b w:val="1"/>
                <w:bCs w:val="1"/>
                <w:color w:val="auto"/>
              </w:rPr>
              <w:t>% Change</w:t>
            </w:r>
          </w:p>
        </w:tc>
        <w:tc>
          <w:tcPr>
            <w:tcW w:w="1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250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center"/>
              <w:ind w:right="79"/>
              <w:spacing w:after="0"/>
              <w:rPr>
                <w:sz w:val="20"/>
                <w:szCs w:val="20"/>
                <w:color w:val="auto"/>
              </w:rPr>
            </w:pPr>
            <w:r>
              <w:rPr>
                <w:rFonts w:ascii="Arial" w:cs="Arial" w:eastAsia="Arial" w:hAnsi="Arial"/>
                <w:sz w:val="16"/>
                <w:szCs w:val="16"/>
                <w:b w:val="1"/>
                <w:bCs w:val="1"/>
                <w:color w:val="auto"/>
              </w:rPr>
              <w:t>2024</w:t>
            </w:r>
          </w:p>
        </w:tc>
        <w:tc>
          <w:tcPr>
            <w:tcW w:w="100" w:type="dxa"/>
            <w:vAlign w:val="bottom"/>
          </w:tcPr>
          <w:p>
            <w:pPr>
              <w:spacing w:after="0"/>
              <w:rPr>
                <w:sz w:val="18"/>
                <w:szCs w:val="18"/>
                <w:color w:val="auto"/>
              </w:rPr>
            </w:pPr>
          </w:p>
        </w:tc>
        <w:tc>
          <w:tcPr>
            <w:tcW w:w="1520" w:type="dxa"/>
            <w:vAlign w:val="bottom"/>
            <w:gridSpan w:val="3"/>
            <w:vMerge w:val="continue"/>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vMerge w:val="continue"/>
          </w:tcPr>
          <w:p>
            <w:pPr>
              <w:spacing w:after="0"/>
              <w:rPr>
                <w:sz w:val="18"/>
                <w:szCs w:val="18"/>
                <w:color w:val="auto"/>
              </w:rPr>
            </w:pPr>
          </w:p>
        </w:tc>
        <w:tc>
          <w:tcPr>
            <w:tcW w:w="1660" w:type="dxa"/>
            <w:vAlign w:val="bottom"/>
            <w:gridSpan w:val="3"/>
            <w:vMerge w:val="continue"/>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50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Boats</w:t>
            </w: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4,149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400" w:type="dxa"/>
            <w:vAlign w:val="bottom"/>
            <w:tcBorders>
              <w:top w:val="single" w:sz="8" w:color="auto"/>
              <w:bottom w:val="single" w:sz="8" w:color="auto"/>
            </w:tcBorders>
            <w:shd w:val="clear" w:color="auto" w:fill="CCEEFF"/>
          </w:tcPr>
          <w:p>
            <w:pPr>
              <w:spacing w:after="0"/>
              <w:rPr>
                <w:sz w:val="19"/>
                <w:szCs w:val="19"/>
                <w:color w:val="auto"/>
              </w:rPr>
            </w:pPr>
          </w:p>
        </w:tc>
        <w:tc>
          <w:tcPr>
            <w:tcW w:w="1040" w:type="dxa"/>
            <w:vAlign w:val="bottom"/>
            <w:tcBorders>
              <w:top w:val="single" w:sz="8" w:color="auto"/>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5,714</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(1,565)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5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9"/>
        </w:trPr>
        <w:tc>
          <w:tcPr>
            <w:tcW w:w="2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rPr>
              <w:t>August 31,</w:t>
            </w:r>
          </w:p>
        </w:tc>
        <w:tc>
          <w:tcPr>
            <w:tcW w:w="1520" w:type="dxa"/>
            <w:vAlign w:val="bottom"/>
            <w:gridSpan w:val="3"/>
            <w:vMerge w:val="restart"/>
          </w:tcPr>
          <w:p>
            <w:pPr>
              <w:ind w:left="100"/>
              <w:spacing w:after="0"/>
              <w:rPr>
                <w:sz w:val="20"/>
                <w:szCs w:val="20"/>
                <w:color w:val="auto"/>
              </w:rPr>
            </w:pPr>
            <w:r>
              <w:rPr>
                <w:rFonts w:ascii="Arial" w:cs="Arial" w:eastAsia="Arial" w:hAnsi="Arial"/>
                <w:sz w:val="16"/>
                <w:szCs w:val="16"/>
                <w:b w:val="1"/>
                <w:bCs w:val="1"/>
                <w:color w:val="auto"/>
              </w:rPr>
              <w:t>August 26, 2023</w:t>
            </w:r>
          </w:p>
        </w:tc>
        <w:tc>
          <w:tcPr>
            <w:tcW w:w="140" w:type="dxa"/>
            <w:vAlign w:val="bottom"/>
          </w:tcPr>
          <w:p>
            <w:pPr>
              <w:spacing w:after="0"/>
              <w:rPr>
                <w:sz w:val="24"/>
                <w:szCs w:val="24"/>
                <w:color w:val="auto"/>
              </w:rPr>
            </w:pPr>
          </w:p>
        </w:tc>
        <w:tc>
          <w:tcPr>
            <w:tcW w:w="1240" w:type="dxa"/>
            <w:vAlign w:val="bottom"/>
            <w:gridSpan w:val="2"/>
            <w:vMerge w:val="restart"/>
          </w:tcPr>
          <w:p>
            <w:pPr>
              <w:jc w:val="center"/>
              <w:ind w:right="240"/>
              <w:spacing w:after="0"/>
              <w:rPr>
                <w:sz w:val="20"/>
                <w:szCs w:val="20"/>
                <w:color w:val="auto"/>
              </w:rPr>
            </w:pPr>
            <w:r>
              <w:rPr>
                <w:rFonts w:ascii="Arial" w:cs="Arial" w:eastAsia="Arial" w:hAnsi="Arial"/>
                <w:sz w:val="16"/>
                <w:szCs w:val="16"/>
                <w:b w:val="1"/>
                <w:bCs w:val="1"/>
                <w:color w:val="auto"/>
                <w:w w:val="94"/>
              </w:rPr>
              <w:t>Change</w:t>
            </w:r>
            <w:r>
              <w:rPr>
                <w:rFonts w:ascii="Arial" w:cs="Arial" w:eastAsia="Arial" w:hAnsi="Arial"/>
                <w:sz w:val="21"/>
                <w:szCs w:val="21"/>
                <w:b w:val="1"/>
                <w:bCs w:val="1"/>
                <w:color w:val="auto"/>
                <w:w w:val="94"/>
                <w:vertAlign w:val="superscript"/>
              </w:rPr>
              <w:t>(1)</w:t>
            </w:r>
          </w:p>
        </w:tc>
        <w:tc>
          <w:tcPr>
            <w:tcW w:w="1660" w:type="dxa"/>
            <w:vAlign w:val="bottom"/>
            <w:gridSpan w:val="3"/>
            <w:vMerge w:val="restart"/>
          </w:tcPr>
          <w:p>
            <w:pPr>
              <w:jc w:val="center"/>
              <w:ind w:right="179"/>
              <w:spacing w:after="0"/>
              <w:rPr>
                <w:sz w:val="20"/>
                <w:szCs w:val="20"/>
                <w:color w:val="auto"/>
              </w:rPr>
            </w:pPr>
            <w:r>
              <w:rPr>
                <w:rFonts w:ascii="Arial" w:cs="Arial" w:eastAsia="Arial" w:hAnsi="Arial"/>
                <w:sz w:val="16"/>
                <w:szCs w:val="16"/>
                <w:b w:val="1"/>
                <w:bCs w:val="1"/>
                <w:color w:val="auto"/>
                <w:w w:val="97"/>
              </w:rPr>
              <w:t>% Change</w:t>
            </w:r>
            <w:r>
              <w:rPr>
                <w:rFonts w:ascii="Arial" w:cs="Arial" w:eastAsia="Arial" w:hAnsi="Arial"/>
                <w:sz w:val="21"/>
                <w:szCs w:val="21"/>
                <w:b w:val="1"/>
                <w:bCs w:val="1"/>
                <w:color w:val="auto"/>
                <w:w w:val="97"/>
                <w:vertAlign w:val="superscript"/>
              </w:rPr>
              <w:t>(1)</w:t>
            </w: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center"/>
              <w:ind w:right="79"/>
              <w:spacing w:after="0"/>
              <w:rPr>
                <w:sz w:val="20"/>
                <w:szCs w:val="20"/>
                <w:color w:val="auto"/>
              </w:rPr>
            </w:pPr>
            <w:r>
              <w:rPr>
                <w:rFonts w:ascii="Arial" w:cs="Arial" w:eastAsia="Arial" w:hAnsi="Arial"/>
                <w:sz w:val="16"/>
                <w:szCs w:val="16"/>
                <w:b w:val="1"/>
                <w:bCs w:val="1"/>
                <w:color w:val="auto"/>
              </w:rPr>
              <w:t>2024</w:t>
            </w:r>
          </w:p>
        </w:tc>
        <w:tc>
          <w:tcPr>
            <w:tcW w:w="100" w:type="dxa"/>
            <w:vAlign w:val="bottom"/>
          </w:tcPr>
          <w:p>
            <w:pPr>
              <w:spacing w:after="0"/>
              <w:rPr>
                <w:sz w:val="18"/>
                <w:szCs w:val="18"/>
                <w:color w:val="auto"/>
              </w:rPr>
            </w:pPr>
          </w:p>
        </w:tc>
        <w:tc>
          <w:tcPr>
            <w:tcW w:w="1520" w:type="dxa"/>
            <w:vAlign w:val="bottom"/>
            <w:gridSpan w:val="3"/>
            <w:vMerge w:val="continue"/>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vMerge w:val="continue"/>
          </w:tcPr>
          <w:p>
            <w:pPr>
              <w:spacing w:after="0"/>
              <w:rPr>
                <w:sz w:val="18"/>
                <w:szCs w:val="18"/>
                <w:color w:val="auto"/>
              </w:rPr>
            </w:pPr>
          </w:p>
        </w:tc>
        <w:tc>
          <w:tcPr>
            <w:tcW w:w="1660" w:type="dxa"/>
            <w:vAlign w:val="bottom"/>
            <w:gridSpan w:val="3"/>
            <w:vMerge w:val="continue"/>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500" w:type="dxa"/>
            <w:vAlign w:val="bottom"/>
            <w:tcBorders>
              <w:top w:val="single" w:sz="8" w:color="auto"/>
            </w:tcBorders>
            <w:shd w:val="clear" w:color="auto" w:fill="CCEEFF"/>
          </w:tcPr>
          <w:p>
            <w:pPr>
              <w:ind w:left="20"/>
              <w:spacing w:after="0" w:line="210" w:lineRule="exact"/>
              <w:rPr>
                <w:sz w:val="20"/>
                <w:szCs w:val="20"/>
                <w:color w:val="auto"/>
              </w:rPr>
            </w:pPr>
            <w:r>
              <w:rPr>
                <w:rFonts w:ascii="Arial" w:cs="Arial" w:eastAsia="Arial" w:hAnsi="Arial"/>
                <w:sz w:val="16"/>
                <w:szCs w:val="16"/>
                <w:b w:val="1"/>
                <w:bCs w:val="1"/>
                <w:color w:val="auto"/>
              </w:rPr>
              <w:t>Backlog</w:t>
            </w:r>
            <w:r>
              <w:rPr>
                <w:rFonts w:ascii="Arial" w:cs="Arial" w:eastAsia="Arial" w:hAnsi="Arial"/>
                <w:sz w:val="21"/>
                <w:szCs w:val="21"/>
                <w:b w:val="1"/>
                <w:bCs w:val="1"/>
                <w:color w:val="auto"/>
                <w:vertAlign w:val="superscript"/>
              </w:rPr>
              <w:t>(2)</w:t>
            </w:r>
          </w:p>
        </w:tc>
        <w:tc>
          <w:tcPr>
            <w:tcW w:w="14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500" w:type="dxa"/>
            <w:vAlign w:val="bottom"/>
          </w:tcPr>
          <w:p>
            <w:pPr>
              <w:ind w:left="140"/>
              <w:spacing w:after="0"/>
              <w:rPr>
                <w:sz w:val="20"/>
                <w:szCs w:val="20"/>
                <w:color w:val="auto"/>
              </w:rPr>
            </w:pPr>
            <w:r>
              <w:rPr>
                <w:rFonts w:ascii="Arial" w:cs="Arial" w:eastAsia="Arial" w:hAnsi="Arial"/>
                <w:sz w:val="16"/>
                <w:szCs w:val="16"/>
                <w:color w:val="auto"/>
              </w:rPr>
              <w:t>Units</w:t>
            </w: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3,403</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40" w:type="dxa"/>
            <w:vAlign w:val="bottom"/>
          </w:tcPr>
          <w:p>
            <w:pPr>
              <w:jc w:val="right"/>
              <w:ind w:right="139"/>
              <w:spacing w:after="0"/>
              <w:rPr>
                <w:sz w:val="20"/>
                <w:szCs w:val="20"/>
                <w:color w:val="auto"/>
              </w:rPr>
            </w:pPr>
            <w:r>
              <w:rPr>
                <w:rFonts w:ascii="Arial" w:cs="Arial" w:eastAsia="Arial" w:hAnsi="Arial"/>
                <w:sz w:val="16"/>
                <w:szCs w:val="16"/>
                <w:color w:val="auto"/>
              </w:rPr>
              <w:t>2,545</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858</w:t>
            </w:r>
          </w:p>
        </w:tc>
        <w:tc>
          <w:tcPr>
            <w:tcW w:w="1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33.7 %</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500" w:type="dxa"/>
            <w:vAlign w:val="bottom"/>
            <w:shd w:val="clear" w:color="auto" w:fill="CCEEFF"/>
          </w:tcPr>
          <w:p>
            <w:pPr>
              <w:ind w:left="160"/>
              <w:spacing w:after="0"/>
              <w:rPr>
                <w:sz w:val="20"/>
                <w:szCs w:val="20"/>
                <w:color w:val="auto"/>
              </w:rPr>
            </w:pPr>
            <w:r>
              <w:rPr>
                <w:rFonts w:ascii="Arial" w:cs="Arial" w:eastAsia="Arial" w:hAnsi="Arial"/>
                <w:sz w:val="16"/>
                <w:szCs w:val="16"/>
                <w:color w:val="auto"/>
              </w:rPr>
              <w:t>Dollars</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260.0</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194.7</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65.2</w:t>
            </w:r>
          </w:p>
        </w:tc>
        <w:tc>
          <w:tcPr>
            <w:tcW w:w="10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33.5 %</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00" w:type="dxa"/>
            <w:vAlign w:val="bottom"/>
          </w:tcPr>
          <w:p>
            <w:pPr>
              <w:ind w:left="20"/>
              <w:spacing w:after="0" w:line="216" w:lineRule="exact"/>
              <w:rPr>
                <w:sz w:val="20"/>
                <w:szCs w:val="20"/>
                <w:color w:val="auto"/>
              </w:rPr>
            </w:pPr>
            <w:r>
              <w:rPr>
                <w:rFonts w:ascii="Arial" w:cs="Arial" w:eastAsia="Arial" w:hAnsi="Arial"/>
                <w:sz w:val="16"/>
                <w:szCs w:val="16"/>
                <w:b w:val="1"/>
                <w:bCs w:val="1"/>
                <w:color w:val="auto"/>
              </w:rPr>
              <w:t>Dealer Inventory</w:t>
            </w:r>
            <w:r>
              <w:rPr>
                <w:rFonts w:ascii="Arial" w:cs="Arial" w:eastAsia="Arial" w:hAnsi="Arial"/>
                <w:sz w:val="21"/>
                <w:szCs w:val="21"/>
                <w:b w:val="1"/>
                <w:bCs w:val="1"/>
                <w:color w:val="auto"/>
                <w:vertAlign w:val="superscript"/>
              </w:rPr>
              <w:t>(3)</w:t>
            </w: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Units</w:t>
            </w: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2,564</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3,376</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(812)</w:t>
            </w:r>
          </w:p>
        </w:tc>
        <w:tc>
          <w:tcPr>
            <w:tcW w:w="10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74" w:lineRule="exact"/>
        <w:rPr>
          <w:sz w:val="20"/>
          <w:szCs w:val="20"/>
          <w:color w:val="auto"/>
        </w:rPr>
      </w:pPr>
    </w:p>
    <w:p>
      <w:pPr>
        <w:ind w:left="232" w:hanging="232"/>
        <w:spacing w:after="0"/>
        <w:tabs>
          <w:tab w:leader="none" w:pos="232" w:val="left"/>
        </w:tabs>
        <w:numPr>
          <w:ilvl w:val="0"/>
          <w:numId w:val="13"/>
        </w:numPr>
        <w:rPr>
          <w:rFonts w:ascii="Arial" w:cs="Arial" w:eastAsia="Arial" w:hAnsi="Arial"/>
          <w:sz w:val="21"/>
          <w:szCs w:val="21"/>
          <w:color w:val="auto"/>
          <w:vertAlign w:val="superscript"/>
        </w:rPr>
      </w:pPr>
      <w:r>
        <w:rPr>
          <w:rFonts w:ascii="Arial" w:cs="Arial" w:eastAsia="Arial" w:hAnsi="Arial"/>
          <w:sz w:val="14"/>
          <w:szCs w:val="14"/>
          <w:color w:val="auto"/>
        </w:rPr>
        <w:t>Amounts are calculated based on unrounded numbers and therefore may not recalculate using the rounded numbers provided.</w:t>
      </w:r>
    </w:p>
    <w:p>
      <w:pPr>
        <w:ind w:left="252" w:right="60" w:hanging="252"/>
        <w:spacing w:after="0" w:line="209" w:lineRule="auto"/>
        <w:tabs>
          <w:tab w:leader="none" w:pos="297" w:val="left"/>
        </w:tabs>
        <w:numPr>
          <w:ilvl w:val="0"/>
          <w:numId w:val="13"/>
        </w:numPr>
        <w:rPr>
          <w:rFonts w:ascii="Arial" w:cs="Arial" w:eastAsia="Arial" w:hAnsi="Arial"/>
          <w:sz w:val="21"/>
          <w:szCs w:val="21"/>
          <w:color w:val="auto"/>
          <w:vertAlign w:val="superscript"/>
        </w:rPr>
      </w:pPr>
      <w:r>
        <w:rPr>
          <w:rFonts w:ascii="Arial" w:cs="Arial" w:eastAsia="Arial" w:hAnsi="Arial"/>
          <w:sz w:val="14"/>
          <w:szCs w:val="14"/>
          <w:color w:val="auto"/>
        </w:rPr>
        <w:t>Our backlog includes all accepted orders from dealers which generally have been requested to be shipped within the next six months. Orders in backlog generally can be cancelled or postponed at the option of the dealer at any time without penalty; therefore, backlog may not necessarily be an accurate measure of future sales.</w:t>
      </w:r>
    </w:p>
    <w:p>
      <w:pPr>
        <w:ind w:left="252" w:hanging="252"/>
        <w:spacing w:after="0" w:line="183" w:lineRule="auto"/>
        <w:tabs>
          <w:tab w:leader="none" w:pos="252" w:val="left"/>
        </w:tabs>
        <w:numPr>
          <w:ilvl w:val="0"/>
          <w:numId w:val="13"/>
        </w:numPr>
        <w:rPr>
          <w:rFonts w:ascii="Arial" w:cs="Arial" w:eastAsia="Arial" w:hAnsi="Arial"/>
          <w:sz w:val="20"/>
          <w:szCs w:val="20"/>
          <w:color w:val="auto"/>
          <w:vertAlign w:val="superscript"/>
        </w:rPr>
      </w:pPr>
      <w:r>
        <w:rPr>
          <w:rFonts w:ascii="Arial" w:cs="Arial" w:eastAsia="Arial" w:hAnsi="Arial"/>
          <w:sz w:val="14"/>
          <w:szCs w:val="14"/>
          <w:color w:val="auto"/>
        </w:rPr>
        <w:t>Due to the nature of the Marine industry, this amount includes a higher proportion of retail sold units than our other segments.</w:t>
      </w:r>
    </w:p>
    <w:p>
      <w:pPr>
        <w:spacing w:after="0" w:line="200" w:lineRule="exact"/>
        <w:rPr>
          <w:sz w:val="20"/>
          <w:szCs w:val="20"/>
          <w:color w:val="auto"/>
        </w:rPr>
      </w:pPr>
    </w:p>
    <w:p>
      <w:pPr>
        <w:spacing w:after="0" w:line="308" w:lineRule="exact"/>
        <w:rPr>
          <w:sz w:val="20"/>
          <w:szCs w:val="20"/>
          <w:color w:val="auto"/>
        </w:rPr>
      </w:pPr>
    </w:p>
    <w:p>
      <w:pPr>
        <w:jc w:val="center"/>
        <w:ind w:right="-111"/>
        <w:spacing w:after="0"/>
        <w:rPr>
          <w:sz w:val="20"/>
          <w:szCs w:val="20"/>
          <w:color w:val="auto"/>
        </w:rPr>
      </w:pPr>
      <w:r>
        <w:rPr>
          <w:rFonts w:ascii="Arial" w:cs="Arial" w:eastAsia="Arial" w:hAnsi="Arial"/>
          <w:sz w:val="16"/>
          <w:szCs w:val="16"/>
          <w:color w:val="auto"/>
        </w:rPr>
        <w:t>15</w:t>
      </w:r>
    </w:p>
    <w:p>
      <w:pPr>
        <w:sectPr>
          <w:pgSz w:w="11900" w:h="16838" w:orient="portrait"/>
          <w:cols w:equalWidth="0" w:num="1">
            <w:col w:w="11112"/>
          </w:cols>
          <w:pgMar w:left="328" w:top="1147" w:right="459" w:bottom="1440" w:gutter="0" w:footer="0" w:header="0"/>
        </w:sectPr>
      </w:pPr>
    </w:p>
    <w:bookmarkStart w:id="18" w:name="page19"/>
    <w:bookmarkEnd w:id="18"/>
    <w:p>
      <w:pPr>
        <w:ind w:left="4480"/>
        <w:spacing w:after="0"/>
        <w:rPr>
          <w:sz w:val="20"/>
          <w:szCs w:val="20"/>
          <w:color w:val="auto"/>
        </w:rPr>
      </w:pPr>
      <w:r>
        <w:rPr>
          <w:rFonts w:ascii="Arial" w:cs="Arial" w:eastAsia="Arial" w:hAnsi="Arial"/>
          <w:sz w:val="18"/>
          <w:szCs w:val="18"/>
          <w:b w:val="1"/>
          <w:bCs w:val="1"/>
          <w:color w:val="auto"/>
        </w:rPr>
        <w:t>Winnebago Industries, Inc.</w:t>
      </w:r>
    </w:p>
    <w:p>
      <w:pPr>
        <w:spacing w:after="0" w:line="27"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Non-GAAP Reconciliation</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 and subject to reclassification)</w:t>
      </w:r>
    </w:p>
    <w:p>
      <w:pPr>
        <w:spacing w:after="0" w:line="246" w:lineRule="exact"/>
        <w:rPr>
          <w:sz w:val="20"/>
          <w:szCs w:val="20"/>
          <w:color w:val="auto"/>
        </w:rPr>
      </w:pPr>
    </w:p>
    <w:p>
      <w:pPr>
        <w:ind w:right="140"/>
        <w:spacing w:after="0" w:line="309" w:lineRule="auto"/>
        <w:rPr>
          <w:sz w:val="20"/>
          <w:szCs w:val="20"/>
          <w:color w:val="auto"/>
        </w:rPr>
      </w:pPr>
      <w:r>
        <w:rPr>
          <w:rFonts w:ascii="Arial" w:cs="Arial" w:eastAsia="Arial" w:hAnsi="Arial"/>
          <w:sz w:val="16"/>
          <w:szCs w:val="16"/>
          <w:color w:val="auto"/>
        </w:rPr>
        <w:t>Non-GAAP financial measures, which are not calculated or presented in accordance with accounting principles generally accepted in the United States (“GAAP”), have been provided as information supplemental and in addition to the financial measures presented in the accompanying news release that are calculated and presented in accordance with GAAP. Such non-GAAP financial measures should not be considered superior to, as a substitute for, or as an alternative to, and should be considered in conjunction with, the GAAP financial measures presented in the news release. The non-GAAP financial measures presented may differ from similar measures used by other companies.</w:t>
      </w:r>
    </w:p>
    <w:p>
      <w:pPr>
        <w:spacing w:after="0" w:line="179"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reconciles diluted earnings per share to Adjusted diluted earnings per share:</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4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320" w:type="dxa"/>
            <w:vAlign w:val="bottom"/>
            <w:gridSpan w:val="5"/>
          </w:tcPr>
          <w:p>
            <w:pPr>
              <w:ind w:left="720"/>
              <w:spacing w:after="0"/>
              <w:rPr>
                <w:sz w:val="20"/>
                <w:szCs w:val="20"/>
                <w:color w:val="auto"/>
              </w:rPr>
            </w:pPr>
            <w:r>
              <w:rPr>
                <w:rFonts w:ascii="Arial" w:cs="Arial" w:eastAsia="Arial" w:hAnsi="Arial"/>
                <w:sz w:val="16"/>
                <w:szCs w:val="16"/>
                <w:b w:val="1"/>
                <w:bCs w:val="1"/>
                <w:color w:val="auto"/>
              </w:rPr>
              <w:t>Three Months Ended</w:t>
            </w:r>
          </w:p>
        </w:tc>
        <w:tc>
          <w:tcPr>
            <w:tcW w:w="160" w:type="dxa"/>
            <w:vAlign w:val="bottom"/>
          </w:tcPr>
          <w:p>
            <w:pPr>
              <w:spacing w:after="0"/>
              <w:rPr>
                <w:sz w:val="18"/>
                <w:szCs w:val="18"/>
                <w:color w:val="auto"/>
              </w:rPr>
            </w:pPr>
          </w:p>
        </w:tc>
        <w:tc>
          <w:tcPr>
            <w:tcW w:w="3220" w:type="dxa"/>
            <w:vAlign w:val="bottom"/>
            <w:gridSpan w:val="4"/>
          </w:tcPr>
          <w:p>
            <w:pPr>
              <w:jc w:val="right"/>
              <w:ind w:right="1159"/>
              <w:spacing w:after="0"/>
              <w:rPr>
                <w:sz w:val="20"/>
                <w:szCs w:val="20"/>
                <w:color w:val="auto"/>
              </w:rPr>
            </w:pPr>
            <w:r>
              <w:rPr>
                <w:rFonts w:ascii="Arial" w:cs="Arial" w:eastAsia="Arial" w:hAnsi="Arial"/>
                <w:sz w:val="16"/>
                <w:szCs w:val="16"/>
                <w:b w:val="1"/>
                <w:bCs w:val="1"/>
                <w:color w:val="auto"/>
              </w:rPr>
              <w:t>Year Ended</w:t>
            </w:r>
          </w:p>
        </w:tc>
        <w:tc>
          <w:tcPr>
            <w:tcW w:w="0" w:type="dxa"/>
            <w:vAlign w:val="bottom"/>
          </w:tcPr>
          <w:p>
            <w:pPr>
              <w:spacing w:after="0"/>
              <w:rPr>
                <w:sz w:val="1"/>
                <w:szCs w:val="1"/>
                <w:color w:val="auto"/>
              </w:rPr>
            </w:pPr>
          </w:p>
        </w:tc>
      </w:tr>
      <w:tr>
        <w:trPr>
          <w:trHeight w:val="209"/>
        </w:trPr>
        <w:tc>
          <w:tcPr>
            <w:tcW w:w="43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580" w:type="dxa"/>
            <w:vAlign w:val="bottom"/>
            <w:tcBorders>
              <w:top w:val="single" w:sz="8" w:color="auto"/>
            </w:tcBorders>
            <w:gridSpan w:val="2"/>
          </w:tcPr>
          <w:p>
            <w:pPr>
              <w:ind w:left="40"/>
              <w:spacing w:after="0"/>
              <w:rPr>
                <w:sz w:val="20"/>
                <w:szCs w:val="20"/>
                <w:color w:val="auto"/>
              </w:rPr>
            </w:pPr>
            <w:r>
              <w:rPr>
                <w:rFonts w:ascii="Arial" w:cs="Arial" w:eastAsia="Arial" w:hAnsi="Arial"/>
                <w:sz w:val="16"/>
                <w:szCs w:val="16"/>
                <w:b w:val="1"/>
                <w:bCs w:val="1"/>
                <w:color w:val="auto"/>
              </w:rPr>
              <w:t>August 31, 2024</w:t>
            </w:r>
          </w:p>
        </w:tc>
        <w:tc>
          <w:tcPr>
            <w:tcW w:w="16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August 26, 2023</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580" w:type="dxa"/>
            <w:vAlign w:val="bottom"/>
            <w:tcBorders>
              <w:top w:val="single" w:sz="8" w:color="auto"/>
            </w:tcBorders>
            <w:gridSpan w:val="2"/>
          </w:tcPr>
          <w:p>
            <w:pPr>
              <w:ind w:left="40"/>
              <w:spacing w:after="0"/>
              <w:rPr>
                <w:sz w:val="20"/>
                <w:szCs w:val="20"/>
                <w:color w:val="auto"/>
              </w:rPr>
            </w:pPr>
            <w:r>
              <w:rPr>
                <w:rFonts w:ascii="Arial" w:cs="Arial" w:eastAsia="Arial" w:hAnsi="Arial"/>
                <w:sz w:val="16"/>
                <w:szCs w:val="16"/>
                <w:b w:val="1"/>
                <w:bCs w:val="1"/>
                <w:color w:val="auto"/>
              </w:rPr>
              <w:t>August 31, 2024</w:t>
            </w:r>
          </w:p>
        </w:tc>
        <w:tc>
          <w:tcPr>
            <w:tcW w:w="16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August 26, 2023</w:t>
            </w:r>
          </w:p>
        </w:tc>
        <w:tc>
          <w:tcPr>
            <w:tcW w:w="0" w:type="dxa"/>
            <w:vAlign w:val="bottom"/>
          </w:tcPr>
          <w:p>
            <w:pPr>
              <w:spacing w:after="0"/>
              <w:rPr>
                <w:sz w:val="1"/>
                <w:szCs w:val="1"/>
                <w:color w:val="auto"/>
              </w:rPr>
            </w:pPr>
          </w:p>
        </w:tc>
      </w:tr>
      <w:tr>
        <w:trPr>
          <w:trHeight w:val="209"/>
        </w:trPr>
        <w:tc>
          <w:tcPr>
            <w:tcW w:w="43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Diluted (loss) earnings per share</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(1.01)</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1.28</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0.44</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6.23</w:t>
            </w:r>
          </w:p>
        </w:tc>
        <w:tc>
          <w:tcPr>
            <w:tcW w:w="0" w:type="dxa"/>
            <w:vAlign w:val="bottom"/>
          </w:tcPr>
          <w:p>
            <w:pPr>
              <w:spacing w:after="0"/>
              <w:rPr>
                <w:sz w:val="1"/>
                <w:szCs w:val="1"/>
                <w:color w:val="auto"/>
              </w:rPr>
            </w:pPr>
          </w:p>
        </w:tc>
      </w:tr>
      <w:tr>
        <w:trPr>
          <w:trHeight w:val="216"/>
        </w:trPr>
        <w:tc>
          <w:tcPr>
            <w:tcW w:w="4380" w:type="dxa"/>
            <w:vAlign w:val="bottom"/>
          </w:tcPr>
          <w:p>
            <w:pPr>
              <w:ind w:left="20"/>
              <w:spacing w:after="0" w:line="216" w:lineRule="exact"/>
              <w:rPr>
                <w:sz w:val="20"/>
                <w:szCs w:val="20"/>
                <w:color w:val="auto"/>
              </w:rPr>
            </w:pPr>
            <w:r>
              <w:rPr>
                <w:rFonts w:ascii="Arial" w:cs="Arial" w:eastAsia="Arial" w:hAnsi="Arial"/>
                <w:sz w:val="16"/>
                <w:szCs w:val="16"/>
                <w:color w:val="auto"/>
              </w:rPr>
              <w:t>Acquisition-related costs</w:t>
            </w:r>
            <w:r>
              <w:rPr>
                <w:rFonts w:ascii="Arial" w:cs="Arial" w:eastAsia="Arial" w:hAnsi="Arial"/>
                <w:sz w:val="21"/>
                <w:szCs w:val="21"/>
                <w:color w:val="auto"/>
                <w:vertAlign w:val="superscript"/>
              </w:rPr>
              <w:t>(1)</w:t>
            </w:r>
          </w:p>
        </w:tc>
        <w:tc>
          <w:tcPr>
            <w:tcW w:w="160" w:type="dxa"/>
            <w:vAlign w:val="bottom"/>
          </w:tcPr>
          <w:p>
            <w:pPr>
              <w:spacing w:after="0"/>
              <w:rPr>
                <w:sz w:val="18"/>
                <w:szCs w:val="18"/>
                <w:color w:val="auto"/>
              </w:rPr>
            </w:pPr>
          </w:p>
        </w:tc>
        <w:tc>
          <w:tcPr>
            <w:tcW w:w="15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0.06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0.05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0.21</w:t>
            </w:r>
          </w:p>
        </w:tc>
        <w:tc>
          <w:tcPr>
            <w:tcW w:w="0" w:type="dxa"/>
            <w:vAlign w:val="bottom"/>
          </w:tcPr>
          <w:p>
            <w:pPr>
              <w:spacing w:after="0"/>
              <w:rPr>
                <w:sz w:val="1"/>
                <w:szCs w:val="1"/>
                <w:color w:val="auto"/>
              </w:rPr>
            </w:pPr>
          </w:p>
        </w:tc>
      </w:tr>
      <w:tr>
        <w:trPr>
          <w:trHeight w:val="216"/>
        </w:trPr>
        <w:tc>
          <w:tcPr>
            <w:tcW w:w="4380" w:type="dxa"/>
            <w:vAlign w:val="bottom"/>
            <w:shd w:val="clear" w:color="auto" w:fill="CCEEFF"/>
          </w:tcPr>
          <w:p>
            <w:pPr>
              <w:ind w:left="20"/>
              <w:spacing w:after="0" w:line="216" w:lineRule="exact"/>
              <w:rPr>
                <w:sz w:val="20"/>
                <w:szCs w:val="20"/>
                <w:color w:val="auto"/>
              </w:rPr>
            </w:pPr>
            <w:r>
              <w:rPr>
                <w:rFonts w:ascii="Arial" w:cs="Arial" w:eastAsia="Arial" w:hAnsi="Arial"/>
                <w:sz w:val="16"/>
                <w:szCs w:val="16"/>
                <w:color w:val="auto"/>
              </w:rPr>
              <w:t>Litigation reserves</w:t>
            </w:r>
            <w:r>
              <w:rPr>
                <w:rFonts w:ascii="Arial" w:cs="Arial" w:eastAsia="Arial" w:hAnsi="Arial"/>
                <w:sz w:val="21"/>
                <w:szCs w:val="21"/>
                <w:color w:val="auto"/>
                <w:vertAlign w:val="superscript"/>
              </w:rPr>
              <w:t>(1)</w:t>
            </w:r>
          </w:p>
        </w:tc>
        <w:tc>
          <w:tcPr>
            <w:tcW w:w="16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(0.01)</w:t>
            </w:r>
          </w:p>
        </w:tc>
        <w:tc>
          <w:tcPr>
            <w:tcW w:w="0" w:type="dxa"/>
            <w:vAlign w:val="bottom"/>
          </w:tcPr>
          <w:p>
            <w:pPr>
              <w:spacing w:after="0"/>
              <w:rPr>
                <w:sz w:val="1"/>
                <w:szCs w:val="1"/>
                <w:color w:val="auto"/>
              </w:rPr>
            </w:pPr>
          </w:p>
        </w:tc>
      </w:tr>
      <w:tr>
        <w:trPr>
          <w:trHeight w:val="216"/>
        </w:trPr>
        <w:tc>
          <w:tcPr>
            <w:tcW w:w="4380" w:type="dxa"/>
            <w:vAlign w:val="bottom"/>
          </w:tcPr>
          <w:p>
            <w:pPr>
              <w:ind w:left="20"/>
              <w:spacing w:after="0" w:line="216" w:lineRule="exact"/>
              <w:rPr>
                <w:sz w:val="20"/>
                <w:szCs w:val="20"/>
                <w:color w:val="auto"/>
              </w:rPr>
            </w:pPr>
            <w:r>
              <w:rPr>
                <w:rFonts w:ascii="Arial" w:cs="Arial" w:eastAsia="Arial" w:hAnsi="Arial"/>
                <w:sz w:val="16"/>
                <w:szCs w:val="16"/>
                <w:color w:val="auto"/>
              </w:rPr>
              <w:t>Amortization</w:t>
            </w:r>
            <w:r>
              <w:rPr>
                <w:rFonts w:ascii="Arial" w:cs="Arial" w:eastAsia="Arial" w:hAnsi="Arial"/>
                <w:sz w:val="21"/>
                <w:szCs w:val="21"/>
                <w:color w:val="auto"/>
                <w:vertAlign w:val="superscript"/>
              </w:rPr>
              <w:t>(1)</w:t>
            </w:r>
          </w:p>
        </w:tc>
        <w:tc>
          <w:tcPr>
            <w:tcW w:w="1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0.21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0.16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0.78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0.50</w:t>
            </w:r>
          </w:p>
        </w:tc>
        <w:tc>
          <w:tcPr>
            <w:tcW w:w="0" w:type="dxa"/>
            <w:vAlign w:val="bottom"/>
          </w:tcPr>
          <w:p>
            <w:pPr>
              <w:spacing w:after="0"/>
              <w:rPr>
                <w:sz w:val="1"/>
                <w:szCs w:val="1"/>
                <w:color w:val="auto"/>
              </w:rPr>
            </w:pPr>
          </w:p>
        </w:tc>
      </w:tr>
      <w:tr>
        <w:trPr>
          <w:trHeight w:val="162"/>
        </w:trPr>
        <w:tc>
          <w:tcPr>
            <w:tcW w:w="4380" w:type="dxa"/>
            <w:vAlign w:val="bottom"/>
            <w:shd w:val="clear" w:color="auto" w:fill="CCEEFF"/>
          </w:tcPr>
          <w:p>
            <w:pPr>
              <w:ind w:left="20"/>
              <w:spacing w:after="0" w:line="162" w:lineRule="exact"/>
              <w:rPr>
                <w:sz w:val="20"/>
                <w:szCs w:val="20"/>
                <w:color w:val="auto"/>
              </w:rPr>
            </w:pPr>
            <w:r>
              <w:rPr>
                <w:rFonts w:ascii="Arial" w:cs="Arial" w:eastAsia="Arial" w:hAnsi="Arial"/>
                <w:sz w:val="16"/>
                <w:szCs w:val="16"/>
                <w:color w:val="auto"/>
              </w:rPr>
              <w:t>Change in fair value of note receivable and other</w:t>
            </w:r>
          </w:p>
        </w:tc>
        <w:tc>
          <w:tcPr>
            <w:tcW w:w="160" w:type="dxa"/>
            <w:vAlign w:val="bottom"/>
            <w:shd w:val="clear" w:color="auto" w:fill="CCEEFF"/>
          </w:tcPr>
          <w:p>
            <w:pPr>
              <w:spacing w:after="0"/>
              <w:rPr>
                <w:sz w:val="14"/>
                <w:szCs w:val="14"/>
                <w:color w:val="auto"/>
              </w:rPr>
            </w:pPr>
          </w:p>
        </w:tc>
        <w:tc>
          <w:tcPr>
            <w:tcW w:w="14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0.10</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5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4"/>
                <w:szCs w:val="14"/>
                <w:color w:val="auto"/>
              </w:rPr>
            </w:pPr>
          </w:p>
        </w:tc>
        <w:tc>
          <w:tcPr>
            <w:tcW w:w="14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0.20</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4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4380" w:type="dxa"/>
            <w:vAlign w:val="bottom"/>
            <w:shd w:val="clear" w:color="auto" w:fill="CCEEFF"/>
          </w:tcPr>
          <w:p>
            <w:pPr>
              <w:ind w:left="20"/>
              <w:spacing w:after="0" w:line="216" w:lineRule="exact"/>
              <w:rPr>
                <w:sz w:val="20"/>
                <w:szCs w:val="20"/>
                <w:color w:val="auto"/>
              </w:rPr>
            </w:pPr>
            <w:r>
              <w:rPr>
                <w:rFonts w:ascii="Arial" w:cs="Arial" w:eastAsia="Arial" w:hAnsi="Arial"/>
                <w:sz w:val="16"/>
                <w:szCs w:val="16"/>
                <w:color w:val="auto"/>
              </w:rPr>
              <w:t>investments</w:t>
            </w:r>
            <w:r>
              <w:rPr>
                <w:rFonts w:ascii="Arial" w:cs="Arial" w:eastAsia="Arial" w:hAnsi="Arial"/>
                <w:sz w:val="21"/>
                <w:szCs w:val="21"/>
                <w:color w:val="auto"/>
                <w:vertAlign w:val="superscript"/>
              </w:rPr>
              <w:t>(1)</w:t>
            </w:r>
          </w:p>
        </w:tc>
        <w:tc>
          <w:tcPr>
            <w:tcW w:w="160" w:type="dxa"/>
            <w:vAlign w:val="bottom"/>
            <w:shd w:val="clear" w:color="auto" w:fill="CCEEFF"/>
          </w:tcPr>
          <w:p>
            <w:pPr>
              <w:spacing w:after="0"/>
              <w:rPr>
                <w:sz w:val="18"/>
                <w:szCs w:val="18"/>
                <w:color w:val="auto"/>
              </w:rPr>
            </w:pPr>
          </w:p>
        </w:tc>
        <w:tc>
          <w:tcPr>
            <w:tcW w:w="14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8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80" w:type="dxa"/>
            <w:vAlign w:val="bottom"/>
          </w:tcPr>
          <w:p>
            <w:pPr>
              <w:ind w:left="20"/>
              <w:spacing w:after="0" w:line="216" w:lineRule="exact"/>
              <w:rPr>
                <w:sz w:val="20"/>
                <w:szCs w:val="20"/>
                <w:color w:val="auto"/>
              </w:rPr>
            </w:pPr>
            <w:r>
              <w:rPr>
                <w:rFonts w:ascii="Arial" w:cs="Arial" w:eastAsia="Arial" w:hAnsi="Arial"/>
                <w:sz w:val="16"/>
                <w:szCs w:val="16"/>
                <w:color w:val="auto"/>
              </w:rPr>
              <w:t>Contingent consideration fair value adjustment</w:t>
            </w:r>
            <w:r>
              <w:rPr>
                <w:rFonts w:ascii="Arial" w:cs="Arial" w:eastAsia="Arial" w:hAnsi="Arial"/>
                <w:sz w:val="21"/>
                <w:szCs w:val="21"/>
                <w:color w:val="auto"/>
                <w:vertAlign w:val="superscript"/>
              </w:rPr>
              <w:t>(1)</w:t>
            </w:r>
          </w:p>
        </w:tc>
        <w:tc>
          <w:tcPr>
            <w:tcW w:w="160" w:type="dxa"/>
            <w:vAlign w:val="bottom"/>
          </w:tcPr>
          <w:p>
            <w:pPr>
              <w:spacing w:after="0"/>
              <w:rPr>
                <w:sz w:val="18"/>
                <w:szCs w:val="18"/>
                <w:color w:val="auto"/>
              </w:rPr>
            </w:pPr>
          </w:p>
        </w:tc>
        <w:tc>
          <w:tcPr>
            <w:tcW w:w="15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(0.04)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0.04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0.02</w:t>
            </w:r>
          </w:p>
        </w:tc>
        <w:tc>
          <w:tcPr>
            <w:tcW w:w="0" w:type="dxa"/>
            <w:vAlign w:val="bottom"/>
          </w:tcPr>
          <w:p>
            <w:pPr>
              <w:spacing w:after="0"/>
              <w:rPr>
                <w:sz w:val="1"/>
                <w:szCs w:val="1"/>
                <w:color w:val="auto"/>
              </w:rPr>
            </w:pPr>
          </w:p>
        </w:tc>
      </w:tr>
      <w:tr>
        <w:trPr>
          <w:trHeight w:val="216"/>
        </w:trPr>
        <w:tc>
          <w:tcPr>
            <w:tcW w:w="4380" w:type="dxa"/>
            <w:vAlign w:val="bottom"/>
            <w:shd w:val="clear" w:color="auto" w:fill="CCEEFF"/>
          </w:tcPr>
          <w:p>
            <w:pPr>
              <w:ind w:left="20"/>
              <w:spacing w:after="0" w:line="216" w:lineRule="exact"/>
              <w:rPr>
                <w:sz w:val="20"/>
                <w:szCs w:val="20"/>
                <w:color w:val="auto"/>
              </w:rPr>
            </w:pPr>
            <w:r>
              <w:rPr>
                <w:rFonts w:ascii="Arial" w:cs="Arial" w:eastAsia="Arial" w:hAnsi="Arial"/>
                <w:sz w:val="16"/>
                <w:szCs w:val="16"/>
                <w:color w:val="auto"/>
              </w:rPr>
              <w:t>Tax impact of adjustments</w:t>
            </w:r>
            <w:r>
              <w:rPr>
                <w:rFonts w:ascii="Arial" w:cs="Arial" w:eastAsia="Arial" w:hAnsi="Arial"/>
                <w:sz w:val="21"/>
                <w:szCs w:val="21"/>
                <w:color w:val="auto"/>
                <w:vertAlign w:val="superscript"/>
              </w:rPr>
              <w:t>(2)</w:t>
            </w:r>
          </w:p>
        </w:tc>
        <w:tc>
          <w:tcPr>
            <w:tcW w:w="16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(0.25)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(0.17)</w:t>
            </w:r>
          </w:p>
        </w:tc>
        <w:tc>
          <w:tcPr>
            <w:tcW w:w="0" w:type="dxa"/>
            <w:vAlign w:val="bottom"/>
          </w:tcPr>
          <w:p>
            <w:pPr>
              <w:spacing w:after="0"/>
              <w:rPr>
                <w:sz w:val="1"/>
                <w:szCs w:val="1"/>
                <w:color w:val="auto"/>
              </w:rPr>
            </w:pPr>
          </w:p>
        </w:tc>
      </w:tr>
      <w:tr>
        <w:trPr>
          <w:trHeight w:val="216"/>
        </w:trPr>
        <w:tc>
          <w:tcPr>
            <w:tcW w:w="4380" w:type="dxa"/>
            <w:vAlign w:val="bottom"/>
          </w:tcPr>
          <w:p>
            <w:pPr>
              <w:ind w:left="20"/>
              <w:spacing w:after="0" w:line="216" w:lineRule="exact"/>
              <w:rPr>
                <w:sz w:val="20"/>
                <w:szCs w:val="20"/>
                <w:color w:val="auto"/>
              </w:rPr>
            </w:pPr>
            <w:r>
              <w:rPr>
                <w:rFonts w:ascii="Arial" w:cs="Arial" w:eastAsia="Arial" w:hAnsi="Arial"/>
                <w:sz w:val="16"/>
                <w:szCs w:val="16"/>
                <w:color w:val="auto"/>
              </w:rPr>
              <w:t>Goodwill impairment</w:t>
            </w:r>
            <w:r>
              <w:rPr>
                <w:rFonts w:ascii="Arial" w:cs="Arial" w:eastAsia="Arial" w:hAnsi="Arial"/>
                <w:sz w:val="21"/>
                <w:szCs w:val="21"/>
                <w:color w:val="auto"/>
                <w:vertAlign w:val="superscript"/>
              </w:rPr>
              <w:t>(3)</w:t>
            </w:r>
          </w:p>
        </w:tc>
        <w:tc>
          <w:tcPr>
            <w:tcW w:w="1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1.05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1.03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4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Loss on note repurchase</w:t>
            </w:r>
          </w:p>
        </w:tc>
        <w:tc>
          <w:tcPr>
            <w:tcW w:w="16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0"/>
        </w:trPr>
        <w:tc>
          <w:tcPr>
            <w:tcW w:w="4380" w:type="dxa"/>
            <w:vAlign w:val="bottom"/>
          </w:tcPr>
          <w:p>
            <w:pPr>
              <w:ind w:left="140"/>
              <w:spacing w:after="0" w:line="210" w:lineRule="exact"/>
              <w:rPr>
                <w:sz w:val="20"/>
                <w:szCs w:val="20"/>
                <w:color w:val="auto"/>
              </w:rPr>
            </w:pPr>
            <w:r>
              <w:rPr>
                <w:rFonts w:ascii="Arial" w:cs="Arial" w:eastAsia="Arial" w:hAnsi="Arial"/>
                <w:sz w:val="16"/>
                <w:szCs w:val="16"/>
                <w:color w:val="auto"/>
              </w:rPr>
              <w:t>Adjusted diluted earnings per share</w:t>
            </w:r>
            <w:r>
              <w:rPr>
                <w:rFonts w:ascii="Arial" w:cs="Arial" w:eastAsia="Arial" w:hAnsi="Arial"/>
                <w:sz w:val="21"/>
                <w:szCs w:val="21"/>
                <w:color w:val="auto"/>
                <w:vertAlign w:val="superscript"/>
              </w:rPr>
              <w:t>(4,5)</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0.28</w:t>
            </w: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1.41</w:t>
            </w: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3.40</w:t>
            </w: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6.77</w:t>
            </w:r>
          </w:p>
        </w:tc>
        <w:tc>
          <w:tcPr>
            <w:tcW w:w="0" w:type="dxa"/>
            <w:vAlign w:val="bottom"/>
          </w:tcPr>
          <w:p>
            <w:pPr>
              <w:spacing w:after="0"/>
              <w:rPr>
                <w:sz w:val="1"/>
                <w:szCs w:val="1"/>
                <w:color w:val="auto"/>
              </w:rPr>
            </w:pPr>
          </w:p>
        </w:tc>
      </w:tr>
      <w:tr>
        <w:trPr>
          <w:trHeight w:val="21"/>
        </w:trPr>
        <w:tc>
          <w:tcPr>
            <w:tcW w:w="43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2" w:lineRule="exact"/>
        <w:rPr>
          <w:sz w:val="20"/>
          <w:szCs w:val="20"/>
          <w:color w:val="auto"/>
        </w:rPr>
      </w:pPr>
    </w:p>
    <w:p>
      <w:pPr>
        <w:ind w:left="220" w:hanging="212"/>
        <w:spacing w:after="0"/>
        <w:tabs>
          <w:tab w:leader="none" w:pos="220" w:val="left"/>
        </w:tabs>
        <w:numPr>
          <w:ilvl w:val="0"/>
          <w:numId w:val="14"/>
        </w:numPr>
        <w:rPr>
          <w:rFonts w:ascii="Arial" w:cs="Arial" w:eastAsia="Arial" w:hAnsi="Arial"/>
          <w:sz w:val="9"/>
          <w:szCs w:val="9"/>
          <w:color w:val="auto"/>
        </w:rPr>
      </w:pPr>
      <w:r>
        <w:rPr>
          <w:rFonts w:ascii="Arial" w:cs="Arial" w:eastAsia="Arial" w:hAnsi="Arial"/>
          <w:sz w:val="14"/>
          <w:szCs w:val="14"/>
          <w:color w:val="auto"/>
        </w:rPr>
        <w:t>Represents a pre-tax adjustment.</w:t>
      </w:r>
    </w:p>
    <w:p>
      <w:pPr>
        <w:spacing w:after="0" w:line="28" w:lineRule="exact"/>
        <w:rPr>
          <w:rFonts w:ascii="Arial" w:cs="Arial" w:eastAsia="Arial" w:hAnsi="Arial"/>
          <w:sz w:val="9"/>
          <w:szCs w:val="9"/>
          <w:color w:val="auto"/>
        </w:rPr>
      </w:pPr>
    </w:p>
    <w:p>
      <w:pPr>
        <w:ind w:left="220" w:hanging="212"/>
        <w:spacing w:after="0"/>
        <w:tabs>
          <w:tab w:leader="none" w:pos="220" w:val="left"/>
        </w:tabs>
        <w:numPr>
          <w:ilvl w:val="0"/>
          <w:numId w:val="14"/>
        </w:numPr>
        <w:rPr>
          <w:rFonts w:ascii="Arial" w:cs="Arial" w:eastAsia="Arial" w:hAnsi="Arial"/>
          <w:sz w:val="9"/>
          <w:szCs w:val="9"/>
          <w:color w:val="auto"/>
        </w:rPr>
      </w:pPr>
      <w:r>
        <w:rPr>
          <w:rFonts w:ascii="Arial" w:cs="Arial" w:eastAsia="Arial" w:hAnsi="Arial"/>
          <w:sz w:val="14"/>
          <w:szCs w:val="14"/>
          <w:color w:val="auto"/>
        </w:rPr>
        <w:t>Income tax charge calculated using the statutory tax rate for the U.S. of 23.0% and 24.1% for Fiscal 2024 and Fiscal 2023, respectively.</w:t>
      </w:r>
    </w:p>
    <w:p>
      <w:pPr>
        <w:spacing w:after="0" w:line="14" w:lineRule="exact"/>
        <w:rPr>
          <w:rFonts w:ascii="Arial" w:cs="Arial" w:eastAsia="Arial" w:hAnsi="Arial"/>
          <w:sz w:val="9"/>
          <w:szCs w:val="9"/>
          <w:color w:val="auto"/>
        </w:rPr>
      </w:pPr>
    </w:p>
    <w:p>
      <w:pPr>
        <w:ind w:left="220" w:hanging="212"/>
        <w:spacing w:after="0" w:line="192" w:lineRule="auto"/>
        <w:tabs>
          <w:tab w:leader="none" w:pos="220" w:val="left"/>
        </w:tabs>
        <w:numPr>
          <w:ilvl w:val="0"/>
          <w:numId w:val="14"/>
        </w:numPr>
        <w:rPr>
          <w:rFonts w:ascii="Arial" w:cs="Arial" w:eastAsia="Arial" w:hAnsi="Arial"/>
          <w:sz w:val="19"/>
          <w:szCs w:val="19"/>
          <w:color w:val="auto"/>
          <w:vertAlign w:val="superscript"/>
        </w:rPr>
      </w:pPr>
      <w:r>
        <w:rPr>
          <w:rFonts w:ascii="Arial" w:cs="Arial" w:eastAsia="Arial" w:hAnsi="Arial"/>
          <w:sz w:val="14"/>
          <w:szCs w:val="14"/>
          <w:color w:val="auto"/>
        </w:rPr>
        <w:t>Represents a non-cash impairment charge associated with the Chris-Craft reporting unit.</w:t>
      </w:r>
    </w:p>
    <w:p>
      <w:pPr>
        <w:jc w:val="both"/>
        <w:ind w:left="260" w:right="140" w:hanging="252"/>
        <w:spacing w:after="0" w:line="213" w:lineRule="auto"/>
        <w:tabs>
          <w:tab w:leader="none" w:pos="235" w:val="left"/>
        </w:tabs>
        <w:numPr>
          <w:ilvl w:val="0"/>
          <w:numId w:val="14"/>
        </w:numPr>
        <w:rPr>
          <w:rFonts w:ascii="Arial" w:cs="Arial" w:eastAsia="Arial" w:hAnsi="Arial"/>
          <w:sz w:val="19"/>
          <w:szCs w:val="19"/>
          <w:color w:val="auto"/>
          <w:vertAlign w:val="superscript"/>
        </w:rPr>
      </w:pPr>
      <w:r>
        <w:rPr>
          <w:rFonts w:ascii="Arial" w:cs="Arial" w:eastAsia="Arial" w:hAnsi="Arial"/>
          <w:sz w:val="14"/>
          <w:szCs w:val="14"/>
          <w:color w:val="auto"/>
        </w:rPr>
        <w:t>Beginning in the fourth quarter of Fiscal 2024, the Company updated its definition of Adjusted EPS to no longer adjust for the impact of a call spread overlay that was put in place upon the issuance of convertible notes, and which economically offsets dilution risk. Prior period amounts have been revised to conform to current year presentation.</w:t>
      </w:r>
    </w:p>
    <w:p>
      <w:pPr>
        <w:ind w:left="220" w:hanging="212"/>
        <w:spacing w:after="0"/>
        <w:tabs>
          <w:tab w:leader="none" w:pos="220" w:val="left"/>
        </w:tabs>
        <w:numPr>
          <w:ilvl w:val="0"/>
          <w:numId w:val="14"/>
        </w:numPr>
        <w:rPr>
          <w:rFonts w:ascii="Arial" w:cs="Arial" w:eastAsia="Arial" w:hAnsi="Arial"/>
          <w:sz w:val="9"/>
          <w:szCs w:val="9"/>
          <w:color w:val="auto"/>
        </w:rPr>
      </w:pPr>
      <w:r>
        <w:rPr>
          <w:rFonts w:ascii="Arial" w:cs="Arial" w:eastAsia="Arial" w:hAnsi="Arial"/>
          <w:sz w:val="14"/>
          <w:szCs w:val="14"/>
          <w:color w:val="auto"/>
        </w:rPr>
        <w:t>Per share numbers may not foot due to rounding.</w:t>
      </w:r>
    </w:p>
    <w:p>
      <w:pPr>
        <w:spacing w:after="0" w:line="239"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reconciles net income to consolidated EBITDA and Adjusted EBITDA:</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4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320" w:type="dxa"/>
            <w:vAlign w:val="bottom"/>
            <w:gridSpan w:val="5"/>
          </w:tcPr>
          <w:p>
            <w:pPr>
              <w:ind w:left="720"/>
              <w:spacing w:after="0"/>
              <w:rPr>
                <w:sz w:val="20"/>
                <w:szCs w:val="20"/>
                <w:color w:val="auto"/>
              </w:rPr>
            </w:pPr>
            <w:r>
              <w:rPr>
                <w:rFonts w:ascii="Arial" w:cs="Arial" w:eastAsia="Arial" w:hAnsi="Arial"/>
                <w:sz w:val="16"/>
                <w:szCs w:val="16"/>
                <w:b w:val="1"/>
                <w:bCs w:val="1"/>
                <w:color w:val="auto"/>
              </w:rPr>
              <w:t>Three Months Ended</w:t>
            </w:r>
          </w:p>
        </w:tc>
        <w:tc>
          <w:tcPr>
            <w:tcW w:w="160" w:type="dxa"/>
            <w:vAlign w:val="bottom"/>
          </w:tcPr>
          <w:p>
            <w:pPr>
              <w:spacing w:after="0"/>
              <w:rPr>
                <w:sz w:val="18"/>
                <w:szCs w:val="18"/>
                <w:color w:val="auto"/>
              </w:rPr>
            </w:pPr>
          </w:p>
        </w:tc>
        <w:tc>
          <w:tcPr>
            <w:tcW w:w="3220" w:type="dxa"/>
            <w:vAlign w:val="bottom"/>
            <w:gridSpan w:val="4"/>
          </w:tcPr>
          <w:p>
            <w:pPr>
              <w:jc w:val="right"/>
              <w:ind w:right="1159"/>
              <w:spacing w:after="0"/>
              <w:rPr>
                <w:sz w:val="20"/>
                <w:szCs w:val="20"/>
                <w:color w:val="auto"/>
              </w:rPr>
            </w:pPr>
            <w:r>
              <w:rPr>
                <w:rFonts w:ascii="Arial" w:cs="Arial" w:eastAsia="Arial" w:hAnsi="Arial"/>
                <w:sz w:val="16"/>
                <w:szCs w:val="16"/>
                <w:b w:val="1"/>
                <w:bCs w:val="1"/>
                <w:color w:val="auto"/>
              </w:rPr>
              <w:t>Year Ended</w:t>
            </w:r>
          </w:p>
        </w:tc>
        <w:tc>
          <w:tcPr>
            <w:tcW w:w="0" w:type="dxa"/>
            <w:vAlign w:val="bottom"/>
          </w:tcPr>
          <w:p>
            <w:pPr>
              <w:spacing w:after="0"/>
              <w:rPr>
                <w:sz w:val="1"/>
                <w:szCs w:val="1"/>
                <w:color w:val="auto"/>
              </w:rPr>
            </w:pPr>
          </w:p>
        </w:tc>
      </w:tr>
      <w:tr>
        <w:trPr>
          <w:trHeight w:val="210"/>
        </w:trPr>
        <w:tc>
          <w:tcPr>
            <w:tcW w:w="4380" w:type="dxa"/>
            <w:vAlign w:val="bottom"/>
          </w:tcPr>
          <w:p>
            <w:pPr>
              <w:ind w:left="20"/>
              <w:spacing w:after="0"/>
              <w:rPr>
                <w:sz w:val="20"/>
                <w:szCs w:val="20"/>
                <w:color w:val="auto"/>
              </w:rPr>
            </w:pPr>
            <w:r>
              <w:rPr>
                <w:rFonts w:ascii="Arial" w:cs="Arial" w:eastAsia="Arial" w:hAnsi="Arial"/>
                <w:sz w:val="16"/>
                <w:szCs w:val="16"/>
                <w:color w:val="auto"/>
              </w:rPr>
              <w:t>(in millions)</w:t>
            </w:r>
          </w:p>
        </w:tc>
        <w:tc>
          <w:tcPr>
            <w:tcW w:w="160" w:type="dxa"/>
            <w:vAlign w:val="bottom"/>
            <w:tcBorders>
              <w:top w:val="single" w:sz="8" w:color="auto"/>
            </w:tcBorders>
          </w:tcPr>
          <w:p>
            <w:pPr>
              <w:spacing w:after="0"/>
              <w:rPr>
                <w:sz w:val="18"/>
                <w:szCs w:val="18"/>
                <w:color w:val="auto"/>
              </w:rPr>
            </w:pPr>
          </w:p>
        </w:tc>
        <w:tc>
          <w:tcPr>
            <w:tcW w:w="1580" w:type="dxa"/>
            <w:vAlign w:val="bottom"/>
            <w:tcBorders>
              <w:top w:val="single" w:sz="8" w:color="auto"/>
            </w:tcBorders>
            <w:gridSpan w:val="2"/>
          </w:tcPr>
          <w:p>
            <w:pPr>
              <w:ind w:left="40"/>
              <w:spacing w:after="0"/>
              <w:rPr>
                <w:sz w:val="20"/>
                <w:szCs w:val="20"/>
                <w:color w:val="auto"/>
              </w:rPr>
            </w:pPr>
            <w:r>
              <w:rPr>
                <w:rFonts w:ascii="Arial" w:cs="Arial" w:eastAsia="Arial" w:hAnsi="Arial"/>
                <w:sz w:val="16"/>
                <w:szCs w:val="16"/>
                <w:b w:val="1"/>
                <w:bCs w:val="1"/>
                <w:color w:val="auto"/>
              </w:rPr>
              <w:t>August 31, 2024</w:t>
            </w:r>
          </w:p>
        </w:tc>
        <w:tc>
          <w:tcPr>
            <w:tcW w:w="16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August 26, 2023</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580" w:type="dxa"/>
            <w:vAlign w:val="bottom"/>
            <w:tcBorders>
              <w:top w:val="single" w:sz="8" w:color="auto"/>
            </w:tcBorders>
            <w:gridSpan w:val="2"/>
          </w:tcPr>
          <w:p>
            <w:pPr>
              <w:ind w:left="40"/>
              <w:spacing w:after="0"/>
              <w:rPr>
                <w:sz w:val="20"/>
                <w:szCs w:val="20"/>
                <w:color w:val="auto"/>
              </w:rPr>
            </w:pPr>
            <w:r>
              <w:rPr>
                <w:rFonts w:ascii="Arial" w:cs="Arial" w:eastAsia="Arial" w:hAnsi="Arial"/>
                <w:sz w:val="16"/>
                <w:szCs w:val="16"/>
                <w:b w:val="1"/>
                <w:bCs w:val="1"/>
                <w:color w:val="auto"/>
              </w:rPr>
              <w:t>August 31, 2024</w:t>
            </w:r>
          </w:p>
        </w:tc>
        <w:tc>
          <w:tcPr>
            <w:tcW w:w="16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August 26, 2023</w:t>
            </w:r>
          </w:p>
        </w:tc>
        <w:tc>
          <w:tcPr>
            <w:tcW w:w="0" w:type="dxa"/>
            <w:vAlign w:val="bottom"/>
          </w:tcPr>
          <w:p>
            <w:pPr>
              <w:spacing w:after="0"/>
              <w:rPr>
                <w:sz w:val="1"/>
                <w:szCs w:val="1"/>
                <w:color w:val="auto"/>
              </w:rPr>
            </w:pPr>
          </w:p>
        </w:tc>
      </w:tr>
      <w:tr>
        <w:trPr>
          <w:trHeight w:val="209"/>
        </w:trPr>
        <w:tc>
          <w:tcPr>
            <w:tcW w:w="43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Net (loss) income</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(29.1)</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43.8</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13.0</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215.9</w:t>
            </w:r>
          </w:p>
        </w:tc>
        <w:tc>
          <w:tcPr>
            <w:tcW w:w="0" w:type="dxa"/>
            <w:vAlign w:val="bottom"/>
          </w:tcPr>
          <w:p>
            <w:pPr>
              <w:spacing w:after="0"/>
              <w:rPr>
                <w:sz w:val="1"/>
                <w:szCs w:val="1"/>
                <w:color w:val="auto"/>
              </w:rPr>
            </w:pPr>
          </w:p>
        </w:tc>
      </w:tr>
      <w:tr>
        <w:trPr>
          <w:trHeight w:val="215"/>
        </w:trPr>
        <w:tc>
          <w:tcPr>
            <w:tcW w:w="4380" w:type="dxa"/>
            <w:vAlign w:val="bottom"/>
          </w:tcPr>
          <w:p>
            <w:pPr>
              <w:ind w:left="20"/>
              <w:spacing w:after="0"/>
              <w:rPr>
                <w:sz w:val="20"/>
                <w:szCs w:val="20"/>
                <w:color w:val="auto"/>
              </w:rPr>
            </w:pPr>
            <w:r>
              <w:rPr>
                <w:rFonts w:ascii="Arial" w:cs="Arial" w:eastAsia="Arial" w:hAnsi="Arial"/>
                <w:sz w:val="16"/>
                <w:szCs w:val="16"/>
                <w:color w:val="auto"/>
              </w:rPr>
              <w:t>Interest expense, net</w:t>
            </w:r>
          </w:p>
        </w:tc>
        <w:tc>
          <w:tcPr>
            <w:tcW w:w="1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5.9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4.1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21.1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20.5</w:t>
            </w:r>
          </w:p>
        </w:tc>
        <w:tc>
          <w:tcPr>
            <w:tcW w:w="0" w:type="dxa"/>
            <w:vAlign w:val="bottom"/>
          </w:tcPr>
          <w:p>
            <w:pPr>
              <w:spacing w:after="0"/>
              <w:rPr>
                <w:sz w:val="1"/>
                <w:szCs w:val="1"/>
                <w:color w:val="auto"/>
              </w:rPr>
            </w:pPr>
          </w:p>
        </w:tc>
      </w:tr>
      <w:tr>
        <w:trPr>
          <w:trHeight w:val="217"/>
        </w:trPr>
        <w:tc>
          <w:tcPr>
            <w:tcW w:w="4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Provision for income taxes</w:t>
            </w:r>
          </w:p>
        </w:tc>
        <w:tc>
          <w:tcPr>
            <w:tcW w:w="16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10.9</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63.3</w:t>
            </w:r>
          </w:p>
        </w:tc>
        <w:tc>
          <w:tcPr>
            <w:tcW w:w="0" w:type="dxa"/>
            <w:vAlign w:val="bottom"/>
          </w:tcPr>
          <w:p>
            <w:pPr>
              <w:spacing w:after="0"/>
              <w:rPr>
                <w:sz w:val="1"/>
                <w:szCs w:val="1"/>
                <w:color w:val="auto"/>
              </w:rPr>
            </w:pPr>
          </w:p>
        </w:tc>
      </w:tr>
      <w:tr>
        <w:trPr>
          <w:trHeight w:val="215"/>
        </w:trPr>
        <w:tc>
          <w:tcPr>
            <w:tcW w:w="4380" w:type="dxa"/>
            <w:vAlign w:val="bottom"/>
          </w:tcPr>
          <w:p>
            <w:pPr>
              <w:ind w:left="20"/>
              <w:spacing w:after="0"/>
              <w:rPr>
                <w:sz w:val="20"/>
                <w:szCs w:val="20"/>
                <w:color w:val="auto"/>
              </w:rPr>
            </w:pPr>
            <w:r>
              <w:rPr>
                <w:rFonts w:ascii="Arial" w:cs="Arial" w:eastAsia="Arial" w:hAnsi="Arial"/>
                <w:sz w:val="16"/>
                <w:szCs w:val="16"/>
                <w:color w:val="auto"/>
              </w:rPr>
              <w:t>Depreciation</w:t>
            </w:r>
          </w:p>
        </w:tc>
        <w:tc>
          <w:tcPr>
            <w:tcW w:w="1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10.1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8.3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35.6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29.2</w:t>
            </w:r>
          </w:p>
        </w:tc>
        <w:tc>
          <w:tcPr>
            <w:tcW w:w="0" w:type="dxa"/>
            <w:vAlign w:val="bottom"/>
          </w:tcPr>
          <w:p>
            <w:pPr>
              <w:spacing w:after="0"/>
              <w:rPr>
                <w:sz w:val="1"/>
                <w:szCs w:val="1"/>
                <w:color w:val="auto"/>
              </w:rPr>
            </w:pPr>
          </w:p>
        </w:tc>
      </w:tr>
      <w:tr>
        <w:trPr>
          <w:trHeight w:val="217"/>
        </w:trPr>
        <w:tc>
          <w:tcPr>
            <w:tcW w:w="4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Amortization</w:t>
            </w:r>
          </w:p>
        </w:tc>
        <w:tc>
          <w:tcPr>
            <w:tcW w:w="16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6.1</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5.7</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23.0</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17.7</w:t>
            </w:r>
          </w:p>
        </w:tc>
        <w:tc>
          <w:tcPr>
            <w:tcW w:w="0" w:type="dxa"/>
            <w:vAlign w:val="bottom"/>
          </w:tcPr>
          <w:p>
            <w:pPr>
              <w:spacing w:after="0"/>
              <w:rPr>
                <w:sz w:val="1"/>
                <w:szCs w:val="1"/>
                <w:color w:val="auto"/>
              </w:rPr>
            </w:pPr>
          </w:p>
        </w:tc>
      </w:tr>
      <w:tr>
        <w:trPr>
          <w:trHeight w:val="209"/>
        </w:trPr>
        <w:tc>
          <w:tcPr>
            <w:tcW w:w="4380" w:type="dxa"/>
            <w:vAlign w:val="bottom"/>
          </w:tcPr>
          <w:p>
            <w:pPr>
              <w:ind w:left="140"/>
              <w:spacing w:after="0"/>
              <w:rPr>
                <w:sz w:val="20"/>
                <w:szCs w:val="20"/>
                <w:color w:val="auto"/>
              </w:rPr>
            </w:pPr>
            <w:r>
              <w:rPr>
                <w:rFonts w:ascii="Arial" w:cs="Arial" w:eastAsia="Arial" w:hAnsi="Arial"/>
                <w:sz w:val="16"/>
                <w:szCs w:val="16"/>
                <w:color w:val="auto"/>
              </w:rPr>
              <w:t>EBITDA</w:t>
            </w:r>
          </w:p>
        </w:tc>
        <w:tc>
          <w:tcPr>
            <w:tcW w:w="1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(3.8)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72.8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118.1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346.6</w:t>
            </w:r>
          </w:p>
        </w:tc>
        <w:tc>
          <w:tcPr>
            <w:tcW w:w="0" w:type="dxa"/>
            <w:vAlign w:val="bottom"/>
          </w:tcPr>
          <w:p>
            <w:pPr>
              <w:spacing w:after="0"/>
              <w:rPr>
                <w:sz w:val="1"/>
                <w:szCs w:val="1"/>
                <w:color w:val="auto"/>
              </w:rPr>
            </w:pPr>
          </w:p>
        </w:tc>
      </w:tr>
      <w:tr>
        <w:trPr>
          <w:trHeight w:val="217"/>
        </w:trPr>
        <w:tc>
          <w:tcPr>
            <w:tcW w:w="4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Acquisition-related costs</w:t>
            </w:r>
          </w:p>
        </w:tc>
        <w:tc>
          <w:tcPr>
            <w:tcW w:w="16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w:t>
            </w:r>
          </w:p>
        </w:tc>
        <w:tc>
          <w:tcPr>
            <w:tcW w:w="0" w:type="dxa"/>
            <w:vAlign w:val="bottom"/>
          </w:tcPr>
          <w:p>
            <w:pPr>
              <w:spacing w:after="0"/>
              <w:rPr>
                <w:sz w:val="1"/>
                <w:szCs w:val="1"/>
                <w:color w:val="auto"/>
              </w:rPr>
            </w:pPr>
          </w:p>
        </w:tc>
      </w:tr>
      <w:tr>
        <w:trPr>
          <w:trHeight w:val="215"/>
        </w:trPr>
        <w:tc>
          <w:tcPr>
            <w:tcW w:w="4380" w:type="dxa"/>
            <w:vAlign w:val="bottom"/>
          </w:tcPr>
          <w:p>
            <w:pPr>
              <w:ind w:left="20"/>
              <w:spacing w:after="0"/>
              <w:rPr>
                <w:sz w:val="20"/>
                <w:szCs w:val="20"/>
                <w:color w:val="auto"/>
              </w:rPr>
            </w:pPr>
            <w:r>
              <w:rPr>
                <w:rFonts w:ascii="Arial" w:cs="Arial" w:eastAsia="Arial" w:hAnsi="Arial"/>
                <w:sz w:val="16"/>
                <w:szCs w:val="16"/>
                <w:color w:val="auto"/>
              </w:rPr>
              <w:t>Litigation reserves</w:t>
            </w:r>
          </w:p>
        </w:tc>
        <w:tc>
          <w:tcPr>
            <w:tcW w:w="160" w:type="dxa"/>
            <w:vAlign w:val="bottom"/>
          </w:tcPr>
          <w:p>
            <w:pPr>
              <w:spacing w:after="0"/>
              <w:rPr>
                <w:sz w:val="18"/>
                <w:szCs w:val="18"/>
                <w:color w:val="auto"/>
              </w:rPr>
            </w:pPr>
          </w:p>
        </w:tc>
        <w:tc>
          <w:tcPr>
            <w:tcW w:w="15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(0.4)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(0.4)</w:t>
            </w:r>
          </w:p>
        </w:tc>
        <w:tc>
          <w:tcPr>
            <w:tcW w:w="0" w:type="dxa"/>
            <w:vAlign w:val="bottom"/>
          </w:tcPr>
          <w:p>
            <w:pPr>
              <w:spacing w:after="0"/>
              <w:rPr>
                <w:sz w:val="1"/>
                <w:szCs w:val="1"/>
                <w:color w:val="auto"/>
              </w:rPr>
            </w:pPr>
          </w:p>
        </w:tc>
      </w:tr>
      <w:tr>
        <w:trPr>
          <w:trHeight w:val="163"/>
        </w:trPr>
        <w:tc>
          <w:tcPr>
            <w:tcW w:w="4380" w:type="dxa"/>
            <w:vAlign w:val="bottom"/>
            <w:shd w:val="clear" w:color="auto" w:fill="CCEEFF"/>
          </w:tcPr>
          <w:p>
            <w:pPr>
              <w:ind w:left="20"/>
              <w:spacing w:after="0" w:line="163" w:lineRule="exact"/>
              <w:rPr>
                <w:sz w:val="20"/>
                <w:szCs w:val="20"/>
                <w:color w:val="auto"/>
              </w:rPr>
            </w:pPr>
            <w:r>
              <w:rPr>
                <w:rFonts w:ascii="Arial" w:cs="Arial" w:eastAsia="Arial" w:hAnsi="Arial"/>
                <w:sz w:val="16"/>
                <w:szCs w:val="16"/>
                <w:color w:val="auto"/>
              </w:rPr>
              <w:t>Change in fair value of note receivable and other</w:t>
            </w:r>
          </w:p>
        </w:tc>
        <w:tc>
          <w:tcPr>
            <w:tcW w:w="160" w:type="dxa"/>
            <w:vAlign w:val="bottom"/>
            <w:shd w:val="clear" w:color="auto" w:fill="CCEEFF"/>
          </w:tcPr>
          <w:p>
            <w:pPr>
              <w:spacing w:after="0"/>
              <w:rPr>
                <w:sz w:val="14"/>
                <w:szCs w:val="14"/>
                <w:color w:val="auto"/>
              </w:rPr>
            </w:pPr>
          </w:p>
        </w:tc>
        <w:tc>
          <w:tcPr>
            <w:tcW w:w="14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3.0</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5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4"/>
                <w:szCs w:val="14"/>
                <w:color w:val="auto"/>
              </w:rPr>
            </w:pPr>
          </w:p>
        </w:tc>
        <w:tc>
          <w:tcPr>
            <w:tcW w:w="14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6.0</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4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4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investments</w:t>
            </w:r>
          </w:p>
        </w:tc>
        <w:tc>
          <w:tcPr>
            <w:tcW w:w="160" w:type="dxa"/>
            <w:vAlign w:val="bottom"/>
            <w:shd w:val="clear" w:color="auto" w:fill="CCEEFF"/>
          </w:tcPr>
          <w:p>
            <w:pPr>
              <w:spacing w:after="0"/>
              <w:rPr>
                <w:sz w:val="18"/>
                <w:szCs w:val="18"/>
                <w:color w:val="auto"/>
              </w:rPr>
            </w:pPr>
          </w:p>
        </w:tc>
        <w:tc>
          <w:tcPr>
            <w:tcW w:w="14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8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380" w:type="dxa"/>
            <w:vAlign w:val="bottom"/>
          </w:tcPr>
          <w:p>
            <w:pPr>
              <w:ind w:left="20"/>
              <w:spacing w:after="0"/>
              <w:rPr>
                <w:sz w:val="20"/>
                <w:szCs w:val="20"/>
                <w:color w:val="auto"/>
              </w:rPr>
            </w:pPr>
            <w:r>
              <w:rPr>
                <w:rFonts w:ascii="Arial" w:cs="Arial" w:eastAsia="Arial" w:hAnsi="Arial"/>
                <w:sz w:val="16"/>
                <w:szCs w:val="16"/>
                <w:color w:val="auto"/>
              </w:rPr>
              <w:t>Contingent consideration fair value adjustment</w:t>
            </w:r>
          </w:p>
        </w:tc>
        <w:tc>
          <w:tcPr>
            <w:tcW w:w="160" w:type="dxa"/>
            <w:vAlign w:val="bottom"/>
          </w:tcPr>
          <w:p>
            <w:pPr>
              <w:spacing w:after="0"/>
              <w:rPr>
                <w:sz w:val="18"/>
                <w:szCs w:val="18"/>
                <w:color w:val="auto"/>
              </w:rPr>
            </w:pPr>
          </w:p>
        </w:tc>
        <w:tc>
          <w:tcPr>
            <w:tcW w:w="15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(1.4)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1.1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0.6</w:t>
            </w:r>
          </w:p>
        </w:tc>
        <w:tc>
          <w:tcPr>
            <w:tcW w:w="0" w:type="dxa"/>
            <w:vAlign w:val="bottom"/>
          </w:tcPr>
          <w:p>
            <w:pPr>
              <w:spacing w:after="0"/>
              <w:rPr>
                <w:sz w:val="1"/>
                <w:szCs w:val="1"/>
                <w:color w:val="auto"/>
              </w:rPr>
            </w:pPr>
          </w:p>
        </w:tc>
      </w:tr>
      <w:tr>
        <w:trPr>
          <w:trHeight w:val="217"/>
        </w:trPr>
        <w:tc>
          <w:tcPr>
            <w:tcW w:w="4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Goodwill impairment</w:t>
            </w:r>
          </w:p>
        </w:tc>
        <w:tc>
          <w:tcPr>
            <w:tcW w:w="16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4380" w:type="dxa"/>
            <w:vAlign w:val="bottom"/>
          </w:tcPr>
          <w:p>
            <w:pPr>
              <w:ind w:left="20"/>
              <w:spacing w:after="0"/>
              <w:rPr>
                <w:sz w:val="20"/>
                <w:szCs w:val="20"/>
                <w:color w:val="auto"/>
              </w:rPr>
            </w:pPr>
            <w:r>
              <w:rPr>
                <w:rFonts w:ascii="Arial" w:cs="Arial" w:eastAsia="Arial" w:hAnsi="Arial"/>
                <w:sz w:val="16"/>
                <w:szCs w:val="16"/>
                <w:color w:val="auto"/>
              </w:rPr>
              <w:t>Loss on note repurchase</w:t>
            </w:r>
          </w:p>
        </w:tc>
        <w:tc>
          <w:tcPr>
            <w:tcW w:w="160" w:type="dxa"/>
            <w:vAlign w:val="bottom"/>
          </w:tcPr>
          <w:p>
            <w:pPr>
              <w:spacing w:after="0"/>
              <w:rPr>
                <w:sz w:val="18"/>
                <w:szCs w:val="18"/>
                <w:color w:val="auto"/>
              </w:rPr>
            </w:pPr>
          </w:p>
        </w:tc>
        <w:tc>
          <w:tcPr>
            <w:tcW w:w="15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5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32.7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4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Non-operating (income) loss</w:t>
            </w:r>
          </w:p>
        </w:tc>
        <w:tc>
          <w:tcPr>
            <w:tcW w:w="16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(0.8)</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0.9</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0.4</w:t>
            </w:r>
          </w:p>
        </w:tc>
        <w:tc>
          <w:tcPr>
            <w:tcW w:w="0" w:type="dxa"/>
            <w:vAlign w:val="bottom"/>
          </w:tcPr>
          <w:p>
            <w:pPr>
              <w:spacing w:after="0"/>
              <w:rPr>
                <w:sz w:val="1"/>
                <w:szCs w:val="1"/>
                <w:color w:val="auto"/>
              </w:rPr>
            </w:pPr>
          </w:p>
        </w:tc>
      </w:tr>
      <w:tr>
        <w:trPr>
          <w:trHeight w:val="210"/>
        </w:trPr>
        <w:tc>
          <w:tcPr>
            <w:tcW w:w="4380" w:type="dxa"/>
            <w:vAlign w:val="bottom"/>
          </w:tcPr>
          <w:p>
            <w:pPr>
              <w:ind w:left="140"/>
              <w:spacing w:after="0"/>
              <w:rPr>
                <w:sz w:val="20"/>
                <w:szCs w:val="20"/>
                <w:color w:val="auto"/>
              </w:rPr>
            </w:pPr>
            <w:r>
              <w:rPr>
                <w:rFonts w:ascii="Arial" w:cs="Arial" w:eastAsia="Arial" w:hAnsi="Arial"/>
                <w:sz w:val="16"/>
                <w:szCs w:val="16"/>
                <w:color w:val="auto"/>
              </w:rPr>
              <w:t>Adjusted EBITDA</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28.7</w:t>
            </w: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72.9</w:t>
            </w: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190.6</w:t>
            </w: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354.7</w:t>
            </w:r>
          </w:p>
        </w:tc>
        <w:tc>
          <w:tcPr>
            <w:tcW w:w="0" w:type="dxa"/>
            <w:vAlign w:val="bottom"/>
          </w:tcPr>
          <w:p>
            <w:pPr>
              <w:spacing w:after="0"/>
              <w:rPr>
                <w:sz w:val="1"/>
                <w:szCs w:val="1"/>
                <w:color w:val="auto"/>
              </w:rPr>
            </w:pPr>
          </w:p>
        </w:tc>
      </w:tr>
      <w:tr>
        <w:trPr>
          <w:trHeight w:val="20"/>
        </w:trPr>
        <w:tc>
          <w:tcPr>
            <w:tcW w:w="43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ectPr>
          <w:pgSz w:w="11900" w:h="16838" w:orient="portrait"/>
          <w:cols w:equalWidth="0" w:num="1">
            <w:col w:w="11240"/>
          </w:cols>
          <w:pgMar w:left="320" w:top="890" w:right="339" w:bottom="1440" w:gutter="0" w:footer="0" w:header="0"/>
        </w:sectPr>
      </w:pPr>
    </w:p>
    <w:bookmarkStart w:id="19" w:name="page20"/>
    <w:bookmarkEnd w:id="19"/>
    <w:p>
      <w:pPr>
        <w:spacing w:after="0" w:line="198"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Non-GAAP performance measures of Adjusted diluted earnings per share, EBITDA, and Adjusted EBITDA have been provided as comparable measures to illustrate the effect of non-recurring transactions occurring during the reported periods and to improve comparability of our results from period to period. Adjusted diluted earnings per share is defined as diluted earnings per share adjusted for after-tax items that impact the comparability of our results from period to period. EBITDA is defined as net income before interest expense, provision for income taxes, and depreciation and amortization expense. Adjusted EBITDA is defined as net income before interest expense, provision for income taxes, depreciation and amortization expense and other pretax adjustments made in order to present comparable results from period to period. Management believes Adjusted diluted earnings per share and Adjusted EBITDA provide meaningful supplemental information about our operating performance because these measures exclude amounts that we do not consider part of our core operating results when assessing our performance.</w:t>
      </w:r>
    </w:p>
    <w:p>
      <w:pPr>
        <w:spacing w:after="0" w:line="200" w:lineRule="exact"/>
        <w:rPr>
          <w:sz w:val="20"/>
          <w:szCs w:val="20"/>
          <w:color w:val="auto"/>
        </w:rPr>
      </w:pPr>
    </w:p>
    <w:p>
      <w:pPr>
        <w:ind w:right="300"/>
        <w:spacing w:after="0" w:line="303" w:lineRule="auto"/>
        <w:rPr>
          <w:sz w:val="20"/>
          <w:szCs w:val="20"/>
          <w:color w:val="auto"/>
        </w:rPr>
      </w:pPr>
      <w:r>
        <w:rPr>
          <w:rFonts w:ascii="Arial" w:cs="Arial" w:eastAsia="Arial" w:hAnsi="Arial"/>
          <w:sz w:val="16"/>
          <w:szCs w:val="16"/>
          <w:color w:val="auto"/>
        </w:rPr>
        <w:t>Management uses these non-GAAP financial measures (a) to evaluate historical and prospective financial performance and trends as well as assess performance relative to competitors and peers; (b) to measure operational profitability on a consistent basis; (c) in presentations to the members of our Board of Directors to enable our Board of Directors to have the same measurement basis of operating performance as is used by management in its assessments of performance and in forecasting and budgeting for the Company; (d) to evaluate potential acquisitions; and (e) to ensure compliance with restricted activities under the terms of our ABL credit facility and outstanding notes. Management believes these non-GAAP financial measures are frequently used by securities analysts, investors and other interested parties to evaluate companies in our industry.</w:t>
      </w:r>
    </w:p>
    <w:p>
      <w:pPr>
        <w:spacing w:after="0" w:line="200" w:lineRule="exact"/>
        <w:rPr>
          <w:sz w:val="20"/>
          <w:szCs w:val="20"/>
          <w:color w:val="auto"/>
        </w:rPr>
      </w:pPr>
    </w:p>
    <w:p>
      <w:pPr>
        <w:spacing w:after="0" w:line="33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17</w:t>
      </w:r>
    </w:p>
    <w:sectPr>
      <w:pgSz w:w="11900" w:h="16838" w:orient="portrait"/>
      <w:cols w:equalWidth="0" w:num="1">
        <w:col w:w="11220"/>
      </w:cols>
      <w:pgMar w:left="320" w:top="1440"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E2A9E3"/>
    <w:multiLevelType w:val="hybridMultilevel"/>
    <w:lvl w:ilvl="0">
      <w:lvlJc w:val="left"/>
      <w:lvlText w:val="☐"/>
      <w:numFmt w:val="bullet"/>
      <w:start w:val="1"/>
    </w:lvl>
  </w:abstractNum>
  <w:abstractNum w:abstractNumId="1">
    <w:nsid w:val="7545E146"/>
    <w:multiLevelType w:val="hybridMultilevel"/>
    <w:lvl w:ilvl="0">
      <w:lvlJc w:val="left"/>
      <w:lvlText w:val="•"/>
      <w:numFmt w:val="bullet"/>
      <w:start w:val="1"/>
    </w:lvl>
  </w:abstractNum>
  <w:abstractNum w:abstractNumId="2">
    <w:nsid w:val="515F007C"/>
    <w:multiLevelType w:val="hybridMultilevel"/>
    <w:lvl w:ilvl="0">
      <w:lvlJc w:val="left"/>
      <w:lvlText w:val="•"/>
      <w:numFmt w:val="bullet"/>
      <w:start w:val="1"/>
    </w:lvl>
  </w:abstractNum>
  <w:abstractNum w:abstractNumId="3">
    <w:nsid w:val="5BD062C2"/>
    <w:multiLevelType w:val="hybridMultilevel"/>
    <w:lvl w:ilvl="0">
      <w:lvlJc w:val="left"/>
      <w:lvlText w:val="(%1)"/>
      <w:numFmt w:val="decimal"/>
      <w:start w:val="1"/>
    </w:lvl>
    <w:lvl w:ilvl="1">
      <w:lvlJc w:val="left"/>
      <w:lvlText w:val="•"/>
      <w:numFmt w:val="bullet"/>
      <w:start w:val="1"/>
    </w:lvl>
  </w:abstractNum>
  <w:abstractNum w:abstractNumId="4">
    <w:nsid w:val="12200854"/>
    <w:multiLevelType w:val="hybridMultilevel"/>
    <w:lvl w:ilvl="0">
      <w:lvlJc w:val="left"/>
      <w:lvlText w:val="(%1)"/>
      <w:numFmt w:val="decimal"/>
      <w:start w:val="1"/>
    </w:lvl>
    <w:lvl w:ilvl="1">
      <w:lvlJc w:val="left"/>
      <w:lvlText w:val="•"/>
      <w:numFmt w:val="bullet"/>
      <w:start w:val="1"/>
    </w:lvl>
  </w:abstractNum>
  <w:abstractNum w:abstractNumId="5">
    <w:nsid w:val="4DB127F8"/>
    <w:multiLevelType w:val="hybridMultilevel"/>
    <w:lvl w:ilvl="0">
      <w:lvlJc w:val="left"/>
      <w:lvlText w:val="(%1)"/>
      <w:numFmt w:val="decimal"/>
      <w:start w:val="1"/>
    </w:lvl>
    <w:lvl w:ilvl="1">
      <w:lvlJc w:val="left"/>
      <w:lvlText w:val="•"/>
      <w:numFmt w:val="bullet"/>
      <w:start w:val="1"/>
    </w:lvl>
  </w:abstractNum>
  <w:abstractNum w:abstractNumId="6">
    <w:nsid w:val="216231B"/>
    <w:multiLevelType w:val="hybridMultilevel"/>
    <w:lvl w:ilvl="0">
      <w:lvlJc w:val="left"/>
      <w:lvlText w:val="(%1)"/>
      <w:numFmt w:val="decimal"/>
      <w:start w:val="1"/>
    </w:lvl>
    <w:lvl w:ilvl="1">
      <w:lvlJc w:val="left"/>
      <w:lvlText w:val="•"/>
      <w:numFmt w:val="bullet"/>
      <w:start w:val="1"/>
    </w:lvl>
  </w:abstractNum>
  <w:abstractNum w:abstractNumId="7">
    <w:nsid w:val="1F16E9E8"/>
    <w:multiLevelType w:val="hybridMultilevel"/>
    <w:lvl w:ilvl="0">
      <w:lvlJc w:val="left"/>
      <w:lvlText w:val="(%1)"/>
      <w:numFmt w:val="decimal"/>
      <w:start w:val="1"/>
    </w:lvl>
    <w:lvl w:ilvl="1">
      <w:lvlJc w:val="left"/>
      <w:lvlText w:val="•"/>
      <w:numFmt w:val="bullet"/>
      <w:start w:val="1"/>
    </w:lvl>
  </w:abstractNum>
  <w:abstractNum w:abstractNumId="8">
    <w:nsid w:val="1190CDE7"/>
    <w:multiLevelType w:val="hybridMultilevel"/>
    <w:lvl w:ilvl="0">
      <w:lvlJc w:val="left"/>
      <w:lvlText w:val="(%1)"/>
      <w:numFmt w:val="decimal"/>
      <w:start w:val="1"/>
    </w:lvl>
    <w:lvl w:ilvl="1">
      <w:lvlJc w:val="left"/>
      <w:lvlText w:val="•"/>
      <w:numFmt w:val="bullet"/>
      <w:start w:val="1"/>
    </w:lvl>
  </w:abstractNum>
  <w:abstractNum w:abstractNumId="9">
    <w:nsid w:val="66EF438D"/>
    <w:multiLevelType w:val="hybridMultilevel"/>
    <w:lvl w:ilvl="0">
      <w:lvlJc w:val="left"/>
      <w:lvlText w:val="(%1)"/>
      <w:numFmt w:val="decimal"/>
      <w:start w:val="1"/>
    </w:lvl>
  </w:abstractNum>
  <w:abstractNum w:abstractNumId="10">
    <w:nsid w:val="140E0F76"/>
    <w:multiLevelType w:val="hybridMultilevel"/>
    <w:lvl w:ilvl="0">
      <w:lvlJc w:val="left"/>
      <w:lvlText w:val="(%1)"/>
      <w:numFmt w:val="decimal"/>
      <w:start w:val="1"/>
    </w:lvl>
  </w:abstractNum>
  <w:abstractNum w:abstractNumId="11">
    <w:nsid w:val="3352255A"/>
    <w:multiLevelType w:val="hybridMultilevel"/>
    <w:lvl w:ilvl="0">
      <w:lvlJc w:val="left"/>
      <w:lvlText w:val="(%1)"/>
      <w:numFmt w:val="decimal"/>
      <w:start w:val="1"/>
    </w:lvl>
  </w:abstractNum>
  <w:abstractNum w:abstractNumId="12">
    <w:nsid w:val="109CF92E"/>
    <w:multiLevelType w:val="hybridMultilevel"/>
    <w:lvl w:ilvl="0">
      <w:lvlJc w:val="left"/>
      <w:lvlText w:val="(%1)"/>
      <w:numFmt w:val="decimal"/>
      <w:start w:val="1"/>
    </w:lvl>
  </w:abstractNum>
  <w:abstractNum w:abstractNumId="13">
    <w:nsid w:val="DED726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2024-10-23T07:04:52Z</dcterms:created>
  <dcterms:modified xsi:type="dcterms:W3CDTF">2024-10-23T07:04:52Z</dcterms:modified>
</cp:coreProperties>
</file>