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902335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241935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December 21, 2016, Winnebago Industries, Inc. issued a press release to report financial results for the first quarter of Fiscal 2017 ended November 26, 2016. A copy of the press release is attached as Exhibit 99.1 and is incorporated by reference herein.</w:t>
      </w:r>
    </w:p>
    <w:p>
      <w:pPr>
        <w:spacing w:after="0" w:line="16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2017.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21,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6500" w:type="dxa"/>
            <w:vAlign w:val="bottom"/>
            <w:gridSpan w:val="2"/>
          </w:tcPr>
          <w:p>
            <w:pPr>
              <w:ind w:left="10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80" w:type="dxa"/>
            <w:vAlign w:val="bottom"/>
          </w:tcPr>
          <w:p>
            <w:pPr>
              <w:ind w:left="200"/>
              <w:spacing w:after="0"/>
              <w:rPr>
                <w:sz w:val="20"/>
                <w:szCs w:val="20"/>
                <w:color w:val="auto"/>
              </w:rPr>
            </w:pPr>
            <w:r>
              <w:rPr>
                <w:rFonts w:ascii="Arial" w:cs="Arial" w:eastAsia="Arial" w:hAnsi="Arial"/>
                <w:sz w:val="16"/>
                <w:szCs w:val="16"/>
                <w:color w:val="auto"/>
              </w:rPr>
              <w:t>December 21, 2016</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20"/>
          </w:cols>
          <w:pgMar w:left="240" w:top="733"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- 641-585-6414 -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FIRST QUARTER FISCAL 2017 RESULTS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Completed Acquisition of Grand Design --</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Continued Strong Growth Trajectory In Both Grand Design and Winnebago Branded Towable Products --</w:t>
      </w:r>
    </w:p>
    <w:p>
      <w:pPr>
        <w:spacing w:after="0" w:line="200" w:lineRule="exact"/>
        <w:rPr>
          <w:sz w:val="20"/>
          <w:szCs w:val="20"/>
          <w:color w:val="auto"/>
        </w:rPr>
      </w:pPr>
    </w:p>
    <w:p>
      <w:pPr>
        <w:spacing w:after="0" w:line="230"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FOREST CITY, IOWA, December 21, 2016 - Winnebago Industries, Inc. (NYSE:WGO), a leading United States recreation vehicle manufacturer, today reported financial results for the Company's first quarter of Fiscal 2017.</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2017 Results</w:t>
      </w:r>
    </w:p>
    <w:p>
      <w:pPr>
        <w:spacing w:after="0" w:line="86" w:lineRule="exact"/>
        <w:rPr>
          <w:sz w:val="20"/>
          <w:szCs w:val="20"/>
          <w:color w:val="auto"/>
        </w:rPr>
      </w:pPr>
    </w:p>
    <w:p>
      <w:pPr>
        <w:ind w:right="80"/>
        <w:spacing w:after="0" w:line="356" w:lineRule="auto"/>
        <w:rPr>
          <w:sz w:val="20"/>
          <w:szCs w:val="20"/>
          <w:color w:val="auto"/>
        </w:rPr>
      </w:pPr>
      <w:r>
        <w:rPr>
          <w:rFonts w:ascii="Arial" w:cs="Arial" w:eastAsia="Arial" w:hAnsi="Arial"/>
          <w:sz w:val="16"/>
          <w:szCs w:val="16"/>
          <w:color w:val="auto"/>
        </w:rPr>
        <w:t>Revenues for the Fiscal 2017 first quarter ended November 26, 2016, were $245.3 million, an increase of 14.5%, compared to $214.2 million for the Fiscal 2016 period. Operating income was $18.4 million for the current quarter, an improvement of 44.2% compared to $12.8 million in the first quarter of last year. Fiscal 2017 first quarter net income was $11.7 million, or $0.42 per diluted share, an increase of 37.2% compared to $8.6 million, or $0.32 per diluted share, in the same period last year.</w:t>
      </w:r>
    </w:p>
    <w:p>
      <w:pPr>
        <w:spacing w:after="0" w:line="259"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Consolidated revenues improved year-over-year due primarily to strong growth in the Company’s Towable business - which benefited from three weeks of sales from Grand Design, contributing $25.8 million during the quarter, as well as continued organic growth in the Winnebago-branded Towable business which grew 44% - slightly offset by a modest decline in Motorized revenues. First-quarter gross margin was steady, year over year.</w:t>
      </w:r>
    </w:p>
    <w:p>
      <w:pPr>
        <w:spacing w:after="0" w:line="255"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President and Chief Executive Officer Michael Happe commented, “We are off to a strong start in 2017 as we continue to implement our plan to transform Winnebago, competing more effectively in the market and delivering increased profitability. We successfully completed the acquisition of Grand Design, significantly expanding our penetration within the fast-growing Towable market and creating a broader and more balanced portfolio well-positioned to capitalize on the opportunities across the RV market. Our Towable segment delivered continued strong organic growth for the quarter and we are now even better positioned to compete in this attractive market with the addition of Grand Design’s leading product portfolio. In our Motorized business, retail registrations were up and our backlog increased versus the end of the prior quarter; we are focused on driving greater and more consistent product quality and customer service. Looking ahead, we are excited to continue the momentum we have achieved in building Winnebago into a true full-line RV leader. I would like to thank all of our Winnebago employees for their hard work during the quarter and welcome the Grand Design team to our Company.”</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impacting income before income taxes in the first quarter of Fiscal 2017:</w:t>
      </w:r>
    </w:p>
    <w:p>
      <w:pPr>
        <w:spacing w:after="0" w:line="86" w:lineRule="exact"/>
        <w:rPr>
          <w:sz w:val="20"/>
          <w:szCs w:val="20"/>
          <w:color w:val="auto"/>
        </w:rPr>
      </w:pPr>
    </w:p>
    <w:p>
      <w:pPr>
        <w:ind w:left="340" w:right="80" w:hanging="332"/>
        <w:spacing w:after="0" w:line="35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Postretirement health care benefit income: the Company’s decision to terminate its postretirement health care plan effective January 1, 2017 positively impacted the quarter by $12.8 million or $.31 per diluted share, net of tax, compared to prior year postretirement health care benefit income of $1.3 million or $.03 per diluted share, net of tax.</w:t>
      </w: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Grand Design acquisition related expenses: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transaction costs related to the Grand Design acquisition were $5.5 million, or $.13 per diluted share, net of tax</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amortization expense related to the definite-lived intangible assets acquired was $2.1 million, or $.05 per diluted share, net of tax</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9" w:right="239" w:bottom="1440" w:gutter="0" w:footer="0" w:header="0"/>
        </w:sectPr>
      </w:pPr>
    </w:p>
    <w:bookmarkStart w:id="3" w:name="page4"/>
    <w:bookmarkEnd w:id="3"/>
    <w:p>
      <w:pPr>
        <w:ind w:left="980" w:right="80" w:hanging="324"/>
        <w:spacing w:after="0" w:line="35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expense associated with the newly established outstanding debt to help fund the acquisition of $1.1 million, or $.03 per diluted share, net of tax.</w:t>
      </w:r>
    </w:p>
    <w:p>
      <w:pPr>
        <w:spacing w:after="0" w:line="1" w:lineRule="exact"/>
        <w:rPr>
          <w:sz w:val="20"/>
          <w:szCs w:val="20"/>
          <w:color w:val="auto"/>
        </w:rPr>
      </w:pPr>
    </w:p>
    <w:p>
      <w:pPr>
        <w:ind w:right="280"/>
        <w:spacing w:after="0" w:line="366" w:lineRule="auto"/>
        <w:rPr>
          <w:sz w:val="20"/>
          <w:szCs w:val="20"/>
          <w:color w:val="auto"/>
        </w:rPr>
      </w:pPr>
      <w:r>
        <w:rPr>
          <w:rFonts w:ascii="Arial" w:cs="Arial" w:eastAsia="Arial" w:hAnsi="Arial"/>
          <w:sz w:val="16"/>
          <w:szCs w:val="16"/>
          <w:color w:val="auto"/>
        </w:rPr>
        <w:t>Excluding these items as well as depreciation expense, consolidated adjusted EBITDA (a non-GAAP measure) was $14.7 million compared to $12.8 million last year, an increase of 14.8%.</w:t>
      </w:r>
    </w:p>
    <w:p>
      <w:pPr>
        <w:spacing w:after="0" w:line="249" w:lineRule="exact"/>
        <w:rPr>
          <w:sz w:val="20"/>
          <w:szCs w:val="20"/>
          <w:color w:val="auto"/>
        </w:rPr>
      </w:pPr>
    </w:p>
    <w:p>
      <w:pPr>
        <w:ind w:right="180"/>
        <w:spacing w:after="0" w:line="366" w:lineRule="auto"/>
        <w:rPr>
          <w:sz w:val="20"/>
          <w:szCs w:val="20"/>
          <w:color w:val="auto"/>
        </w:rPr>
      </w:pPr>
      <w:r>
        <w:rPr>
          <w:rFonts w:ascii="Arial" w:cs="Arial" w:eastAsia="Arial" w:hAnsi="Arial"/>
          <w:sz w:val="16"/>
          <w:szCs w:val="16"/>
          <w:color w:val="auto"/>
        </w:rPr>
        <w:t>As a result of the Company’s acquisition of Grand Design and continued growth of the Winnebago-branded Towable business, the Company is now reporting results for the Motorized and Towable segments.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Motorized</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Revenues for the Motorized segment were $195.1 million for the quarter, down 1.1% from the previous year, reflecting the impact of the Company’s exit from its aluminum extrusion business which contributed $5 million in revenue in the first quarter of Fiscal 2016. Segment Adjusted EBITDA was $10.0 million, down 14.6% from the prior year, primarily driven by incrementally higher expenses related to workers compensation and costs associated with ramp-up of the Company’s Junction City, Oregon production facility.</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Revenues for the Towable segment were $50.2 million for the quarter, up 197.2% from the previous year, driven by the addition of $25.8 million in revenue from the Grand Design acquisition and strong organic growth from Winnebago-branded Towable products. Segment Adjusted EBITDA was $4.7 million, up 340% from the prior year.</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w:t>
      </w:r>
    </w:p>
    <w:p>
      <w:pPr>
        <w:spacing w:after="0" w:line="86" w:lineRule="exact"/>
        <w:rPr>
          <w:sz w:val="20"/>
          <w:szCs w:val="20"/>
          <w:color w:val="auto"/>
        </w:rPr>
      </w:pPr>
    </w:p>
    <w:p>
      <w:pPr>
        <w:ind w:right="300"/>
        <w:spacing w:after="0" w:line="366" w:lineRule="auto"/>
        <w:rPr>
          <w:sz w:val="20"/>
          <w:szCs w:val="20"/>
          <w:color w:val="auto"/>
        </w:rPr>
      </w:pPr>
      <w:r>
        <w:rPr>
          <w:rFonts w:ascii="Arial" w:cs="Arial" w:eastAsia="Arial" w:hAnsi="Arial"/>
          <w:sz w:val="16"/>
          <w:szCs w:val="16"/>
          <w:color w:val="auto"/>
        </w:rPr>
        <w:t>As of November 26, 2016, the Company had a debt balance of $342.3 million ($353 million of debt, net of debt issuance costs of $10.7 million) and working capital of $144.9 million. The debt to equity ratio was 86.1% and the current ratio was 2.1 as of the end of the quarter.</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Winnebago Industries, Inc. will conduct a conference call to discuss first quarter Fiscal 2017 results at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86" w:lineRule="exact"/>
        <w:rPr>
          <w:sz w:val="20"/>
          <w:szCs w:val="20"/>
          <w:color w:val="auto"/>
        </w:rPr>
      </w:pPr>
    </w:p>
    <w:p>
      <w:pPr>
        <w:jc w:val="both"/>
        <w:spacing w:after="0" w:line="352"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w:t>
      </w:r>
    </w:p>
    <w:p>
      <w:pPr>
        <w:spacing w:after="0" w:line="1"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41" w:right="239" w:bottom="1440" w:gutter="0" w:footer="0" w:header="0"/>
        </w:sectPr>
      </w:pPr>
    </w:p>
    <w:bookmarkStart w:id="4" w:name="page5"/>
    <w:bookmarkEnd w:id="4"/>
    <w:p>
      <w:pPr>
        <w:spacing w:after="0" w:line="248" w:lineRule="auto"/>
        <w:rPr>
          <w:sz w:val="20"/>
          <w:szCs w:val="20"/>
          <w:color w:val="auto"/>
        </w:rPr>
      </w:pPr>
      <w:r>
        <w:rPr>
          <w:rFonts w:ascii="Arial" w:cs="Arial" w:eastAsia="Arial" w:hAnsi="Arial"/>
          <w:sz w:val="16"/>
          <w:szCs w:val="16"/>
          <w:color w:val="auto"/>
        </w:rPr>
        <w:t>Design including: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60"/>
          </w:cols>
          <w:pgMar w:left="240" w:top="601"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November 26, 2016</w:t>
            </w:r>
          </w:p>
        </w:tc>
        <w:tc>
          <w:tcPr>
            <w:tcW w:w="3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November 28, 2015</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245,308</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214,223</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216,433</w:t>
            </w:r>
          </w:p>
        </w:tc>
        <w:tc>
          <w:tcPr>
            <w:tcW w:w="2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88.2 %</w:t>
            </w:r>
          </w:p>
        </w:tc>
        <w:tc>
          <w:tcPr>
            <w:tcW w:w="3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188,974</w:t>
            </w:r>
          </w:p>
        </w:tc>
        <w:tc>
          <w:tcPr>
            <w:tcW w:w="2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88.2 %</w:t>
            </w: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28,875</w:t>
            </w:r>
          </w:p>
        </w:tc>
        <w:tc>
          <w:tcPr>
            <w:tcW w:w="2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11.8 %</w:t>
            </w:r>
          </w:p>
        </w:tc>
        <w:tc>
          <w:tcPr>
            <w:tcW w:w="3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25,249</w:t>
            </w:r>
          </w:p>
        </w:tc>
        <w:tc>
          <w:tcPr>
            <w:tcW w:w="2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11.8 %</w:t>
            </w: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5,870</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2.4 %</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5,015</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9,906</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4.0 %</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8,820</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4.1 %</w:t>
            </w: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(12,813)</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(1,345)</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5,462</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2.2 %</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2,051</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0.8 %</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46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10,476</w:t>
            </w:r>
          </w:p>
        </w:tc>
        <w:tc>
          <w:tcPr>
            <w:tcW w:w="2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4.3 %</w:t>
            </w:r>
          </w:p>
        </w:tc>
        <w:tc>
          <w:tcPr>
            <w:tcW w:w="3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12,490</w:t>
            </w:r>
          </w:p>
        </w:tc>
        <w:tc>
          <w:tcPr>
            <w:tcW w:w="2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5.8 %</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18,399</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7.5 %</w:t>
            </w:r>
          </w:p>
        </w:tc>
        <w:tc>
          <w:tcPr>
            <w:tcW w:w="3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12,759</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6.0 %</w:t>
            </w: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1,128</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0.5 %</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17,358</w:t>
            </w:r>
          </w:p>
        </w:tc>
        <w:tc>
          <w:tcPr>
            <w:tcW w:w="200" w:type="dxa"/>
            <w:vAlign w:val="bottom"/>
          </w:tcPr>
          <w:p>
            <w:pPr>
              <w:spacing w:after="0"/>
              <w:rPr>
                <w:sz w:val="21"/>
                <w:szCs w:val="21"/>
                <w:color w:val="auto"/>
              </w:rPr>
            </w:pPr>
          </w:p>
        </w:tc>
        <w:tc>
          <w:tcPr>
            <w:tcW w:w="16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7.1 %</w:t>
            </w:r>
          </w:p>
        </w:tc>
        <w:tc>
          <w:tcPr>
            <w:tcW w:w="3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12,894</w:t>
            </w:r>
          </w:p>
        </w:tc>
        <w:tc>
          <w:tcPr>
            <w:tcW w:w="200" w:type="dxa"/>
            <w:vAlign w:val="bottom"/>
          </w:tcPr>
          <w:p>
            <w:pPr>
              <w:spacing w:after="0"/>
              <w:rPr>
                <w:sz w:val="21"/>
                <w:szCs w:val="21"/>
                <w:color w:val="auto"/>
              </w:rPr>
            </w:pPr>
          </w:p>
        </w:tc>
        <w:tc>
          <w:tcPr>
            <w:tcW w:w="16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5,620</w:t>
            </w:r>
          </w:p>
        </w:tc>
        <w:tc>
          <w:tcPr>
            <w:tcW w:w="2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c>
          <w:tcPr>
            <w:tcW w:w="3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4,336</w:t>
            </w:r>
          </w:p>
        </w:tc>
        <w:tc>
          <w:tcPr>
            <w:tcW w:w="2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r>
      <w:tr>
        <w:trPr>
          <w:trHeight w:val="28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11,738</w:t>
            </w: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4.8 %</w:t>
            </w:r>
          </w:p>
        </w:tc>
        <w:tc>
          <w:tcPr>
            <w:tcW w:w="3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8,558</w:t>
            </w: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4.0 %</w:t>
            </w:r>
          </w:p>
        </w:tc>
      </w:tr>
      <w:tr>
        <w:trPr>
          <w:trHeight w:val="254"/>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0.42</w:t>
            </w: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0.32</w:t>
            </w: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0.42</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0.32</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27,836</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26,976</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1"/>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27,969</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27,067</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Nov 26,</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Aug 27,</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25,584</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85,583</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81,762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66,184</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155,446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122,522</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10,561</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273,353</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280,589</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66,703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55,931</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251,210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251,049</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26,653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26,492</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7,706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18,753</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6,021</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7,725</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882,695</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50,971</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44,134</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7,578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3,541</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66,377</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48,796</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128,467</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92,949</w:t>
            </w:r>
          </w:p>
        </w:tc>
        <w:tc>
          <w:tcPr>
            <w:tcW w:w="0" w:type="dxa"/>
            <w:vAlign w:val="bottom"/>
          </w:tcPr>
          <w:p>
            <w:pPr>
              <w:spacing w:after="0"/>
              <w:rPr>
                <w:sz w:val="1"/>
                <w:szCs w:val="1"/>
                <w:color w:val="auto"/>
              </w:rPr>
            </w:pPr>
          </w:p>
        </w:tc>
      </w:tr>
      <w:tr>
        <w:trPr>
          <w:trHeight w:val="25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334,742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73"/>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 portion</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19,961</w:t>
            </w:r>
          </w:p>
        </w:tc>
        <w:tc>
          <w:tcPr>
            <w:tcW w:w="2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26,949</w:t>
            </w:r>
          </w:p>
        </w:tc>
        <w:tc>
          <w:tcPr>
            <w:tcW w:w="0" w:type="dxa"/>
            <w:vAlign w:val="bottom"/>
          </w:tcPr>
          <w:p>
            <w:pPr>
              <w:spacing w:after="0"/>
              <w:rPr>
                <w:sz w:val="1"/>
                <w:szCs w:val="1"/>
                <w:color w:val="auto"/>
              </w:rPr>
            </w:pPr>
          </w:p>
        </w:tc>
      </w:tr>
      <w:tr>
        <w:trPr>
          <w:trHeight w:val="247"/>
        </w:trPr>
        <w:tc>
          <w:tcPr>
            <w:tcW w:w="8020" w:type="dxa"/>
            <w:vAlign w:val="bottom"/>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3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356,769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29,410</w:t>
            </w:r>
          </w:p>
        </w:tc>
        <w:tc>
          <w:tcPr>
            <w:tcW w:w="0" w:type="dxa"/>
            <w:vAlign w:val="bottom"/>
          </w:tcPr>
          <w:p>
            <w:pPr>
              <w:spacing w:after="0"/>
              <w:rPr>
                <w:sz w:val="1"/>
                <w:szCs w:val="1"/>
                <w:color w:val="auto"/>
              </w:rPr>
            </w:pPr>
          </w:p>
        </w:tc>
      </w:tr>
      <w:tr>
        <w:trPr>
          <w:trHeight w:val="27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397,459</w:t>
            </w:r>
          </w:p>
        </w:tc>
        <w:tc>
          <w:tcPr>
            <w:tcW w:w="2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268,359</w:t>
            </w:r>
          </w:p>
        </w:tc>
        <w:tc>
          <w:tcPr>
            <w:tcW w:w="0" w:type="dxa"/>
            <w:vAlign w:val="bottom"/>
          </w:tcPr>
          <w:p>
            <w:pPr>
              <w:spacing w:after="0"/>
              <w:rPr>
                <w:sz w:val="1"/>
                <w:szCs w:val="1"/>
                <w:color w:val="auto"/>
              </w:rPr>
            </w:pPr>
          </w:p>
        </w:tc>
      </w:tr>
      <w:tr>
        <w:trPr>
          <w:trHeight w:val="237"/>
        </w:trPr>
        <w:tc>
          <w:tcPr>
            <w:tcW w:w="8020" w:type="dxa"/>
            <w:vAlign w:val="bottom"/>
            <w:gridSpan w:val="2"/>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882,695</w:t>
            </w:r>
          </w:p>
        </w:tc>
        <w:tc>
          <w:tcPr>
            <w:tcW w:w="2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 26,</w:t>
            </w:r>
          </w:p>
        </w:tc>
        <w:tc>
          <w:tcPr>
            <w:tcW w:w="30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Nov 28,</w:t>
            </w:r>
          </w:p>
        </w:tc>
      </w:tr>
      <w:tr>
        <w:trPr>
          <w:trHeight w:val="228"/>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11,738</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8,558</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1,580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1,370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 (income)</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821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623</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(1,613)</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382</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(12,471)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(777)</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(295)</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(17,923)</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(24,109)</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Receivables, prepaid and other assets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16,080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7,366</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8,200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1,254</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(7,977)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(1,375)</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(742)</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(970)</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by operating activities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(8,063)</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(3,562)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(3,109)</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300" w:type="dxa"/>
            <w:vAlign w:val="bottom"/>
          </w:tcPr>
          <w:p>
            <w:pPr>
              <w:spacing w:after="0"/>
              <w:rPr>
                <w:sz w:val="22"/>
                <w:szCs w:val="22"/>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(394,835)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life insurance</w:t>
            </w:r>
          </w:p>
        </w:tc>
        <w:tc>
          <w:tcPr>
            <w:tcW w:w="300" w:type="dxa"/>
            <w:vAlign w:val="bottom"/>
          </w:tcPr>
          <w:p>
            <w:pPr>
              <w:spacing w:after="0"/>
              <w:rPr>
                <w:sz w:val="22"/>
                <w:szCs w:val="22"/>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295</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901</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(397,496)</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(3,029)</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(705)</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cash dividends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(3,185)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(2,730)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of debt issuance costs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(10,758)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Borrowings on credit facility</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353,000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337,647</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(3,426)</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(59,999)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(14,518)</w:t>
            </w:r>
          </w:p>
        </w:tc>
      </w:tr>
      <w:tr>
        <w:trPr>
          <w:trHeight w:val="27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85,583</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70,239</w:t>
            </w:r>
          </w:p>
        </w:tc>
      </w:tr>
      <w:tr>
        <w:trPr>
          <w:trHeight w:val="28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25,584</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55,721</w:t>
            </w:r>
          </w:p>
        </w:tc>
      </w:tr>
      <w:tr>
        <w:trPr>
          <w:trHeight w:val="267"/>
        </w:trPr>
        <w:tc>
          <w:tcPr>
            <w:tcW w:w="7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Supplemental cash flow disclosure: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2,675</w:t>
            </w:r>
          </w:p>
        </w:tc>
      </w:tr>
      <w:tr>
        <w:trPr>
          <w:trHeight w:val="284"/>
        </w:trPr>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124,066</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826</w:t>
            </w:r>
          </w:p>
        </w:tc>
      </w:tr>
    </w:tbl>
    <w:p>
      <w:pPr>
        <w:spacing w:after="0" w:line="200" w:lineRule="exact"/>
        <w:rPr>
          <w:sz w:val="20"/>
          <w:szCs w:val="20"/>
          <w:color w:val="auto"/>
        </w:rPr>
      </w:pPr>
    </w:p>
    <w:p>
      <w:pPr>
        <w:sectPr>
          <w:pgSz w:w="11900" w:h="16838" w:orient="portrait"/>
          <w:cols w:equalWidth="0" w:num="1">
            <w:col w:w="11380"/>
          </w:cols>
          <w:pgMar w:left="260" w:top="576" w:right="259" w:bottom="1038"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576" w:right="259" w:bottom="1038"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Motorized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ind w:right="57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98"/>
        </w:trPr>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Nov 26,</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299"/>
              <w:spacing w:after="0"/>
              <w:rPr>
                <w:sz w:val="20"/>
                <w:szCs w:val="20"/>
                <w:color w:val="auto"/>
              </w:rPr>
            </w:pPr>
            <w:r>
              <w:rPr>
                <w:rFonts w:ascii="Arial" w:cs="Arial" w:eastAsia="Arial" w:hAnsi="Arial"/>
                <w:sz w:val="16"/>
                <w:szCs w:val="16"/>
                <w:b w:val="1"/>
                <w:bCs w:val="1"/>
                <w:color w:val="auto"/>
              </w:rPr>
              <w:t>Nov 28,</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3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gridSpan w:val="2"/>
          </w:tcPr>
          <w:p>
            <w:pPr>
              <w:spacing w:after="0"/>
              <w:rPr>
                <w:sz w:val="19"/>
                <w:szCs w:val="19"/>
                <w:color w:val="auto"/>
              </w:rPr>
            </w:pPr>
          </w:p>
        </w:tc>
        <w:tc>
          <w:tcPr>
            <w:tcW w:w="200" w:type="dxa"/>
            <w:vAlign w:val="bottom"/>
            <w:tcBorders>
              <w:bottom w:val="single" w:sz="8" w:color="auto"/>
            </w:tcBorders>
            <w:gridSpan w:val="2"/>
          </w:tcPr>
          <w:p>
            <w:pPr>
              <w:spacing w:after="0"/>
              <w:rPr>
                <w:sz w:val="19"/>
                <w:szCs w:val="19"/>
                <w:color w:val="auto"/>
              </w:rPr>
            </w:pPr>
          </w:p>
        </w:tc>
        <w:tc>
          <w:tcPr>
            <w:tcW w:w="10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spacing w:after="0"/>
              <w:rPr>
                <w:sz w:val="19"/>
                <w:szCs w:val="19"/>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bottom w:val="single" w:sz="8" w:color="auto"/>
            </w:tcBorders>
          </w:tcPr>
          <w:p>
            <w:pPr>
              <w:spacing w:after="0"/>
              <w:rPr>
                <w:sz w:val="19"/>
                <w:szCs w:val="19"/>
                <w:color w:val="auto"/>
              </w:rPr>
            </w:pP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195,125</w:t>
            </w:r>
          </w:p>
        </w:tc>
        <w:tc>
          <w:tcPr>
            <w:tcW w:w="17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197,340</w:t>
            </w:r>
          </w:p>
        </w:tc>
        <w:tc>
          <w:tcPr>
            <w:tcW w:w="1940" w:type="dxa"/>
            <w:vAlign w:val="bottom"/>
            <w:gridSpan w:val="5"/>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(2,215)</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10,015</w:t>
            </w: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1440" w:type="dxa"/>
            <w:vAlign w:val="bottom"/>
            <w:gridSpan w:val="2"/>
          </w:tcPr>
          <w:p>
            <w:pPr>
              <w:jc w:val="right"/>
              <w:ind w:right="19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color w:val="auto"/>
              </w:rPr>
              <w:t>(1,709)</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(14.6)%</w:t>
            </w:r>
          </w:p>
        </w:tc>
      </w:tr>
      <w:tr>
        <w:trPr>
          <w:trHeight w:val="488"/>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Nov 26,</w:t>
            </w:r>
          </w:p>
        </w:tc>
        <w:tc>
          <w:tcPr>
            <w:tcW w:w="40" w:type="dxa"/>
            <w:vAlign w:val="bottom"/>
          </w:tcPr>
          <w:p>
            <w:pPr>
              <w:spacing w:after="0"/>
              <w:rPr>
                <w:sz w:val="24"/>
                <w:szCs w:val="24"/>
                <w:color w:val="auto"/>
              </w:rPr>
            </w:pPr>
          </w:p>
        </w:tc>
        <w:tc>
          <w:tcPr>
            <w:tcW w:w="17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Product</w:t>
            </w:r>
          </w:p>
        </w:tc>
        <w:tc>
          <w:tcPr>
            <w:tcW w:w="1000" w:type="dxa"/>
            <w:vAlign w:val="bottom"/>
          </w:tcPr>
          <w:p>
            <w:pPr>
              <w:jc w:val="center"/>
              <w:ind w:right="299"/>
              <w:spacing w:after="0"/>
              <w:rPr>
                <w:sz w:val="20"/>
                <w:szCs w:val="20"/>
                <w:color w:val="auto"/>
              </w:rPr>
            </w:pPr>
            <w:r>
              <w:rPr>
                <w:rFonts w:ascii="Arial" w:cs="Arial" w:eastAsia="Arial" w:hAnsi="Arial"/>
                <w:sz w:val="16"/>
                <w:szCs w:val="16"/>
                <w:b w:val="1"/>
                <w:bCs w:val="1"/>
                <w:color w:val="auto"/>
              </w:rPr>
              <w:t>Nov 28,</w:t>
            </w:r>
          </w:p>
        </w:tc>
        <w:tc>
          <w:tcPr>
            <w:tcW w:w="80" w:type="dxa"/>
            <w:vAlign w:val="bottom"/>
          </w:tcPr>
          <w:p>
            <w:pPr>
              <w:spacing w:after="0"/>
              <w:rPr>
                <w:sz w:val="24"/>
                <w:szCs w:val="24"/>
                <w:color w:val="auto"/>
              </w:rPr>
            </w:pPr>
          </w:p>
        </w:tc>
        <w:tc>
          <w:tcPr>
            <w:tcW w:w="186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9"/>
              </w:rPr>
              <w:t>Product</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1720" w:type="dxa"/>
            <w:vAlign w:val="bottom"/>
            <w:gridSpan w:val="5"/>
          </w:tcPr>
          <w:p>
            <w:pPr>
              <w:jc w:val="center"/>
              <w:ind w:right="36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0" w:type="dxa"/>
            <w:vAlign w:val="bottom"/>
          </w:tcPr>
          <w:p>
            <w:pPr>
              <w:jc w:val="center"/>
              <w:ind w:right="23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0"/>
                <w:szCs w:val="20"/>
                <w:color w:val="auto"/>
              </w:rPr>
            </w:pPr>
          </w:p>
        </w:tc>
        <w:tc>
          <w:tcPr>
            <w:tcW w:w="1860" w:type="dxa"/>
            <w:vAlign w:val="bottom"/>
            <w:gridSpan w:val="4"/>
          </w:tcPr>
          <w:p>
            <w:pPr>
              <w:jc w:val="center"/>
              <w:ind w:right="58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20"/>
                <w:szCs w:val="20"/>
                <w:color w:val="auto"/>
              </w:rPr>
            </w:pPr>
          </w:p>
        </w:tc>
      </w:tr>
      <w:tr>
        <w:trPr>
          <w:trHeight w:val="250"/>
        </w:trPr>
        <w:tc>
          <w:tcPr>
            <w:tcW w:w="3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1440" w:type="dxa"/>
            <w:vAlign w:val="bottom"/>
            <w:tcBorders>
              <w:top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33.3%</w:t>
            </w: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440" w:type="dxa"/>
            <w:vAlign w:val="bottom"/>
            <w:tcBorders>
              <w:top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39.1%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(85)</w:t>
            </w:r>
          </w:p>
        </w:tc>
        <w:tc>
          <w:tcPr>
            <w:tcW w:w="8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w:t>
            </w: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color w:val="auto"/>
              </w:rPr>
              <w:t>Class B</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1440" w:type="dxa"/>
            <w:vAlign w:val="bottom"/>
            <w:gridSpan w:val="2"/>
          </w:tcPr>
          <w:p>
            <w:pPr>
              <w:jc w:val="right"/>
              <w:ind w:right="19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659"/>
              <w:spacing w:after="0"/>
              <w:rPr>
                <w:sz w:val="20"/>
                <w:szCs w:val="20"/>
                <w:color w:val="auto"/>
              </w:rPr>
            </w:pPr>
            <w:r>
              <w:rPr>
                <w:rFonts w:ascii="Arial" w:cs="Arial" w:eastAsia="Arial" w:hAnsi="Arial"/>
                <w:sz w:val="16"/>
                <w:szCs w:val="16"/>
                <w:color w:val="auto"/>
              </w:rPr>
              <w:t>62</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25.9 %</w:t>
            </w:r>
          </w:p>
        </w:tc>
      </w:tr>
      <w:tr>
        <w:trPr>
          <w:trHeight w:val="273"/>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c>
          <w:tcPr>
            <w:tcW w:w="144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51.7%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c>
          <w:tcPr>
            <w:tcW w:w="144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102</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11.0 %</w:t>
            </w:r>
          </w:p>
        </w:tc>
      </w:tr>
      <w:tr>
        <w:trPr>
          <w:trHeight w:val="240"/>
        </w:trPr>
        <w:tc>
          <w:tcPr>
            <w:tcW w:w="3140" w:type="dxa"/>
            <w:vAlign w:val="bottom"/>
          </w:tcPr>
          <w:p>
            <w:pPr>
              <w:ind w:left="280"/>
              <w:spacing w:after="0"/>
              <w:rPr>
                <w:sz w:val="20"/>
                <w:szCs w:val="20"/>
                <w:color w:val="auto"/>
              </w:rPr>
            </w:pPr>
            <w:r>
              <w:rPr>
                <w:rFonts w:ascii="Arial" w:cs="Arial" w:eastAsia="Arial" w:hAnsi="Arial"/>
                <w:sz w:val="16"/>
                <w:szCs w:val="16"/>
                <w:color w:val="auto"/>
              </w:rPr>
              <w:t>Total motorhomes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c>
          <w:tcPr>
            <w:tcW w:w="14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1,921</w:t>
            </w:r>
          </w:p>
        </w:tc>
        <w:tc>
          <w:tcPr>
            <w:tcW w:w="14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79</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4.1 %</w:t>
            </w: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7"/>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Nov 26,</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299"/>
              <w:spacing w:after="0"/>
              <w:rPr>
                <w:sz w:val="20"/>
                <w:szCs w:val="20"/>
                <w:color w:val="auto"/>
              </w:rPr>
            </w:pPr>
            <w:r>
              <w:rPr>
                <w:rFonts w:ascii="Arial" w:cs="Arial" w:eastAsia="Arial" w:hAnsi="Arial"/>
                <w:sz w:val="16"/>
                <w:szCs w:val="16"/>
                <w:b w:val="1"/>
                <w:bCs w:val="1"/>
                <w:color w:val="auto"/>
              </w:rPr>
              <w:t>Nov 28,</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314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bottom w:val="single" w:sz="8" w:color="auto"/>
            </w:tcBorders>
          </w:tcPr>
          <w:p>
            <w:pPr>
              <w:spacing w:after="0"/>
              <w:rPr>
                <w:sz w:val="20"/>
                <w:szCs w:val="20"/>
                <w:color w:val="auto"/>
              </w:rPr>
            </w:pPr>
          </w:p>
        </w:tc>
      </w:tr>
      <w:tr>
        <w:trPr>
          <w:trHeight w:val="25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2,412</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(126)</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Dollars</w:t>
            </w:r>
          </w:p>
        </w:tc>
        <w:tc>
          <w:tcPr>
            <w:tcW w:w="32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207,056</w:t>
            </w:r>
          </w:p>
        </w:tc>
        <w:tc>
          <w:tcPr>
            <w:tcW w:w="1760" w:type="dxa"/>
            <w:vAlign w:val="bottom"/>
            <w:gridSpan w:val="6"/>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222,055</w:t>
            </w:r>
          </w:p>
        </w:tc>
        <w:tc>
          <w:tcPr>
            <w:tcW w:w="1940" w:type="dxa"/>
            <w:vAlign w:val="bottom"/>
            <w:gridSpan w:val="5"/>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19"/>
              <w:spacing w:after="0"/>
              <w:rPr>
                <w:sz w:val="20"/>
                <w:szCs w:val="20"/>
                <w:color w:val="auto"/>
              </w:rPr>
            </w:pPr>
            <w:r>
              <w:rPr>
                <w:rFonts w:ascii="Arial" w:cs="Arial" w:eastAsia="Arial" w:hAnsi="Arial"/>
                <w:sz w:val="16"/>
                <w:szCs w:val="16"/>
                <w:color w:val="auto"/>
              </w:rPr>
              <w:t>(14,999)</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(6.8)%</w:t>
            </w:r>
          </w:p>
        </w:tc>
      </w:tr>
      <w:tr>
        <w:trPr>
          <w:trHeight w:val="553"/>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r>
      <w:tr>
        <w:trPr>
          <w:trHeight w:val="257"/>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4,330</w:t>
            </w:r>
          </w:p>
        </w:tc>
        <w:tc>
          <w:tcPr>
            <w:tcW w:w="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4,115</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215</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5.2 %</w:t>
            </w:r>
          </w:p>
        </w:tc>
      </w:tr>
      <w:tr>
        <w:trPr>
          <w:trHeight w:val="831"/>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Towable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Nov 26,</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 28,</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3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bottom w:val="single" w:sz="8" w:color="auto"/>
            </w:tcBorders>
          </w:tcPr>
          <w:p>
            <w:pPr>
              <w:spacing w:after="0"/>
              <w:rPr>
                <w:sz w:val="19"/>
                <w:szCs w:val="19"/>
                <w:color w:val="auto"/>
              </w:rPr>
            </w:pP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50,183</w:t>
            </w:r>
          </w:p>
        </w:tc>
        <w:tc>
          <w:tcPr>
            <w:tcW w:w="176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16,883</w:t>
            </w:r>
          </w:p>
        </w:tc>
        <w:tc>
          <w:tcPr>
            <w:tcW w:w="194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33,300</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197.2%</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4,664</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1,060</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color w:val="auto"/>
              </w:rPr>
              <w:t>3,604</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340.0%</w:t>
            </w:r>
          </w:p>
        </w:tc>
      </w:tr>
      <w:tr>
        <w:trPr>
          <w:trHeight w:val="488"/>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Nov 26,</w:t>
            </w:r>
          </w:p>
        </w:tc>
        <w:tc>
          <w:tcPr>
            <w:tcW w:w="40" w:type="dxa"/>
            <w:vAlign w:val="bottom"/>
          </w:tcPr>
          <w:p>
            <w:pPr>
              <w:spacing w:after="0"/>
              <w:rPr>
                <w:sz w:val="24"/>
                <w:szCs w:val="2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9"/>
              </w:rPr>
              <w:t>Product</w:t>
            </w: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 28,</w:t>
            </w:r>
          </w:p>
        </w:tc>
        <w:tc>
          <w:tcPr>
            <w:tcW w:w="80" w:type="dxa"/>
            <w:vAlign w:val="bottom"/>
          </w:tcPr>
          <w:p>
            <w:pPr>
              <w:spacing w:after="0"/>
              <w:rPr>
                <w:sz w:val="24"/>
                <w:szCs w:val="24"/>
                <w:color w:val="auto"/>
              </w:rPr>
            </w:pPr>
          </w:p>
        </w:tc>
        <w:tc>
          <w:tcPr>
            <w:tcW w:w="18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9"/>
              </w:rPr>
              <w:t>Product</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1720" w:type="dxa"/>
            <w:vAlign w:val="bottom"/>
            <w:gridSpan w:val="5"/>
          </w:tcPr>
          <w:p>
            <w:pPr>
              <w:jc w:val="center"/>
              <w:ind w:right="24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0"/>
                <w:szCs w:val="20"/>
                <w:color w:val="auto"/>
              </w:rPr>
            </w:pPr>
          </w:p>
        </w:tc>
        <w:tc>
          <w:tcPr>
            <w:tcW w:w="1860" w:type="dxa"/>
            <w:vAlign w:val="bottom"/>
            <w:gridSpan w:val="4"/>
          </w:tcPr>
          <w:p>
            <w:pPr>
              <w:jc w:val="center"/>
              <w:ind w:right="38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20"/>
                <w:szCs w:val="20"/>
                <w:color w:val="auto"/>
              </w:rPr>
            </w:pPr>
          </w:p>
        </w:tc>
      </w:tr>
      <w:tr>
        <w:trPr>
          <w:trHeight w:val="250"/>
        </w:trPr>
        <w:tc>
          <w:tcPr>
            <w:tcW w:w="3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440" w:type="dxa"/>
            <w:vAlign w:val="bottom"/>
            <w:tcBorders>
              <w:top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75.0%</w:t>
            </w:r>
          </w:p>
        </w:tc>
        <w:tc>
          <w:tcPr>
            <w:tcW w:w="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440" w:type="dxa"/>
            <w:vAlign w:val="bottom"/>
            <w:tcBorders>
              <w:top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88.7%</w:t>
            </w: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785</w:t>
            </w:r>
          </w:p>
        </w:tc>
        <w:tc>
          <w:tcPr>
            <w:tcW w:w="8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108.4%</w:t>
            </w:r>
          </w:p>
        </w:tc>
      </w:tr>
      <w:tr>
        <w:trPr>
          <w:trHeight w:val="264"/>
        </w:trPr>
        <w:tc>
          <w:tcPr>
            <w:tcW w:w="3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4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4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411</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w:t>
            </w:r>
          </w:p>
        </w:tc>
      </w:tr>
      <w:tr>
        <w:trPr>
          <w:trHeight w:val="240"/>
        </w:trPr>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44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4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1,196</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146.6%</w:t>
            </w: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7"/>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Nov 26,</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Nov 28,</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314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bottom w:val="single" w:sz="8" w:color="auto"/>
            </w:tcBorders>
          </w:tcPr>
          <w:p>
            <w:pPr>
              <w:spacing w:after="0"/>
              <w:rPr>
                <w:sz w:val="20"/>
                <w:szCs w:val="20"/>
                <w:color w:val="auto"/>
              </w:rPr>
            </w:pPr>
          </w:p>
        </w:tc>
      </w:tr>
      <w:tr>
        <w:trPr>
          <w:trHeight w:val="25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6,163</w:t>
            </w: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NMF</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Dollars</w:t>
            </w:r>
          </w:p>
        </w:tc>
        <w:tc>
          <w:tcPr>
            <w:tcW w:w="32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214,178</w:t>
            </w:r>
          </w:p>
        </w:tc>
        <w:tc>
          <w:tcPr>
            <w:tcW w:w="1760" w:type="dxa"/>
            <w:vAlign w:val="bottom"/>
            <w:gridSpan w:val="6"/>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7,249</w:t>
            </w:r>
          </w:p>
        </w:tc>
        <w:tc>
          <w:tcPr>
            <w:tcW w:w="194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39"/>
              <w:spacing w:after="0"/>
              <w:rPr>
                <w:sz w:val="20"/>
                <w:szCs w:val="20"/>
                <w:color w:val="auto"/>
              </w:rPr>
            </w:pPr>
            <w:r>
              <w:rPr>
                <w:rFonts w:ascii="Arial" w:cs="Arial" w:eastAsia="Arial" w:hAnsi="Arial"/>
                <w:sz w:val="16"/>
                <w:szCs w:val="16"/>
                <w:color w:val="auto"/>
              </w:rPr>
              <w:t>206,929</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NMF</w:t>
            </w:r>
          </w:p>
        </w:tc>
      </w:tr>
      <w:tr>
        <w:trPr>
          <w:trHeight w:val="553"/>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r>
      <w:tr>
        <w:trPr>
          <w:trHeight w:val="257"/>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5,280</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287.3%</w:t>
            </w:r>
          </w:p>
        </w:tc>
      </w:tr>
    </w:tbl>
    <w:p>
      <w:pPr>
        <w:spacing w:after="0" w:line="19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7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Reconciliation</w:t>
      </w:r>
    </w:p>
    <w:p>
      <w:pPr>
        <w:spacing w:after="0" w:line="19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Company has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gridSpan w:val="3"/>
          </w:tcPr>
          <w:p>
            <w:pPr>
              <w:spacing w:after="0"/>
              <w:rPr>
                <w:sz w:val="20"/>
                <w:szCs w:val="20"/>
                <w:color w:val="auto"/>
              </w:rPr>
            </w:pPr>
            <w:r>
              <w:rPr>
                <w:rFonts w:ascii="Arial" w:cs="Arial" w:eastAsia="Arial" w:hAnsi="Arial"/>
                <w:sz w:val="16"/>
                <w:szCs w:val="16"/>
                <w:color w:val="auto"/>
              </w:rPr>
              <w:t>The following table reconciles net income to consolidated Adjusted EBITDA.</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91"/>
        </w:trPr>
        <w:tc>
          <w:tcPr>
            <w:tcW w:w="4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4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Nov 26,</w:t>
            </w:r>
          </w:p>
        </w:tc>
        <w:tc>
          <w:tcPr>
            <w:tcW w:w="320" w:type="dxa"/>
            <w:vAlign w:val="bottom"/>
          </w:tcPr>
          <w:p>
            <w:pPr>
              <w:spacing w:after="0"/>
              <w:rPr>
                <w:sz w:val="17"/>
                <w:szCs w:val="17"/>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Nov 28,</w:t>
            </w:r>
          </w:p>
        </w:tc>
      </w:tr>
      <w:tr>
        <w:trPr>
          <w:trHeight w:val="228"/>
        </w:trPr>
        <w:tc>
          <w:tcPr>
            <w:tcW w:w="420" w:type="dxa"/>
            <w:vAlign w:val="bottom"/>
          </w:tcPr>
          <w:p>
            <w:pPr>
              <w:spacing w:after="0"/>
              <w:rPr>
                <w:sz w:val="19"/>
                <w:szCs w:val="19"/>
                <w:color w:val="auto"/>
              </w:rPr>
            </w:pPr>
          </w:p>
        </w:tc>
        <w:tc>
          <w:tcPr>
            <w:tcW w:w="7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r>
      <w:tr>
        <w:trPr>
          <w:trHeight w:val="257"/>
        </w:trPr>
        <w:tc>
          <w:tcPr>
            <w:tcW w:w="420" w:type="dxa"/>
            <w:vAlign w:val="bottom"/>
          </w:tcPr>
          <w:p>
            <w:pPr>
              <w:spacing w:after="0"/>
              <w:rPr>
                <w:sz w:val="22"/>
                <w:szCs w:val="22"/>
                <w:color w:val="auto"/>
              </w:rPr>
            </w:pPr>
          </w:p>
        </w:tc>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11,738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8,558</w:t>
            </w:r>
          </w:p>
        </w:tc>
      </w:tr>
      <w:tr>
        <w:trPr>
          <w:trHeight w:val="260"/>
        </w:trPr>
        <w:tc>
          <w:tcPr>
            <w:tcW w:w="420" w:type="dxa"/>
            <w:vAlign w:val="bottom"/>
          </w:tcPr>
          <w:p>
            <w:pPr>
              <w:spacing w:after="0"/>
              <w:rPr>
                <w:sz w:val="22"/>
                <w:szCs w:val="22"/>
                <w:color w:val="auto"/>
              </w:rPr>
            </w:pP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420" w:type="dxa"/>
            <w:vAlign w:val="bottom"/>
          </w:tcPr>
          <w:p>
            <w:pPr>
              <w:spacing w:after="0"/>
              <w:rPr>
                <w:sz w:val="24"/>
                <w:szCs w:val="24"/>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Provision for taxes</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5,620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4,336</w:t>
            </w:r>
          </w:p>
        </w:tc>
      </w:tr>
      <w:tr>
        <w:trPr>
          <w:trHeight w:val="260"/>
        </w:trPr>
        <w:tc>
          <w:tcPr>
            <w:tcW w:w="420" w:type="dxa"/>
            <w:vAlign w:val="bottom"/>
          </w:tcPr>
          <w:p>
            <w:pPr>
              <w:spacing w:after="0"/>
              <w:rPr>
                <w:sz w:val="22"/>
                <w:szCs w:val="22"/>
                <w:color w:val="auto"/>
              </w:rPr>
            </w:pP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2"/>
                <w:szCs w:val="22"/>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1,370</w:t>
            </w:r>
          </w:p>
        </w:tc>
      </w:tr>
      <w:tr>
        <w:trPr>
          <w:trHeight w:val="273"/>
        </w:trPr>
        <w:tc>
          <w:tcPr>
            <w:tcW w:w="420" w:type="dxa"/>
            <w:vAlign w:val="bottom"/>
          </w:tcPr>
          <w:p>
            <w:pPr>
              <w:spacing w:after="0"/>
              <w:rPr>
                <w:sz w:val="23"/>
                <w:szCs w:val="23"/>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7"/>
        </w:trPr>
        <w:tc>
          <w:tcPr>
            <w:tcW w:w="420" w:type="dxa"/>
            <w:vAlign w:val="bottom"/>
          </w:tcPr>
          <w:p>
            <w:pPr>
              <w:spacing w:after="0"/>
              <w:rPr>
                <w:sz w:val="21"/>
                <w:szCs w:val="21"/>
                <w:color w:val="auto"/>
              </w:rPr>
            </w:pPr>
          </w:p>
        </w:tc>
        <w:tc>
          <w:tcPr>
            <w:tcW w:w="756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1"/>
                <w:szCs w:val="21"/>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22,117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14,264</w:t>
            </w:r>
          </w:p>
        </w:tc>
      </w:tr>
      <w:tr>
        <w:trPr>
          <w:trHeight w:val="280"/>
        </w:trPr>
        <w:tc>
          <w:tcPr>
            <w:tcW w:w="420" w:type="dxa"/>
            <w:vAlign w:val="bottom"/>
          </w:tcPr>
          <w:p>
            <w:pPr>
              <w:spacing w:after="0"/>
              <w:rPr>
                <w:sz w:val="24"/>
                <w:szCs w:val="24"/>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Postretirement health care benefit income</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(1,345)</w:t>
            </w:r>
          </w:p>
        </w:tc>
      </w:tr>
      <w:tr>
        <w:trPr>
          <w:trHeight w:val="260"/>
        </w:trPr>
        <w:tc>
          <w:tcPr>
            <w:tcW w:w="420" w:type="dxa"/>
            <w:vAlign w:val="bottom"/>
          </w:tcPr>
          <w:p>
            <w:pPr>
              <w:spacing w:after="0"/>
              <w:rPr>
                <w:sz w:val="22"/>
                <w:szCs w:val="22"/>
                <w:color w:val="auto"/>
              </w:rPr>
            </w:pP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Transaction costs</w:t>
            </w:r>
          </w:p>
        </w:tc>
        <w:tc>
          <w:tcPr>
            <w:tcW w:w="320" w:type="dxa"/>
            <w:vAlign w:val="bottom"/>
          </w:tcPr>
          <w:p>
            <w:pPr>
              <w:spacing w:after="0"/>
              <w:rPr>
                <w:sz w:val="22"/>
                <w:szCs w:val="22"/>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420" w:type="dxa"/>
            <w:vAlign w:val="bottom"/>
          </w:tcPr>
          <w:p>
            <w:pPr>
              <w:spacing w:after="0"/>
              <w:rPr>
                <w:sz w:val="23"/>
                <w:szCs w:val="23"/>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Non-operating income</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r>
      <w:tr>
        <w:trPr>
          <w:trHeight w:val="240"/>
        </w:trPr>
        <w:tc>
          <w:tcPr>
            <w:tcW w:w="420" w:type="dxa"/>
            <w:vAlign w:val="bottom"/>
          </w:tcPr>
          <w:p>
            <w:pPr>
              <w:spacing w:after="0"/>
              <w:rPr>
                <w:sz w:val="20"/>
                <w:szCs w:val="20"/>
                <w:color w:val="auto"/>
              </w:rPr>
            </w:pPr>
          </w:p>
        </w:tc>
        <w:tc>
          <w:tcPr>
            <w:tcW w:w="75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14,679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12,784</w:t>
            </w:r>
          </w:p>
        </w:tc>
      </w:tr>
      <w:tr>
        <w:trPr>
          <w:trHeight w:val="20"/>
        </w:trPr>
        <w:tc>
          <w:tcPr>
            <w:tcW w:w="4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The Company has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they exclude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results from terminating the plan and the transaction costs related to our acquisition of Grand Design RV.</w:t>
      </w:r>
    </w:p>
    <w:p>
      <w:pPr>
        <w:spacing w:after="0" w:line="18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Management uses these non-GAAP financial measures (a) to evaluate the Company’s historical and prospective financial performance as well as its performance relative to competitors and peers as they assist in highlighting trends;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2019-12-05T12:33:09Z</dcterms:created>
  <dcterms:modified xsi:type="dcterms:W3CDTF">2019-12-05T12:33:09Z</dcterms:modified>
</cp:coreProperties>
</file>