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39"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144780</wp:posOffset>
            </wp:positionH>
            <wp:positionV relativeFrom="page">
              <wp:posOffset>985520</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jc w:val="center"/>
        <w:ind w:right="-79"/>
        <w:spacing w:after="0"/>
        <w:rPr>
          <w:sz w:val="20"/>
          <w:szCs w:val="20"/>
          <w:color w:val="auto"/>
        </w:rPr>
      </w:pPr>
      <w:r>
        <w:rPr>
          <w:rFonts w:ascii="Arial" w:cs="Arial" w:eastAsia="Arial" w:hAnsi="Arial"/>
          <w:sz w:val="22"/>
          <w:szCs w:val="22"/>
          <w:b w:val="1"/>
          <w:bCs w:val="1"/>
          <w:color w:val="auto"/>
        </w:rPr>
        <w:t>UNITED STATES</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369"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2774950</wp:posOffset>
            </wp:positionH>
            <wp:positionV relativeFrom="paragraph">
              <wp:posOffset>-302895</wp:posOffset>
            </wp:positionV>
            <wp:extent cx="170688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06880" cy="17145"/>
                    </a:xfrm>
                    <a:prstGeom prst="rect">
                      <a:avLst/>
                    </a:prstGeom>
                    <a:noFill/>
                  </pic:spPr>
                </pic:pic>
              </a:graphicData>
            </a:graphic>
          </wp:anchor>
        </w:drawing>
        <w:drawing>
          <wp:anchor simplePos="0" relativeHeight="251657728" behindDoc="1" locked="0" layoutInCell="0" allowOverlap="1">
            <wp:simplePos x="0" y="0"/>
            <wp:positionH relativeFrom="column">
              <wp:posOffset>2774950</wp:posOffset>
            </wp:positionH>
            <wp:positionV relativeFrom="paragraph">
              <wp:posOffset>31115</wp:posOffset>
            </wp:positionV>
            <wp:extent cx="17068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06880" cy="17145"/>
                    </a:xfrm>
                    <a:prstGeom prst="rect">
                      <a:avLst/>
                    </a:prstGeom>
                    <a:noFill/>
                  </pic:spPr>
                </pic:pic>
              </a:graphicData>
            </a:graphic>
          </wp:anchor>
        </w:drawing>
      </w:r>
    </w:p>
    <w:p>
      <w:pPr>
        <w:spacing w:after="0" w:line="200" w:lineRule="exact"/>
        <w:rPr>
          <w:sz w:val="24"/>
          <w:szCs w:val="24"/>
          <w:color w:val="auto"/>
        </w:rPr>
      </w:pPr>
    </w:p>
    <w:p>
      <w:pPr>
        <w:spacing w:after="0" w:line="31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15"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Date of report (Date of earliest event reported) March 18,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2774950</wp:posOffset>
            </wp:positionH>
            <wp:positionV relativeFrom="paragraph">
              <wp:posOffset>247650</wp:posOffset>
            </wp:positionV>
            <wp:extent cx="170688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06880" cy="17145"/>
                    </a:xfrm>
                    <a:prstGeom prst="rect">
                      <a:avLst/>
                    </a:prstGeom>
                    <a:noFill/>
                  </pic:spPr>
                </pic:pic>
              </a:graphicData>
            </a:graphic>
          </wp:anchor>
        </w:drawing>
      </w:r>
    </w:p>
    <w:p>
      <w:pPr>
        <w:spacing w:after="0" w:line="200" w:lineRule="exact"/>
        <w:rPr>
          <w:sz w:val="24"/>
          <w:szCs w:val="24"/>
          <w:color w:val="auto"/>
        </w:rPr>
      </w:pPr>
    </w:p>
    <w:p>
      <w:pPr>
        <w:spacing w:after="0" w:line="369"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Winnebago Industries, Inc.</w:t>
      </w:r>
    </w:p>
    <w:p>
      <w:pPr>
        <w:spacing w:after="0" w:line="50"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(Exact Name of Registrant as Specified in its Charter)</w:t>
      </w:r>
    </w:p>
    <w:p>
      <w:pPr>
        <w:spacing w:after="0" w:line="367" w:lineRule="exact"/>
        <w:rPr>
          <w:sz w:val="24"/>
          <w:szCs w:val="24"/>
          <w:color w:val="auto"/>
        </w:rPr>
      </w:pPr>
    </w:p>
    <w:tbl>
      <w:tblPr>
        <w:tblLayout w:type="fixed"/>
        <w:tblInd w:w="1360" w:type="dxa"/>
        <w:tblCellMar>
          <w:top w:w="0" w:type="dxa"/>
          <w:left w:w="0" w:type="dxa"/>
          <w:bottom w:w="0" w:type="dxa"/>
          <w:right w:w="0" w:type="dxa"/>
        </w:tblCellMar>
      </w:tblPr>
      <w:tr>
        <w:trPr>
          <w:trHeight w:val="220"/>
        </w:trPr>
        <w:tc>
          <w:tcPr>
            <w:tcW w:w="3460" w:type="dxa"/>
            <w:vAlign w:val="bottom"/>
          </w:tcPr>
          <w:p>
            <w:pPr>
              <w:jc w:val="center"/>
              <w:ind w:right="430"/>
              <w:spacing w:after="0"/>
              <w:rPr>
                <w:sz w:val="20"/>
                <w:szCs w:val="20"/>
                <w:color w:val="auto"/>
              </w:rPr>
            </w:pPr>
            <w:r>
              <w:rPr>
                <w:rFonts w:ascii="Arial" w:cs="Arial" w:eastAsia="Arial" w:hAnsi="Arial"/>
                <w:sz w:val="18"/>
                <w:szCs w:val="18"/>
                <w:b w:val="1"/>
                <w:bCs w:val="1"/>
                <w:color w:val="auto"/>
                <w:w w:val="94"/>
              </w:rPr>
              <w:t>Iowa</w:t>
            </w:r>
          </w:p>
        </w:tc>
        <w:tc>
          <w:tcPr>
            <w:tcW w:w="3140" w:type="dxa"/>
            <w:vAlign w:val="bottom"/>
          </w:tcPr>
          <w:p>
            <w:pPr>
              <w:jc w:val="right"/>
              <w:ind w:right="1130"/>
              <w:spacing w:after="0"/>
              <w:rPr>
                <w:sz w:val="20"/>
                <w:szCs w:val="20"/>
                <w:color w:val="auto"/>
              </w:rPr>
            </w:pPr>
            <w:r>
              <w:rPr>
                <w:rFonts w:ascii="Arial" w:cs="Arial" w:eastAsia="Arial" w:hAnsi="Arial"/>
                <w:sz w:val="18"/>
                <w:szCs w:val="18"/>
                <w:b w:val="1"/>
                <w:bCs w:val="1"/>
                <w:color w:val="auto"/>
              </w:rPr>
              <w:t>001-06403</w:t>
            </w:r>
          </w:p>
        </w:tc>
        <w:tc>
          <w:tcPr>
            <w:tcW w:w="1940" w:type="dxa"/>
            <w:vAlign w:val="bottom"/>
          </w:tcPr>
          <w:p>
            <w:pPr>
              <w:jc w:val="center"/>
              <w:ind w:left="530"/>
              <w:spacing w:after="0"/>
              <w:rPr>
                <w:sz w:val="20"/>
                <w:szCs w:val="20"/>
                <w:color w:val="auto"/>
              </w:rPr>
            </w:pPr>
            <w:r>
              <w:rPr>
                <w:rFonts w:ascii="Arial" w:cs="Arial" w:eastAsia="Arial" w:hAnsi="Arial"/>
                <w:sz w:val="18"/>
                <w:szCs w:val="18"/>
                <w:b w:val="1"/>
                <w:bCs w:val="1"/>
                <w:color w:val="auto"/>
                <w:w w:val="91"/>
              </w:rPr>
              <w:t>42-0802678</w:t>
            </w:r>
          </w:p>
        </w:tc>
      </w:tr>
      <w:tr>
        <w:trPr>
          <w:trHeight w:val="216"/>
        </w:trPr>
        <w:tc>
          <w:tcPr>
            <w:tcW w:w="3460" w:type="dxa"/>
            <w:vAlign w:val="bottom"/>
          </w:tcPr>
          <w:p>
            <w:pPr>
              <w:jc w:val="center"/>
              <w:ind w:right="450"/>
              <w:spacing w:after="0"/>
              <w:rPr>
                <w:sz w:val="20"/>
                <w:szCs w:val="20"/>
                <w:color w:val="auto"/>
              </w:rPr>
            </w:pPr>
            <w:r>
              <w:rPr>
                <w:rFonts w:ascii="Arial" w:cs="Arial" w:eastAsia="Arial" w:hAnsi="Arial"/>
                <w:sz w:val="18"/>
                <w:szCs w:val="18"/>
                <w:color w:val="auto"/>
                <w:w w:val="91"/>
              </w:rPr>
              <w:t>(State or Other Jurisdiction</w:t>
            </w:r>
          </w:p>
        </w:tc>
        <w:tc>
          <w:tcPr>
            <w:tcW w:w="3140" w:type="dxa"/>
            <w:vAlign w:val="bottom"/>
          </w:tcPr>
          <w:p>
            <w:pPr>
              <w:jc w:val="center"/>
              <w:spacing w:after="0"/>
              <w:rPr>
                <w:sz w:val="20"/>
                <w:szCs w:val="20"/>
                <w:color w:val="auto"/>
              </w:rPr>
            </w:pPr>
            <w:r>
              <w:rPr>
                <w:rFonts w:ascii="Arial" w:cs="Arial" w:eastAsia="Arial" w:hAnsi="Arial"/>
                <w:sz w:val="18"/>
                <w:szCs w:val="18"/>
                <w:color w:val="auto"/>
                <w:w w:val="92"/>
              </w:rPr>
              <w:t>(Commission File Number)</w:t>
            </w:r>
          </w:p>
        </w:tc>
        <w:tc>
          <w:tcPr>
            <w:tcW w:w="1940" w:type="dxa"/>
            <w:vAlign w:val="bottom"/>
          </w:tcPr>
          <w:p>
            <w:pPr>
              <w:jc w:val="center"/>
              <w:ind w:left="530"/>
              <w:spacing w:after="0"/>
              <w:rPr>
                <w:sz w:val="20"/>
                <w:szCs w:val="20"/>
                <w:color w:val="auto"/>
              </w:rPr>
            </w:pPr>
            <w:r>
              <w:rPr>
                <w:rFonts w:ascii="Arial" w:cs="Arial" w:eastAsia="Arial" w:hAnsi="Arial"/>
                <w:sz w:val="18"/>
                <w:szCs w:val="18"/>
                <w:color w:val="auto"/>
                <w:w w:val="92"/>
              </w:rPr>
              <w:t>(IRS Employer</w:t>
            </w:r>
          </w:p>
        </w:tc>
      </w:tr>
      <w:tr>
        <w:trPr>
          <w:trHeight w:val="230"/>
        </w:trPr>
        <w:tc>
          <w:tcPr>
            <w:tcW w:w="3460" w:type="dxa"/>
            <w:vAlign w:val="bottom"/>
          </w:tcPr>
          <w:p>
            <w:pPr>
              <w:jc w:val="center"/>
              <w:ind w:right="450"/>
              <w:spacing w:after="0"/>
              <w:rPr>
                <w:sz w:val="20"/>
                <w:szCs w:val="20"/>
                <w:color w:val="auto"/>
              </w:rPr>
            </w:pPr>
            <w:r>
              <w:rPr>
                <w:rFonts w:ascii="Arial" w:cs="Arial" w:eastAsia="Arial" w:hAnsi="Arial"/>
                <w:sz w:val="18"/>
                <w:szCs w:val="18"/>
                <w:color w:val="auto"/>
                <w:w w:val="94"/>
              </w:rPr>
              <w:t>of Incorporation)</w:t>
            </w:r>
          </w:p>
        </w:tc>
        <w:tc>
          <w:tcPr>
            <w:tcW w:w="3140" w:type="dxa"/>
            <w:vAlign w:val="bottom"/>
          </w:tcPr>
          <w:p>
            <w:pPr>
              <w:spacing w:after="0"/>
              <w:rPr>
                <w:sz w:val="20"/>
                <w:szCs w:val="20"/>
                <w:color w:val="auto"/>
              </w:rPr>
            </w:pPr>
          </w:p>
        </w:tc>
        <w:tc>
          <w:tcPr>
            <w:tcW w:w="1940" w:type="dxa"/>
            <w:vAlign w:val="bottom"/>
          </w:tcPr>
          <w:p>
            <w:pPr>
              <w:jc w:val="center"/>
              <w:ind w:left="510"/>
              <w:spacing w:after="0"/>
              <w:rPr>
                <w:sz w:val="20"/>
                <w:szCs w:val="20"/>
                <w:color w:val="auto"/>
              </w:rPr>
            </w:pPr>
            <w:r>
              <w:rPr>
                <w:rFonts w:ascii="Arial" w:cs="Arial" w:eastAsia="Arial" w:hAnsi="Arial"/>
                <w:sz w:val="18"/>
                <w:szCs w:val="18"/>
                <w:color w:val="auto"/>
                <w:w w:val="95"/>
              </w:rPr>
              <w:t>Identification No.)</w:t>
            </w:r>
          </w:p>
        </w:tc>
      </w:tr>
      <w:tr>
        <w:trPr>
          <w:trHeight w:val="269"/>
        </w:trPr>
        <w:tc>
          <w:tcPr>
            <w:tcW w:w="3460" w:type="dxa"/>
            <w:vAlign w:val="bottom"/>
          </w:tcPr>
          <w:p>
            <w:pPr>
              <w:jc w:val="center"/>
              <w:ind w:right="450"/>
              <w:spacing w:after="0"/>
              <w:rPr>
                <w:sz w:val="20"/>
                <w:szCs w:val="20"/>
                <w:color w:val="auto"/>
              </w:rPr>
            </w:pPr>
            <w:r>
              <w:rPr>
                <w:rFonts w:ascii="Arial" w:cs="Arial" w:eastAsia="Arial" w:hAnsi="Arial"/>
                <w:sz w:val="18"/>
                <w:szCs w:val="18"/>
                <w:b w:val="1"/>
                <w:bCs w:val="1"/>
                <w:color w:val="auto"/>
                <w:w w:val="90"/>
              </w:rPr>
              <w:t>P.O. Box 152, Forest City, Iowa</w:t>
            </w:r>
          </w:p>
        </w:tc>
        <w:tc>
          <w:tcPr>
            <w:tcW w:w="3140" w:type="dxa"/>
            <w:vAlign w:val="bottom"/>
          </w:tcPr>
          <w:p>
            <w:pPr>
              <w:spacing w:after="0"/>
              <w:rPr>
                <w:sz w:val="23"/>
                <w:szCs w:val="23"/>
                <w:color w:val="auto"/>
              </w:rPr>
            </w:pPr>
          </w:p>
        </w:tc>
        <w:tc>
          <w:tcPr>
            <w:tcW w:w="1940" w:type="dxa"/>
            <w:vAlign w:val="bottom"/>
          </w:tcPr>
          <w:p>
            <w:pPr>
              <w:jc w:val="center"/>
              <w:ind w:left="570"/>
              <w:spacing w:after="0"/>
              <w:rPr>
                <w:sz w:val="20"/>
                <w:szCs w:val="20"/>
                <w:color w:val="auto"/>
              </w:rPr>
            </w:pPr>
            <w:r>
              <w:rPr>
                <w:rFonts w:ascii="Arial" w:cs="Arial" w:eastAsia="Arial" w:hAnsi="Arial"/>
                <w:sz w:val="18"/>
                <w:szCs w:val="18"/>
                <w:b w:val="1"/>
                <w:bCs w:val="1"/>
                <w:color w:val="auto"/>
                <w:w w:val="87"/>
              </w:rPr>
              <w:t>50436</w:t>
            </w:r>
          </w:p>
        </w:tc>
      </w:tr>
      <w:tr>
        <w:trPr>
          <w:trHeight w:val="230"/>
        </w:trPr>
        <w:tc>
          <w:tcPr>
            <w:tcW w:w="3460" w:type="dxa"/>
            <w:vAlign w:val="bottom"/>
          </w:tcPr>
          <w:p>
            <w:pPr>
              <w:jc w:val="center"/>
              <w:ind w:right="430"/>
              <w:spacing w:after="0"/>
              <w:rPr>
                <w:sz w:val="20"/>
                <w:szCs w:val="20"/>
                <w:color w:val="auto"/>
              </w:rPr>
            </w:pPr>
            <w:r>
              <w:rPr>
                <w:rFonts w:ascii="Arial" w:cs="Arial" w:eastAsia="Arial" w:hAnsi="Arial"/>
                <w:sz w:val="18"/>
                <w:szCs w:val="18"/>
                <w:color w:val="auto"/>
                <w:w w:val="92"/>
              </w:rPr>
              <w:t>(Address of Principal Executive Offices)</w:t>
            </w:r>
          </w:p>
        </w:tc>
        <w:tc>
          <w:tcPr>
            <w:tcW w:w="3140" w:type="dxa"/>
            <w:vAlign w:val="bottom"/>
          </w:tcPr>
          <w:p>
            <w:pPr>
              <w:spacing w:after="0"/>
              <w:rPr>
                <w:sz w:val="20"/>
                <w:szCs w:val="20"/>
                <w:color w:val="auto"/>
              </w:rPr>
            </w:pPr>
          </w:p>
        </w:tc>
        <w:tc>
          <w:tcPr>
            <w:tcW w:w="1940" w:type="dxa"/>
            <w:vAlign w:val="bottom"/>
          </w:tcPr>
          <w:p>
            <w:pPr>
              <w:jc w:val="center"/>
              <w:ind w:left="530"/>
              <w:spacing w:after="0"/>
              <w:rPr>
                <w:sz w:val="20"/>
                <w:szCs w:val="20"/>
                <w:color w:val="auto"/>
              </w:rPr>
            </w:pPr>
            <w:r>
              <w:rPr>
                <w:rFonts w:ascii="Arial" w:cs="Arial" w:eastAsia="Arial" w:hAnsi="Arial"/>
                <w:sz w:val="18"/>
                <w:szCs w:val="18"/>
                <w:color w:val="auto"/>
                <w:w w:val="94"/>
              </w:rPr>
              <w:t>(Zip Code)</w:t>
            </w:r>
          </w:p>
        </w:tc>
      </w:tr>
    </w:tbl>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641-585-3535</w:t>
      </w:r>
    </w:p>
    <w:p>
      <w:pPr>
        <w:spacing w:after="0" w:line="249" w:lineRule="exact"/>
        <w:rPr>
          <w:sz w:val="24"/>
          <w:szCs w:val="24"/>
          <w:color w:val="auto"/>
        </w:rPr>
      </w:pPr>
    </w:p>
    <w:p>
      <w:pPr>
        <w:ind w:left="2100"/>
        <w:spacing w:after="0"/>
        <w:rPr>
          <w:sz w:val="20"/>
          <w:szCs w:val="20"/>
          <w:color w:val="auto"/>
        </w:rPr>
      </w:pPr>
      <w:r>
        <w:rPr>
          <w:rFonts w:ascii="Arial" w:cs="Arial" w:eastAsia="Arial" w:hAnsi="Arial"/>
          <w:sz w:val="22"/>
          <w:szCs w:val="22"/>
          <w:color w:val="auto"/>
        </w:rPr>
        <w:t>___________________________________________________________________</w:t>
      </w:r>
    </w:p>
    <w:p>
      <w:pPr>
        <w:spacing w:after="0" w:line="13"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2774950</wp:posOffset>
            </wp:positionH>
            <wp:positionV relativeFrom="paragraph">
              <wp:posOffset>245110</wp:posOffset>
            </wp:positionV>
            <wp:extent cx="17068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06880" cy="17145"/>
                    </a:xfrm>
                    <a:prstGeom prst="rect">
                      <a:avLst/>
                    </a:prstGeom>
                    <a:noFill/>
                  </pic:spPr>
                </pic:pic>
              </a:graphicData>
            </a:graphic>
          </wp:anchor>
        </w:drawing>
      </w:r>
    </w:p>
    <w:p>
      <w:pPr>
        <w:spacing w:after="0" w:line="200" w:lineRule="exact"/>
        <w:rPr>
          <w:sz w:val="24"/>
          <w:szCs w:val="24"/>
          <w:color w:val="auto"/>
        </w:rPr>
      </w:pPr>
    </w:p>
    <w:p>
      <w:pPr>
        <w:spacing w:after="0" w:line="394"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333" w:lineRule="exact"/>
        <w:rPr>
          <w:sz w:val="24"/>
          <w:szCs w:val="24"/>
          <w:color w:val="auto"/>
        </w:rPr>
      </w:pPr>
    </w:p>
    <w:p>
      <w:pPr>
        <w:ind w:left="420" w:hanging="412"/>
        <w:spacing w:after="0"/>
        <w:tabs>
          <w:tab w:leader="none" w:pos="4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420" w:hanging="412"/>
        <w:spacing w:after="0"/>
        <w:tabs>
          <w:tab w:leader="none" w:pos="4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420" w:hanging="412"/>
        <w:spacing w:after="0"/>
        <w:tabs>
          <w:tab w:leader="none" w:pos="4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420" w:hanging="412"/>
        <w:spacing w:after="0"/>
        <w:tabs>
          <w:tab w:leader="none" w:pos="4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516890</wp:posOffset>
            </wp:positionV>
            <wp:extent cx="72720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4"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Item 2.02 Results of Operations and Financial Condition.</w:t>
      </w:r>
    </w:p>
    <w:p>
      <w:pPr>
        <w:spacing w:after="0" w:line="14"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Item 7.01 Regulation FD Disclosure</w:t>
      </w:r>
    </w:p>
    <w:p>
      <w:pPr>
        <w:spacing w:after="0" w:line="114" w:lineRule="exact"/>
        <w:rPr>
          <w:sz w:val="24"/>
          <w:szCs w:val="24"/>
          <w:color w:val="auto"/>
        </w:rPr>
      </w:pPr>
    </w:p>
    <w:p>
      <w:pPr>
        <w:spacing w:after="0" w:line="264" w:lineRule="auto"/>
        <w:rPr>
          <w:sz w:val="20"/>
          <w:szCs w:val="20"/>
          <w:color w:val="auto"/>
        </w:rPr>
      </w:pPr>
      <w:r>
        <w:rPr>
          <w:rFonts w:ascii="Arial" w:cs="Arial" w:eastAsia="Arial" w:hAnsi="Arial"/>
          <w:sz w:val="18"/>
          <w:szCs w:val="18"/>
          <w:color w:val="auto"/>
        </w:rPr>
        <w:t>Winnebago Industries, Inc. is filing herewith a press release issued on March 18, 2010, as Exhibit 99.1 which is included herein. The press release was issued to report earnings for the second quarter fiscal 2010 ended February 27, 2010 and to announce that, on March 18 2010, it had filed a shelf registration statement on Form S-3 with the Securities and Exchange Commission.</w:t>
      </w:r>
    </w:p>
    <w:p>
      <w:pPr>
        <w:spacing w:after="0" w:line="87"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73" w:lineRule="exact"/>
        <w:rPr>
          <w:sz w:val="24"/>
          <w:szCs w:val="24"/>
          <w:color w:val="auto"/>
        </w:rPr>
      </w:pPr>
    </w:p>
    <w:p>
      <w:pPr>
        <w:ind w:left="420" w:hanging="412"/>
        <w:spacing w:after="0"/>
        <w:tabs>
          <w:tab w:leader="none" w:pos="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356" w:lineRule="exact"/>
        <w:rPr>
          <w:sz w:val="24"/>
          <w:szCs w:val="24"/>
          <w:color w:val="auto"/>
        </w:rPr>
      </w:pPr>
    </w:p>
    <w:p>
      <w:pPr>
        <w:ind w:left="480"/>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4"/>
          <w:szCs w:val="24"/>
          <w:color w:val="auto"/>
        </w:rPr>
      </w:pPr>
    </w:p>
    <w:p>
      <w:pPr>
        <w:ind w:left="480"/>
        <w:spacing w:after="0"/>
        <w:tabs>
          <w:tab w:leader="none" w:pos="146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Description</w:t>
      </w:r>
    </w:p>
    <w:p>
      <w:pPr>
        <w:spacing w:after="0" w:line="62" w:lineRule="exact"/>
        <w:rPr>
          <w:sz w:val="24"/>
          <w:szCs w:val="24"/>
          <w:color w:val="auto"/>
        </w:rPr>
      </w:pPr>
    </w:p>
    <w:p>
      <w:pPr>
        <w:ind w:left="700"/>
        <w:spacing w:after="0"/>
        <w:tabs>
          <w:tab w:leader="none" w:pos="14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Press release of Winnebago Industries, Inc. dated March 18, 2010.</w:t>
      </w:r>
    </w:p>
    <w:p>
      <w:pPr>
        <w:sectPr>
          <w:pgSz w:w="11900" w:h="16838" w:orient="portrait"/>
          <w:cols w:equalWidth="0" w:num="1">
            <w:col w:w="11360"/>
          </w:cols>
          <w:pgMar w:left="240" w:top="1440" w:right="299" w:bottom="140" w:gutter="0" w:footer="0" w:header="0"/>
        </w:sectPr>
      </w:pPr>
    </w:p>
    <w:bookmarkStart w:id="1" w:name="page2"/>
    <w:bookmarkEnd w:id="1"/>
    <w:p>
      <w:pPr>
        <w:jc w:val="center"/>
        <w:spacing w:after="0"/>
        <w:rPr>
          <w:sz w:val="20"/>
          <w:szCs w:val="20"/>
          <w:color w:val="auto"/>
        </w:rPr>
      </w:pPr>
      <w:r>
        <w:rPr>
          <w:rFonts w:ascii="Arial" w:cs="Arial" w:eastAsia="Arial" w:hAnsi="Arial"/>
          <w:sz w:val="22"/>
          <w:szCs w:val="22"/>
          <w:b w:val="1"/>
          <w:bCs w:val="1"/>
          <w:color w:val="auto"/>
        </w:rPr>
        <w:t>SIGNATURES</w:t>
      </w:r>
    </w:p>
    <w:p>
      <w:pPr>
        <w:spacing w:after="0" w:line="13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98" w:lineRule="exact"/>
        <w:rPr>
          <w:sz w:val="20"/>
          <w:szCs w:val="20"/>
          <w:color w:val="auto"/>
        </w:rPr>
      </w:pPr>
    </w:p>
    <w:p>
      <w:pPr>
        <w:ind w:left="40"/>
        <w:spacing w:after="0"/>
        <w:tabs>
          <w:tab w:leader="none" w:pos="4980" w:val="left"/>
        </w:tabs>
        <w:rPr>
          <w:sz w:val="20"/>
          <w:szCs w:val="20"/>
          <w:color w:val="auto"/>
        </w:rPr>
      </w:pPr>
      <w:r>
        <w:rPr>
          <w:rFonts w:ascii="Arial" w:cs="Arial" w:eastAsia="Arial" w:hAnsi="Arial"/>
          <w:sz w:val="18"/>
          <w:szCs w:val="18"/>
          <w:color w:val="auto"/>
        </w:rPr>
        <w:t>Dated: March 18, 2010</w:t>
      </w:r>
      <w:r>
        <w:rPr>
          <w:sz w:val="20"/>
          <w:szCs w:val="20"/>
          <w:color w:val="auto"/>
        </w:rPr>
        <w:tab/>
      </w:r>
      <w:r>
        <w:rPr>
          <w:rFonts w:ascii="Arial" w:cs="Arial" w:eastAsia="Arial" w:hAnsi="Arial"/>
          <w:sz w:val="21"/>
          <w:szCs w:val="21"/>
          <w:color w:val="auto"/>
        </w:rPr>
        <w:t>W</w:t>
      </w:r>
      <w:r>
        <w:rPr>
          <w:rFonts w:ascii="Arial" w:cs="Arial" w:eastAsia="Arial" w:hAnsi="Arial"/>
          <w:sz w:val="12"/>
          <w:szCs w:val="12"/>
          <w:color w:val="auto"/>
        </w:rPr>
        <w:t>INNEBAGO</w:t>
      </w:r>
      <w:r>
        <w:rPr>
          <w:rFonts w:ascii="Arial" w:cs="Arial" w:eastAsia="Arial" w:hAnsi="Arial"/>
          <w:sz w:val="21"/>
          <w:szCs w:val="21"/>
          <w:color w:val="auto"/>
        </w:rPr>
        <w:t xml:space="preserve"> I</w:t>
      </w:r>
      <w:r>
        <w:rPr>
          <w:rFonts w:ascii="Arial" w:cs="Arial" w:eastAsia="Arial" w:hAnsi="Arial"/>
          <w:sz w:val="12"/>
          <w:szCs w:val="12"/>
          <w:color w:val="auto"/>
        </w:rPr>
        <w:t>NDUSTRIES,</w:t>
      </w:r>
      <w:r>
        <w:rPr>
          <w:rFonts w:ascii="Arial" w:cs="Arial" w:eastAsia="Arial" w:hAnsi="Arial"/>
          <w:sz w:val="21"/>
          <w:szCs w:val="21"/>
          <w:color w:val="auto"/>
        </w:rPr>
        <w:t xml:space="preserve"> I</w:t>
      </w:r>
      <w:r>
        <w:rPr>
          <w:rFonts w:ascii="Arial" w:cs="Arial" w:eastAsia="Arial" w:hAnsi="Arial"/>
          <w:sz w:val="12"/>
          <w:szCs w:val="12"/>
          <w:color w:val="auto"/>
        </w:rPr>
        <w:t>NC.</w:t>
      </w:r>
    </w:p>
    <w:p>
      <w:pPr>
        <w:spacing w:after="0" w:line="76" w:lineRule="exact"/>
        <w:rPr>
          <w:sz w:val="20"/>
          <w:szCs w:val="20"/>
          <w:color w:val="auto"/>
        </w:rPr>
      </w:pPr>
    </w:p>
    <w:tbl>
      <w:tblPr>
        <w:tblLayout w:type="fixed"/>
        <w:tblInd w:w="500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5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J. Olson</w:t>
            </w:r>
          </w:p>
        </w:tc>
      </w:tr>
      <w:tr>
        <w:trPr>
          <w:trHeight w:val="195"/>
        </w:trPr>
        <w:tc>
          <w:tcPr>
            <w:tcW w:w="7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720" w:type="dxa"/>
            <w:vAlign w:val="bottom"/>
          </w:tcPr>
          <w:p>
            <w:pPr>
              <w:spacing w:after="0" w:line="195" w:lineRule="exact"/>
              <w:rPr>
                <w:sz w:val="20"/>
                <w:szCs w:val="20"/>
                <w:color w:val="auto"/>
              </w:rPr>
            </w:pPr>
            <w:r>
              <w:rPr>
                <w:rFonts w:ascii="Arial" w:cs="Arial" w:eastAsia="Arial" w:hAnsi="Arial"/>
                <w:sz w:val="18"/>
                <w:szCs w:val="18"/>
                <w:color w:val="auto"/>
              </w:rPr>
              <w:t>Robert J. Olson</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5720" w:type="dxa"/>
            <w:vAlign w:val="bottom"/>
          </w:tcPr>
          <w:p>
            <w:pPr>
              <w:spacing w:after="0"/>
              <w:rPr>
                <w:sz w:val="20"/>
                <w:szCs w:val="20"/>
                <w:color w:val="auto"/>
              </w:rPr>
            </w:pPr>
            <w:r>
              <w:rPr>
                <w:rFonts w:ascii="Arial" w:cs="Arial" w:eastAsia="Arial" w:hAnsi="Arial"/>
                <w:sz w:val="18"/>
                <w:szCs w:val="18"/>
                <w:color w:val="auto"/>
              </w:rPr>
              <w:t>Chairman of the Board, Chief Executive Officer and President</w:t>
            </w:r>
          </w:p>
        </w:tc>
      </w:tr>
    </w:tbl>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EXHIBIT INDEX</w:t>
      </w:r>
    </w:p>
    <w:p>
      <w:pPr>
        <w:spacing w:after="0" w:line="350"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ind w:left="480"/>
        <w:spacing w:after="0"/>
        <w:tabs>
          <w:tab w:leader="none" w:pos="146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Description</w:t>
      </w:r>
    </w:p>
    <w:p>
      <w:pPr>
        <w:spacing w:after="0" w:line="62" w:lineRule="exact"/>
        <w:rPr>
          <w:sz w:val="20"/>
          <w:szCs w:val="20"/>
          <w:color w:val="auto"/>
        </w:rPr>
      </w:pPr>
    </w:p>
    <w:p>
      <w:pPr>
        <w:ind w:left="700"/>
        <w:spacing w:after="0"/>
        <w:tabs>
          <w:tab w:leader="none" w:pos="14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Press release of Winnebago Industries, Inc. dated March 18, 2010.</w:t>
      </w:r>
    </w:p>
    <w:p>
      <w:pPr>
        <w:sectPr>
          <w:pgSz w:w="11900" w:h="16838" w:orient="portrait"/>
          <w:cols w:equalWidth="0" w:num="1">
            <w:col w:w="11420"/>
          </w:cols>
          <w:pgMar w:left="240" w:top="111"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Contact: Sheila Davis – PR/IR Mgr. - 641-585-6803 – sdavis@winnebagoind.com</w:t>
      </w:r>
    </w:p>
    <w:p>
      <w:pPr>
        <w:spacing w:after="0" w:line="217"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WINNEBAGO INDUSTRIES REPORTS IMPROVED RESULTS FOR</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SECOND QUARTER FISCAL 2010</w:t>
      </w:r>
    </w:p>
    <w:p>
      <w:pPr>
        <w:jc w:val="center"/>
        <w:ind w:right="-19"/>
        <w:spacing w:after="0"/>
        <w:rPr>
          <w:sz w:val="20"/>
          <w:szCs w:val="20"/>
          <w:color w:val="auto"/>
        </w:rPr>
      </w:pPr>
      <w:r>
        <w:rPr>
          <w:rFonts w:ascii="Arial" w:cs="Arial" w:eastAsia="Arial" w:hAnsi="Arial"/>
          <w:sz w:val="18"/>
          <w:szCs w:val="18"/>
          <w:color w:val="auto"/>
        </w:rPr>
        <w:t>-- Motor Home Unit Deliveries Increase over 250 Percent --</w:t>
      </w:r>
    </w:p>
    <w:p>
      <w:pPr>
        <w:spacing w:after="0" w:line="239"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FOREST CITY, IOWA, March 18, 2010– Winnebago Industries, Inc. (NYSE:WGO), the leading United States motor home manufacturer, today reported improved financial results for the Company’s second quarter of fiscal year 2010.</w:t>
      </w:r>
    </w:p>
    <w:p>
      <w:pPr>
        <w:spacing w:after="0" w:line="224" w:lineRule="exact"/>
        <w:rPr>
          <w:sz w:val="20"/>
          <w:szCs w:val="20"/>
          <w:color w:val="auto"/>
        </w:rPr>
      </w:pPr>
    </w:p>
    <w:p>
      <w:pPr>
        <w:ind w:right="100"/>
        <w:spacing w:after="0" w:line="234" w:lineRule="auto"/>
        <w:rPr>
          <w:sz w:val="20"/>
          <w:szCs w:val="20"/>
          <w:color w:val="auto"/>
        </w:rPr>
      </w:pPr>
      <w:r>
        <w:rPr>
          <w:rFonts w:ascii="Arial" w:cs="Arial" w:eastAsia="Arial" w:hAnsi="Arial"/>
          <w:sz w:val="18"/>
          <w:szCs w:val="18"/>
          <w:color w:val="auto"/>
        </w:rPr>
        <w:t>Revenues for the second quarter of fiscal 2010 ended February 27, 2010 were $110.5 million, an increase of 247 percent, versus $31.8 million for the second quarter of fiscal 2009. The second quarter of fiscal 2010 was positively impacted by a significant increase in motor home unit deliveries, particularly in the Class A category, which resulted in an increase in production volumes and greater efficiencies and higher utilization of the manufacturing facilities. The Company reported an operating loss of $1.9 million for the quarter, versus an operating loss</w:t>
      </w:r>
    </w:p>
    <w:p>
      <w:pPr>
        <w:spacing w:after="0" w:line="3"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of $18.6 million for the second quarter of fiscal 2009. Net income for the second quarter was $706,000 versus a net loss of $10.4 million for the second quarter of fiscal 2009. On a diluted per share basis, the Company had net income of $.02&lt; /font&gt; for the second quarter of fiscal 2010 versus a net loss of $.36 for the second quarter of fiscal 2009. The net income for the second quarter reflected the positive impact of $ 2.2 million in tax benefits associated with various tax planning initiatives and tax settlements; however, no tax benefits have been recorded on second quarter fiscal 2010 pre-tax losses which are not immediately subject to refund.</w:t>
      </w:r>
    </w:p>
    <w:p>
      <w:pPr>
        <w:spacing w:after="0" w:line="189"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Revenues for the first six months of fiscal 2010 were $191.5 million, an increase of 89 percent, versus revenues of $101.2 million for the first six months of fiscal 2009. The Company reported an operating loss of $7.8 million for the first six months of fiscal 2010, versus an operating loss of $35.5 million for the first six months of fiscal 2009. Net loss for the first six months of fiscal of 2010 was $638,000, or $.02 per diluted share, versus an operating loss of $2.0 million, or $.69 per diluted share for the first six months of the last fiscal year. The net loss for the first six months of fiscal 2010 reflected the positive impact of $4.9 million in tax benefits associated with additional fiscal year 2009 net operating loss carryback due to recent tax law changes and the additional $2.2 million of second quarter tax benefits associated with various tax planning initiatives and tax settlements; however, no tax benefits have been recorded on the first six months of fiscal 2010 pre-tax losses which are not immediately subject to refund.</w:t>
      </w:r>
    </w:p>
    <w:p>
      <w:pPr>
        <w:spacing w:after="0" w:line="195"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“We are pleased to see a continued trend of sequential growth in revenues and gross profit,” said Winnebago Industries’ Chairman, CEO and President Bob Olson. "After hitting our lowest shipment levels in decades during the second quarter last year, we have seen improvement in revenues and gross profit each quarter since that time. We also saw a sequential increase in dealer inventory this past quarter for the first time in two years as we increased our production levels to satisfy our sales order backlog. While we are encouraged with these improvements, the economic outlook remains uncertain and we believe retail sales will be the key driver to sustain our recovery and for continued growth going forward."</w:t>
      </w:r>
    </w:p>
    <w:p>
      <w:pPr>
        <w:spacing w:after="0" w:line="192" w:lineRule="exact"/>
        <w:rPr>
          <w:sz w:val="20"/>
          <w:szCs w:val="20"/>
          <w:color w:val="auto"/>
        </w:rPr>
      </w:pPr>
    </w:p>
    <w:p>
      <w:pPr>
        <w:ind w:right="240"/>
        <w:spacing w:after="0" w:line="246" w:lineRule="auto"/>
        <w:rPr>
          <w:sz w:val="20"/>
          <w:szCs w:val="20"/>
          <w:color w:val="auto"/>
        </w:rPr>
      </w:pPr>
      <w:r>
        <w:rPr>
          <w:rFonts w:ascii="Arial" w:cs="Arial" w:eastAsia="Arial" w:hAnsi="Arial"/>
          <w:sz w:val="18"/>
          <w:szCs w:val="18"/>
          <w:color w:val="auto"/>
        </w:rPr>
        <w:t>Winnebago Industries’ sales order backlog was 1,159 motor homes at February 27, 2010, an increase of 246.0% compared to the end of the second quarter of fiscal 2009.</w:t>
      </w:r>
    </w:p>
    <w:p>
      <w:pPr>
        <w:spacing w:after="0" w:line="183" w:lineRule="exact"/>
        <w:rPr>
          <w:sz w:val="20"/>
          <w:szCs w:val="20"/>
          <w:color w:val="auto"/>
        </w:rPr>
      </w:pPr>
    </w:p>
    <w:p>
      <w:pPr>
        <w:ind w:right="200"/>
        <w:spacing w:after="0" w:line="246" w:lineRule="auto"/>
        <w:rPr>
          <w:sz w:val="20"/>
          <w:szCs w:val="20"/>
          <w:color w:val="auto"/>
        </w:rPr>
      </w:pPr>
      <w:r>
        <w:rPr>
          <w:rFonts w:ascii="Arial" w:cs="Arial" w:eastAsia="Arial" w:hAnsi="Arial"/>
          <w:sz w:val="18"/>
          <w:szCs w:val="18"/>
          <w:color w:val="auto"/>
        </w:rPr>
        <w:t>According to Statistical Surveys, Inc., the retail reporting service for the RV industry, Winnebago Industries continues to lead the industry in retail sales of Class A and Class C motor homes combined with 19.2 percent for calendar 2009, compared to 18.3 percent for calendar 2008.</w:t>
      </w:r>
    </w:p>
    <w:p>
      <w:pPr>
        <w:spacing w:after="0" w:line="183"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auto"/>
        </w:rPr>
        <w:t>Cash and equivalents increased by $5.0 million in the first six months of fiscal 2010. A major component of this was the receipt of a federal tax refund of $21.9 million. As a result, cash and cash equivalents at the end of the quarter were $41.6 million.</w:t>
      </w:r>
    </w:p>
    <w:p>
      <w:pPr>
        <w:spacing w:after="0" w:line="183"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Separately, the Company filed today a shelf registration statement on Form S-3 (the Registration Statement) with the Securities and Exchange Commission (the SEC) to provide additional financial flexibility. If and when the Registration Statement is declared effective by the SEC, the Company will have the ability to sell up to $35 million of its common stock in one or more offerings. Currently, there are no plans to use the Registration Statement; however the Company believes that it will provide another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2720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source of liquidity in addition to the alternatives already in place. The terms of any offering under the Registration Statement will be established at the time of any offering.</w:t>
      </w:r>
    </w:p>
    <w:p>
      <w:pPr>
        <w:spacing w:after="0" w:line="183"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The Registration Statement relating to these securities has been filed with the SEC, but has not yet become effective. These securities may not be sold nor may offers to buy be accepted prior to the time the Registration Statement becomes effective. This press release shall not constitute an offer to sell or the solicitation of an offer to buy, nor shall there be any sale of the securities in any jurisdiction in which such offer, solicitation or sale would be unlawful prior to registration or qualification under the securities laws of any such jurisdiction.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Conference Call</w:t>
      </w:r>
    </w:p>
    <w:p>
      <w:pPr>
        <w:ind w:right="180"/>
        <w:spacing w:after="0" w:line="239" w:lineRule="auto"/>
        <w:rPr>
          <w:sz w:val="20"/>
          <w:szCs w:val="20"/>
          <w:color w:val="auto"/>
        </w:rPr>
      </w:pPr>
      <w:r>
        <w:rPr>
          <w:rFonts w:ascii="Arial" w:cs="Arial" w:eastAsia="Arial" w:hAnsi="Arial"/>
          <w:sz w:val="18"/>
          <w:szCs w:val="18"/>
          <w:color w:val="auto"/>
        </w:rPr>
        <w:t xml:space="preserve">Winnebago Industries, Inc. will conduct a conference call in conjunction with this release at 9 a.m. Central Time today, Thursday, March 18, 2010. Members of the news media, investors and the general public are invited to access a live broadcast of the conference call via the Investor Relations page of the Company's website at </w:t>
      </w:r>
      <w:r>
        <w:rPr>
          <w:rFonts w:ascii="Arial" w:cs="Arial" w:eastAsia="Arial" w:hAnsi="Arial"/>
          <w:sz w:val="18"/>
          <w:szCs w:val="18"/>
          <w:u w:val="single" w:color="auto"/>
          <w:color w:val="auto"/>
        </w:rPr>
        <w:t>http://www.winnebagoind.com/investor.html</w:t>
      </w:r>
      <w:r>
        <w:rPr>
          <w:rFonts w:ascii="Arial" w:cs="Arial" w:eastAsia="Arial" w:hAnsi="Arial"/>
          <w:sz w:val="18"/>
          <w:szCs w:val="18"/>
          <w:color w:val="auto"/>
        </w:rPr>
        <w:t>. The event will be archived and available for replay for the next 90 days.</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About Winnebago Industries</w:t>
      </w:r>
    </w:p>
    <w:p>
      <w:pPr>
        <w:ind w:right="40"/>
        <w:spacing w:after="0" w:line="237" w:lineRule="auto"/>
        <w:rPr>
          <w:sz w:val="20"/>
          <w:szCs w:val="20"/>
          <w:color w:val="auto"/>
        </w:rPr>
      </w:pPr>
      <w:r>
        <w:rPr>
          <w:rFonts w:ascii="Arial" w:cs="Arial" w:eastAsia="Arial" w:hAnsi="Arial"/>
          <w:sz w:val="18"/>
          <w:szCs w:val="18"/>
          <w:color w:val="auto"/>
        </w:rPr>
        <w:t xml:space="preserve">Winnebago Industries, Inc. is the leading U.S. manufacturer of motor homes which are self-contained recreation vehicles used primarily in leisure travel and outdoor recreation activities. The Company builds quality motor homes under the Winnebago, Itasca and ERA brand names with state-of-the-art computer-aided design and manufacturing systems on automotive-styled assembly lines. The Company’s common stock is listed on the New York and Chicago Stock Exchanges and traded under the symbol WGO. Options for the Company’s common stock are traded on the Chicago Board Options Exchange. For access to Winnebago Industries’ investor relations material or to add your name to an automatic email list for Company news releases, visit, </w:t>
      </w:r>
      <w:r>
        <w:rPr>
          <w:rFonts w:ascii="Arial" w:cs="Arial" w:eastAsia="Arial" w:hAnsi="Arial"/>
          <w:sz w:val="18"/>
          <w:szCs w:val="18"/>
          <w:u w:val="single" w:color="auto"/>
          <w:color w:val="auto"/>
        </w:rPr>
        <w:t>http://www.winnebagoind.com/investor.html</w:t>
      </w:r>
      <w:r>
        <w:rPr>
          <w:rFonts w:ascii="Arial" w:cs="Arial" w:eastAsia="Arial" w:hAnsi="Arial"/>
          <w:sz w:val="18"/>
          <w:szCs w:val="18"/>
          <w:color w:val="auto"/>
        </w:rPr>
        <w:t>.</w:t>
      </w:r>
    </w:p>
    <w:p>
      <w:pPr>
        <w:spacing w:after="0" w:line="192"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This press release may contain forward-looking statements within the meaning of the Private Securities Litigation Reform Act of 1995. Investors are cautioned that forward-looking statements are inherently uncertain. A number of factors could cause actual results to differ materially from these statements, including, but not limited to interest rates and availability of credit, low consumer confidence, significant increase in repurchase obligations, inadequate liquidity or capital resources, availability and price of fuel, a further or continued slowdown in the economy,</w:t>
      </w:r>
    </w:p>
    <w:p>
      <w:pPr>
        <w:sectPr>
          <w:pgSz w:w="11900" w:h="16838" w:orient="portrait"/>
          <w:cols w:equalWidth="0" w:num="1">
            <w:col w:w="11420"/>
          </w:cols>
          <w:pgMar w:left="240" w:top="625" w:right="239" w:bottom="0" w:gutter="0" w:footer="0" w:header="0"/>
        </w:sectPr>
      </w:pPr>
    </w:p>
    <w:bookmarkStart w:id="3" w:name="page4"/>
    <w:bookmarkEnd w:id="3"/>
    <w:p>
      <w:pPr>
        <w:spacing w:after="0" w:line="62" w:lineRule="exact"/>
        <w:rPr>
          <w:sz w:val="20"/>
          <w:szCs w:val="20"/>
          <w:color w:val="auto"/>
        </w:rPr>
      </w:pPr>
    </w:p>
    <w:p>
      <w:pPr>
        <w:ind w:right="80"/>
        <w:spacing w:after="0" w:line="234" w:lineRule="auto"/>
        <w:rPr>
          <w:sz w:val="20"/>
          <w:szCs w:val="20"/>
          <w:color w:val="auto"/>
        </w:rPr>
      </w:pPr>
      <w:r>
        <w:rPr>
          <w:rFonts w:ascii="Arial" w:cs="Arial" w:eastAsia="Arial" w:hAnsi="Arial"/>
          <w:sz w:val="18"/>
          <w:szCs w:val="18"/>
          <w:color w:val="auto"/>
        </w:rPr>
        <w:t>availability of chassis and other key component parts, sales order cancellations, slower than anticipated sales of new or existing products, new product introductions by competitors, the effect of global tensions, and other factors. Additional information concerning certain risks and uncertainties that could cause actual results to differ materially from that projected or suggest ed is contained in the Company’s filings with the SEC over the last 12 months, copies of which are available from the SEC or from the Company upon request.</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431165</wp:posOffset>
            </wp:positionV>
            <wp:extent cx="72720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Winnebago Industries, Inc.</w:t>
      </w:r>
    </w:p>
    <w:p>
      <w:pPr>
        <w:spacing w:after="0" w:line="13"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Unaudited Statements of Income</w:t>
      </w:r>
    </w:p>
    <w:p>
      <w:pPr>
        <w:ind w:left="3580"/>
        <w:spacing w:after="0"/>
        <w:rPr>
          <w:sz w:val="20"/>
          <w:szCs w:val="20"/>
          <w:color w:val="auto"/>
        </w:rPr>
      </w:pPr>
      <w:r>
        <w:rPr>
          <w:rFonts w:ascii="Arial" w:cs="Arial" w:eastAsia="Arial" w:hAnsi="Arial"/>
          <w:sz w:val="18"/>
          <w:szCs w:val="18"/>
          <w:b w:val="1"/>
          <w:bCs w:val="1"/>
          <w:color w:val="auto"/>
        </w:rPr>
        <w:t>(In thousands, except percent and per share data)</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760" w:type="dxa"/>
            <w:vAlign w:val="bottom"/>
            <w:tcBorders>
              <w:bottom w:val="single" w:sz="8" w:color="auto"/>
            </w:tcBorders>
            <w:gridSpan w:val="6"/>
          </w:tcPr>
          <w:p>
            <w:pPr>
              <w:ind w:left="620"/>
              <w:spacing w:after="0"/>
              <w:rPr>
                <w:sz w:val="20"/>
                <w:szCs w:val="20"/>
                <w:color w:val="auto"/>
              </w:rPr>
            </w:pPr>
            <w:r>
              <w:rPr>
                <w:rFonts w:ascii="Arial" w:cs="Arial" w:eastAsia="Arial" w:hAnsi="Arial"/>
                <w:sz w:val="18"/>
                <w:szCs w:val="18"/>
                <w:b w:val="1"/>
                <w:bCs w:val="1"/>
                <w:color w:val="auto"/>
              </w:rPr>
              <w:t>Quarter Ended</w:t>
            </w:r>
          </w:p>
        </w:tc>
        <w:tc>
          <w:tcPr>
            <w:tcW w:w="108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10"/>
        </w:trPr>
        <w:tc>
          <w:tcPr>
            <w:tcW w:w="6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3"/>
          </w:tcPr>
          <w:p>
            <w:pPr>
              <w:jc w:val="right"/>
              <w:ind w:right="170"/>
              <w:spacing w:after="0"/>
              <w:rPr>
                <w:sz w:val="20"/>
                <w:szCs w:val="20"/>
                <w:color w:val="auto"/>
              </w:rPr>
            </w:pPr>
            <w:r>
              <w:rPr>
                <w:rFonts w:ascii="Arial" w:cs="Arial" w:eastAsia="Arial" w:hAnsi="Arial"/>
                <w:sz w:val="18"/>
                <w:szCs w:val="18"/>
                <w:b w:val="1"/>
                <w:bCs w:val="1"/>
                <w:color w:val="auto"/>
              </w:rPr>
              <w:t>February 27, 2010</w:t>
            </w:r>
          </w:p>
        </w:tc>
        <w:tc>
          <w:tcPr>
            <w:tcW w:w="200" w:type="dxa"/>
            <w:vAlign w:val="bottom"/>
            <w:tcBorders>
              <w:bottom w:val="single" w:sz="8" w:color="auto"/>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3"/>
          </w:tcPr>
          <w:p>
            <w:pPr>
              <w:jc w:val="right"/>
              <w:ind w:right="350"/>
              <w:spacing w:after="0"/>
              <w:rPr>
                <w:sz w:val="20"/>
                <w:szCs w:val="20"/>
                <w:color w:val="auto"/>
              </w:rPr>
            </w:pPr>
            <w:r>
              <w:rPr>
                <w:rFonts w:ascii="Arial" w:cs="Arial" w:eastAsia="Arial" w:hAnsi="Arial"/>
                <w:sz w:val="18"/>
                <w:szCs w:val="18"/>
                <w:b w:val="1"/>
                <w:bCs w:val="1"/>
                <w:color w:val="auto"/>
              </w:rPr>
              <w:t>February 28, 2009</w:t>
            </w:r>
          </w:p>
        </w:tc>
        <w:tc>
          <w:tcPr>
            <w:tcW w:w="20" w:type="dxa"/>
            <w:vAlign w:val="bottom"/>
          </w:tcPr>
          <w:p>
            <w:pPr>
              <w:spacing w:after="0"/>
              <w:rPr>
                <w:sz w:val="18"/>
                <w:szCs w:val="18"/>
                <w:color w:val="auto"/>
              </w:rPr>
            </w:pPr>
          </w:p>
        </w:tc>
      </w:tr>
      <w:tr>
        <w:trPr>
          <w:trHeight w:val="210"/>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110,529</w:t>
            </w:r>
          </w:p>
        </w:tc>
        <w:tc>
          <w:tcPr>
            <w:tcW w:w="26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100.0 %</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31,808</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20" w:type="dxa"/>
            <w:vAlign w:val="bottom"/>
          </w:tcPr>
          <w:p>
            <w:pPr>
              <w:spacing w:after="0"/>
              <w:rPr>
                <w:sz w:val="18"/>
                <w:szCs w:val="18"/>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Cost of goods sold</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105,745</w:t>
            </w:r>
          </w:p>
        </w:tc>
        <w:tc>
          <w:tcPr>
            <w:tcW w:w="260" w:type="dxa"/>
            <w:vAlign w:val="bottom"/>
          </w:tcPr>
          <w:p>
            <w:pPr>
              <w:spacing w:after="0"/>
              <w:rPr>
                <w:sz w:val="18"/>
                <w:szCs w:val="18"/>
                <w:color w:val="auto"/>
              </w:rPr>
            </w:pPr>
          </w:p>
        </w:tc>
        <w:tc>
          <w:tcPr>
            <w:tcW w:w="1420" w:type="dxa"/>
            <w:vAlign w:val="bottom"/>
            <w:gridSpan w:val="3"/>
          </w:tcPr>
          <w:p>
            <w:pPr>
              <w:jc w:val="right"/>
              <w:ind w:right="340"/>
              <w:spacing w:after="0"/>
              <w:rPr>
                <w:sz w:val="20"/>
                <w:szCs w:val="20"/>
                <w:color w:val="auto"/>
              </w:rPr>
            </w:pPr>
            <w:r>
              <w:rPr>
                <w:rFonts w:ascii="Arial" w:cs="Arial" w:eastAsia="Arial" w:hAnsi="Arial"/>
                <w:sz w:val="18"/>
                <w:szCs w:val="18"/>
                <w:color w:val="auto"/>
              </w:rPr>
              <w:t>95.7 %</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43,600</w:t>
            </w:r>
          </w:p>
        </w:tc>
        <w:tc>
          <w:tcPr>
            <w:tcW w:w="26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137.1 %</w:t>
            </w:r>
          </w:p>
        </w:tc>
      </w:tr>
      <w:tr>
        <w:trPr>
          <w:trHeight w:val="196"/>
        </w:trPr>
        <w:tc>
          <w:tcPr>
            <w:tcW w:w="6240" w:type="dxa"/>
            <w:vAlign w:val="bottom"/>
            <w:tcBorders>
              <w:top w:val="single" w:sz="8" w:color="CCEEFF"/>
            </w:tcBorders>
            <w:shd w:val="clear" w:color="auto" w:fill="CCEEFF"/>
          </w:tcPr>
          <w:p>
            <w:pPr>
              <w:ind w:left="240"/>
              <w:spacing w:after="0" w:line="196" w:lineRule="exact"/>
              <w:rPr>
                <w:sz w:val="20"/>
                <w:szCs w:val="20"/>
                <w:color w:val="auto"/>
              </w:rPr>
            </w:pPr>
            <w:r>
              <w:rPr>
                <w:rFonts w:ascii="Arial" w:cs="Arial" w:eastAsia="Arial" w:hAnsi="Arial"/>
                <w:sz w:val="18"/>
                <w:szCs w:val="18"/>
                <w:color w:val="auto"/>
              </w:rPr>
              <w:t>Gross profit (deficit)</w:t>
            </w: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4,784</w:t>
            </w:r>
          </w:p>
        </w:tc>
        <w:tc>
          <w:tcPr>
            <w:tcW w:w="26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4.3</w:t>
            </w:r>
          </w:p>
        </w:tc>
        <w:tc>
          <w:tcPr>
            <w:tcW w:w="2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(11,792)</w:t>
            </w:r>
          </w:p>
        </w:tc>
        <w:tc>
          <w:tcPr>
            <w:tcW w:w="26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(37.1)%</w:t>
            </w:r>
          </w:p>
        </w:tc>
        <w:tc>
          <w:tcPr>
            <w:tcW w:w="20" w:type="dxa"/>
            <w:vAlign w:val="bottom"/>
          </w:tcPr>
          <w:p>
            <w:pPr>
              <w:spacing w:after="0"/>
              <w:rPr>
                <w:sz w:val="17"/>
                <w:szCs w:val="17"/>
                <w:color w:val="auto"/>
              </w:rPr>
            </w:pPr>
          </w:p>
        </w:tc>
      </w:tr>
      <w:tr>
        <w:trPr>
          <w:trHeight w:val="210"/>
        </w:trPr>
        <w:tc>
          <w:tcPr>
            <w:tcW w:w="6240" w:type="dxa"/>
            <w:vAlign w:val="bottom"/>
          </w:tcPr>
          <w:p>
            <w:pPr>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Selling</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3,102</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5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2,816</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8.8 %</w:t>
            </w:r>
          </w:p>
        </w:tc>
        <w:tc>
          <w:tcPr>
            <w:tcW w:w="20" w:type="dxa"/>
            <w:vAlign w:val="bottom"/>
          </w:tcPr>
          <w:p>
            <w:pPr>
              <w:spacing w:after="0"/>
              <w:rPr>
                <w:sz w:val="18"/>
                <w:szCs w:val="18"/>
                <w:color w:val="auto"/>
              </w:rPr>
            </w:pPr>
          </w:p>
        </w:tc>
      </w:tr>
      <w:tr>
        <w:trPr>
          <w:trHeight w:val="216"/>
        </w:trPr>
        <w:tc>
          <w:tcPr>
            <w:tcW w:w="6240" w:type="dxa"/>
            <w:vAlign w:val="bottom"/>
          </w:tcPr>
          <w:p>
            <w:pPr>
              <w:ind w:left="240"/>
              <w:spacing w:after="0"/>
              <w:rPr>
                <w:sz w:val="20"/>
                <w:szCs w:val="20"/>
                <w:color w:val="auto"/>
              </w:rPr>
            </w:pPr>
            <w:r>
              <w:rPr>
                <w:rFonts w:ascii="Arial" w:cs="Arial" w:eastAsia="Arial" w:hAnsi="Arial"/>
                <w:sz w:val="18"/>
                <w:szCs w:val="18"/>
                <w:color w:val="auto"/>
              </w:rPr>
              <w:t>General and administrative</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3,540</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w:t>
            </w:r>
          </w:p>
        </w:tc>
        <w:tc>
          <w:tcPr>
            <w:tcW w:w="5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4,003</w:t>
            </w:r>
          </w:p>
        </w:tc>
        <w:tc>
          <w:tcPr>
            <w:tcW w:w="26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12.6 %</w:t>
            </w:r>
          </w:p>
        </w:tc>
      </w:tr>
      <w:tr>
        <w:trPr>
          <w:trHeight w:val="196"/>
        </w:trPr>
        <w:tc>
          <w:tcPr>
            <w:tcW w:w="6240" w:type="dxa"/>
            <w:vAlign w:val="bottom"/>
            <w:tcBorders>
              <w:top w:val="single" w:sz="8" w:color="CCEEFF"/>
            </w:tcBorders>
            <w:shd w:val="clear" w:color="auto" w:fill="CCEEFF"/>
          </w:tcPr>
          <w:p>
            <w:pPr>
              <w:ind w:left="240"/>
              <w:spacing w:after="0" w:line="196" w:lineRule="exact"/>
              <w:rPr>
                <w:sz w:val="20"/>
                <w:szCs w:val="20"/>
                <w:color w:val="auto"/>
              </w:rPr>
            </w:pPr>
            <w:r>
              <w:rPr>
                <w:rFonts w:ascii="Arial" w:cs="Arial" w:eastAsia="Arial" w:hAnsi="Arial"/>
                <w:sz w:val="18"/>
                <w:szCs w:val="18"/>
                <w:color w:val="auto"/>
              </w:rPr>
              <w:t>Total operating expenses</w:t>
            </w: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6,642</w:t>
            </w:r>
          </w:p>
        </w:tc>
        <w:tc>
          <w:tcPr>
            <w:tcW w:w="26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6.0</w:t>
            </w:r>
          </w:p>
        </w:tc>
        <w:tc>
          <w:tcPr>
            <w:tcW w:w="2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6,819</w:t>
            </w:r>
          </w:p>
        </w:tc>
        <w:tc>
          <w:tcPr>
            <w:tcW w:w="26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21.4 %</w:t>
            </w:r>
          </w:p>
        </w:tc>
        <w:tc>
          <w:tcPr>
            <w:tcW w:w="20" w:type="dxa"/>
            <w:vAlign w:val="bottom"/>
          </w:tcPr>
          <w:p>
            <w:pPr>
              <w:spacing w:after="0"/>
              <w:rPr>
                <w:sz w:val="17"/>
                <w:szCs w:val="17"/>
                <w:color w:val="auto"/>
              </w:rPr>
            </w:pPr>
          </w:p>
        </w:tc>
      </w:tr>
      <w:tr>
        <w:trPr>
          <w:trHeight w:val="196"/>
        </w:trPr>
        <w:tc>
          <w:tcPr>
            <w:tcW w:w="6240" w:type="dxa"/>
            <w:vAlign w:val="bottom"/>
          </w:tcPr>
          <w:p>
            <w:pPr>
              <w:spacing w:after="0" w:line="196" w:lineRule="exact"/>
              <w:rPr>
                <w:sz w:val="20"/>
                <w:szCs w:val="20"/>
                <w:color w:val="auto"/>
              </w:rPr>
            </w:pPr>
            <w:r>
              <w:rPr>
                <w:rFonts w:ascii="Arial" w:cs="Arial" w:eastAsia="Arial" w:hAnsi="Arial"/>
                <w:sz w:val="18"/>
                <w:szCs w:val="18"/>
                <w:color w:val="auto"/>
              </w:rPr>
              <w:t>Operating loss</w:t>
            </w:r>
          </w:p>
        </w:tc>
        <w:tc>
          <w:tcPr>
            <w:tcW w:w="24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(1,858)</w:t>
            </w:r>
          </w:p>
        </w:tc>
        <w:tc>
          <w:tcPr>
            <w:tcW w:w="260" w:type="dxa"/>
            <w:vAlign w:val="bottom"/>
          </w:tcPr>
          <w:p>
            <w:pPr>
              <w:spacing w:after="0"/>
              <w:rPr>
                <w:sz w:val="17"/>
                <w:szCs w:val="17"/>
                <w:color w:val="auto"/>
              </w:rPr>
            </w:pPr>
          </w:p>
        </w:tc>
        <w:tc>
          <w:tcPr>
            <w:tcW w:w="10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(1.7)%</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(18,611)</w:t>
            </w:r>
          </w:p>
        </w:tc>
        <w:tc>
          <w:tcPr>
            <w:tcW w:w="260" w:type="dxa"/>
            <w:vAlign w:val="bottom"/>
          </w:tcPr>
          <w:p>
            <w:pPr>
              <w:spacing w:after="0"/>
              <w:rPr>
                <w:sz w:val="17"/>
                <w:szCs w:val="17"/>
                <w:color w:val="auto"/>
              </w:rPr>
            </w:pPr>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(58.5)%</w:t>
            </w:r>
          </w:p>
        </w:tc>
        <w:tc>
          <w:tcPr>
            <w:tcW w:w="20" w:type="dxa"/>
            <w:vAlign w:val="bottom"/>
          </w:tcPr>
          <w:p>
            <w:pPr>
              <w:spacing w:after="0"/>
              <w:rPr>
                <w:sz w:val="17"/>
                <w:szCs w:val="17"/>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Financial income</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26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0.3 %</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20" w:type="dxa"/>
            <w:vAlign w:val="bottom"/>
          </w:tcPr>
          <w:p>
            <w:pPr>
              <w:spacing w:after="0"/>
              <w:rPr>
                <w:sz w:val="18"/>
                <w:szCs w:val="18"/>
                <w:color w:val="auto"/>
              </w:rPr>
            </w:pPr>
          </w:p>
        </w:tc>
      </w:tr>
      <w:tr>
        <w:trPr>
          <w:trHeight w:val="196"/>
        </w:trPr>
        <w:tc>
          <w:tcPr>
            <w:tcW w:w="6240" w:type="dxa"/>
            <w:vAlign w:val="bottom"/>
          </w:tcPr>
          <w:p>
            <w:pPr>
              <w:spacing w:after="0" w:line="196" w:lineRule="exact"/>
              <w:rPr>
                <w:sz w:val="20"/>
                <w:szCs w:val="20"/>
                <w:color w:val="auto"/>
              </w:rPr>
            </w:pPr>
            <w:r>
              <w:rPr>
                <w:rFonts w:ascii="Arial" w:cs="Arial" w:eastAsia="Arial" w:hAnsi="Arial"/>
                <w:sz w:val="18"/>
                <w:szCs w:val="18"/>
                <w:color w:val="auto"/>
              </w:rPr>
              <w:t>Loss before income taxes</w:t>
            </w:r>
          </w:p>
        </w:tc>
        <w:tc>
          <w:tcPr>
            <w:tcW w:w="2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(1,494)</w:t>
            </w:r>
          </w:p>
        </w:tc>
        <w:tc>
          <w:tcPr>
            <w:tcW w:w="260" w:type="dxa"/>
            <w:vAlign w:val="bottom"/>
          </w:tcPr>
          <w:p>
            <w:pPr>
              <w:spacing w:after="0"/>
              <w:rPr>
                <w:sz w:val="17"/>
                <w:szCs w:val="17"/>
                <w:color w:val="auto"/>
              </w:rPr>
            </w:pPr>
          </w:p>
        </w:tc>
        <w:tc>
          <w:tcPr>
            <w:tcW w:w="1080" w:type="dxa"/>
            <w:vAlign w:val="bottom"/>
            <w:tcBorders>
              <w:top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(1.4)%</w:t>
            </w:r>
          </w:p>
        </w:tc>
        <w:tc>
          <w:tcPr>
            <w:tcW w:w="34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(17,978)</w:t>
            </w:r>
          </w:p>
        </w:tc>
        <w:tc>
          <w:tcPr>
            <w:tcW w:w="260" w:type="dxa"/>
            <w:vAlign w:val="bottom"/>
          </w:tcPr>
          <w:p>
            <w:pPr>
              <w:spacing w:after="0"/>
              <w:rPr>
                <w:sz w:val="17"/>
                <w:szCs w:val="17"/>
                <w:color w:val="auto"/>
              </w:rPr>
            </w:pPr>
          </w:p>
        </w:tc>
        <w:tc>
          <w:tcPr>
            <w:tcW w:w="10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(56.5)%</w:t>
            </w:r>
          </w:p>
        </w:tc>
        <w:tc>
          <w:tcPr>
            <w:tcW w:w="20" w:type="dxa"/>
            <w:vAlign w:val="bottom"/>
          </w:tcPr>
          <w:p>
            <w:pPr>
              <w:spacing w:after="0"/>
              <w:rPr>
                <w:sz w:val="17"/>
                <w:szCs w:val="17"/>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Benefit for taxes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w:t>
            </w:r>
          </w:p>
        </w:tc>
        <w:tc>
          <w:tcPr>
            <w:tcW w:w="26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(2.0)%</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(7,597)</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20" w:type="dxa"/>
            <w:vAlign w:val="bottom"/>
          </w:tcPr>
          <w:p>
            <w:pPr>
              <w:spacing w:after="0"/>
              <w:rPr>
                <w:sz w:val="18"/>
                <w:szCs w:val="18"/>
                <w:color w:val="auto"/>
              </w:rPr>
            </w:pPr>
          </w:p>
        </w:tc>
      </w:tr>
      <w:tr>
        <w:trPr>
          <w:trHeight w:val="236"/>
        </w:trPr>
        <w:tc>
          <w:tcPr>
            <w:tcW w:w="6240" w:type="dxa"/>
            <w:vAlign w:val="bottom"/>
            <w:tcBorders>
              <w:bottom w:val="single" w:sz="8" w:color="CCEEFF"/>
            </w:tcBorders>
          </w:tcPr>
          <w:p>
            <w:pPr>
              <w:spacing w:after="0" w:line="196" w:lineRule="exact"/>
              <w:rPr>
                <w:sz w:val="20"/>
                <w:szCs w:val="20"/>
                <w:color w:val="auto"/>
              </w:rPr>
            </w:pPr>
            <w:r>
              <w:rPr>
                <w:rFonts w:ascii="Arial" w:cs="Arial" w:eastAsia="Arial" w:hAnsi="Arial"/>
                <w:sz w:val="18"/>
                <w:szCs w:val="18"/>
                <w:color w:val="auto"/>
              </w:rPr>
              <w:t>Net income (loss)</w:t>
            </w:r>
          </w:p>
        </w:tc>
        <w:tc>
          <w:tcPr>
            <w:tcW w:w="240" w:type="dxa"/>
            <w:vAlign w:val="bottom"/>
            <w:tcBorders>
              <w:top w:val="single" w:sz="8" w:color="auto"/>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706</w:t>
            </w:r>
          </w:p>
        </w:tc>
        <w:tc>
          <w:tcPr>
            <w:tcW w:w="260" w:type="dxa"/>
            <w:vAlign w:val="bottom"/>
            <w:tcBorders>
              <w:bottom w:val="single" w:sz="8" w:color="CCEEFF"/>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0.6</w:t>
            </w:r>
          </w:p>
        </w:tc>
        <w:tc>
          <w:tcPr>
            <w:tcW w:w="2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tcPr>
          <w:p>
            <w:pPr>
              <w:spacing w:after="0"/>
              <w:rPr>
                <w:sz w:val="20"/>
                <w:szCs w:val="20"/>
                <w:color w:val="auto"/>
              </w:rPr>
            </w:pPr>
          </w:p>
        </w:tc>
        <w:tc>
          <w:tcPr>
            <w:tcW w:w="260" w:type="dxa"/>
            <w:vAlign w:val="bottom"/>
            <w:tcBorders>
              <w:top w:val="single" w:sz="8" w:color="auto"/>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(10,381)</w:t>
            </w:r>
          </w:p>
        </w:tc>
        <w:tc>
          <w:tcPr>
            <w:tcW w:w="260" w:type="dxa"/>
            <w:vAlign w:val="bottom"/>
            <w:tcBorders>
              <w:bottom w:val="single" w:sz="8" w:color="CCEEFF"/>
            </w:tcBorders>
          </w:tcPr>
          <w:p>
            <w:pPr>
              <w:spacing w:after="0"/>
              <w:rPr>
                <w:sz w:val="20"/>
                <w:szCs w:val="20"/>
                <w:color w:val="auto"/>
              </w:rPr>
            </w:pPr>
          </w:p>
        </w:tc>
        <w:tc>
          <w:tcPr>
            <w:tcW w:w="10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(32.6)%</w:t>
            </w:r>
          </w:p>
        </w:tc>
        <w:tc>
          <w:tcPr>
            <w:tcW w:w="20" w:type="dxa"/>
            <w:vAlign w:val="bottom"/>
          </w:tcPr>
          <w:p>
            <w:pPr>
              <w:spacing w:after="0"/>
              <w:rPr>
                <w:sz w:val="20"/>
                <w:szCs w:val="20"/>
                <w:color w:val="auto"/>
              </w:rPr>
            </w:pPr>
          </w:p>
        </w:tc>
      </w:tr>
      <w:tr>
        <w:trPr>
          <w:trHeight w:val="197"/>
        </w:trPr>
        <w:tc>
          <w:tcPr>
            <w:tcW w:w="62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Income (loss) per common share:</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6240" w:type="dxa"/>
            <w:vAlign w:val="bottom"/>
          </w:tcPr>
          <w:p>
            <w:pPr>
              <w:ind w:left="240"/>
              <w:spacing w:after="0"/>
              <w:rPr>
                <w:sz w:val="20"/>
                <w:szCs w:val="20"/>
                <w:color w:val="auto"/>
              </w:rPr>
            </w:pPr>
            <w:r>
              <w:rPr>
                <w:rFonts w:ascii="Arial" w:cs="Arial" w:eastAsia="Arial" w:hAnsi="Arial"/>
                <w:sz w:val="18"/>
                <w:szCs w:val="18"/>
                <w:color w:val="auto"/>
              </w:rPr>
              <w:t>Basic</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0.02</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(0.36)</w:t>
            </w: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Diluted</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Weighted average common shares outstanding:</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Basic</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29,080</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29,037</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6240" w:type="dxa"/>
            <w:vAlign w:val="bottom"/>
          </w:tcPr>
          <w:p>
            <w:pPr>
              <w:ind w:left="240"/>
              <w:spacing w:after="0"/>
              <w:rPr>
                <w:sz w:val="20"/>
                <w:szCs w:val="20"/>
                <w:color w:val="auto"/>
              </w:rPr>
            </w:pPr>
            <w:r>
              <w:rPr>
                <w:rFonts w:ascii="Arial" w:cs="Arial" w:eastAsia="Arial" w:hAnsi="Arial"/>
                <w:sz w:val="18"/>
                <w:szCs w:val="18"/>
                <w:color w:val="auto"/>
              </w:rPr>
              <w:t>Diluted</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29,091</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29,046</w:t>
            </w: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r>
    </w:tbl>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94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gridSpan w:val="5"/>
          </w:tcPr>
          <w:p>
            <w:pPr>
              <w:jc w:val="right"/>
              <w:ind w:right="480"/>
              <w:spacing w:after="0"/>
              <w:rPr>
                <w:sz w:val="20"/>
                <w:szCs w:val="20"/>
                <w:color w:val="auto"/>
              </w:rPr>
            </w:pPr>
            <w:r>
              <w:rPr>
                <w:rFonts w:ascii="Arial" w:cs="Arial" w:eastAsia="Arial" w:hAnsi="Arial"/>
                <w:sz w:val="18"/>
                <w:szCs w:val="18"/>
                <w:b w:val="1"/>
                <w:bCs w:val="1"/>
                <w:color w:val="auto"/>
              </w:rPr>
              <w:t>Six Months Ended</w:t>
            </w: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10"/>
        </w:trPr>
        <w:tc>
          <w:tcPr>
            <w:tcW w:w="3940" w:type="dxa"/>
            <w:vAlign w:val="bottom"/>
            <w:tcBorders>
              <w:bottom w:val="single" w:sz="8" w:color="CCEEFF"/>
            </w:tcBorders>
          </w:tcPr>
          <w:p>
            <w:pPr>
              <w:spacing w:after="0"/>
              <w:rPr>
                <w:sz w:val="18"/>
                <w:szCs w:val="18"/>
                <w:color w:val="auto"/>
              </w:rPr>
            </w:pPr>
          </w:p>
        </w:tc>
        <w:tc>
          <w:tcPr>
            <w:tcW w:w="23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3"/>
          </w:tcPr>
          <w:p>
            <w:pPr>
              <w:jc w:val="right"/>
              <w:ind w:right="370"/>
              <w:spacing w:after="0"/>
              <w:rPr>
                <w:sz w:val="20"/>
                <w:szCs w:val="20"/>
                <w:color w:val="auto"/>
              </w:rPr>
            </w:pPr>
            <w:r>
              <w:rPr>
                <w:rFonts w:ascii="Arial" w:cs="Arial" w:eastAsia="Arial" w:hAnsi="Arial"/>
                <w:sz w:val="18"/>
                <w:szCs w:val="18"/>
                <w:b w:val="1"/>
                <w:bCs w:val="1"/>
                <w:color w:val="auto"/>
              </w:rPr>
              <w:t>February 27, 2010</w:t>
            </w:r>
          </w:p>
        </w:tc>
        <w:tc>
          <w:tcPr>
            <w:tcW w:w="3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6"/>
          </w:tcPr>
          <w:p>
            <w:pPr>
              <w:jc w:val="center"/>
              <w:ind w:right="50"/>
              <w:spacing w:after="0"/>
              <w:rPr>
                <w:sz w:val="20"/>
                <w:szCs w:val="20"/>
                <w:color w:val="auto"/>
              </w:rPr>
            </w:pPr>
            <w:r>
              <w:rPr>
                <w:rFonts w:ascii="Arial" w:cs="Arial" w:eastAsia="Arial" w:hAnsi="Arial"/>
                <w:sz w:val="18"/>
                <w:szCs w:val="18"/>
                <w:b w:val="1"/>
                <w:bCs w:val="1"/>
                <w:color w:val="auto"/>
                <w:w w:val="99"/>
              </w:rPr>
              <w:t>February 28, 2009</w:t>
            </w:r>
          </w:p>
        </w:tc>
        <w:tc>
          <w:tcPr>
            <w:tcW w:w="20" w:type="dxa"/>
            <w:vAlign w:val="bottom"/>
          </w:tcPr>
          <w:p>
            <w:pPr>
              <w:spacing w:after="0"/>
              <w:rPr>
                <w:sz w:val="18"/>
                <w:szCs w:val="18"/>
                <w:color w:val="auto"/>
              </w:rPr>
            </w:pPr>
          </w:p>
        </w:tc>
      </w:tr>
      <w:tr>
        <w:trPr>
          <w:trHeight w:val="210"/>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25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191,546</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101,206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20" w:type="dxa"/>
            <w:vAlign w:val="bottom"/>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Cost of goods sold</w:t>
            </w:r>
          </w:p>
        </w:tc>
        <w:tc>
          <w:tcPr>
            <w:tcW w:w="2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186,238</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97.2 %</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121,892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3"/>
          </w:tcPr>
          <w:p>
            <w:pPr>
              <w:jc w:val="right"/>
              <w:ind w:right="20"/>
              <w:spacing w:after="0"/>
              <w:rPr>
                <w:sz w:val="20"/>
                <w:szCs w:val="20"/>
                <w:color w:val="auto"/>
              </w:rPr>
            </w:pPr>
            <w:r>
              <w:rPr>
                <w:rFonts w:ascii="Arial" w:cs="Arial" w:eastAsia="Arial" w:hAnsi="Arial"/>
                <w:sz w:val="18"/>
                <w:szCs w:val="18"/>
                <w:color w:val="auto"/>
              </w:rPr>
              <w:t>120.4 %</w:t>
            </w:r>
          </w:p>
        </w:tc>
      </w:tr>
      <w:tr>
        <w:trPr>
          <w:trHeight w:val="196"/>
        </w:trPr>
        <w:tc>
          <w:tcPr>
            <w:tcW w:w="3940" w:type="dxa"/>
            <w:vAlign w:val="bottom"/>
            <w:tcBorders>
              <w:top w:val="single" w:sz="8" w:color="CCEEFF"/>
            </w:tcBorders>
            <w:shd w:val="clear" w:color="auto" w:fill="CCEEFF"/>
          </w:tcPr>
          <w:p>
            <w:pPr>
              <w:ind w:left="240"/>
              <w:spacing w:after="0" w:line="196" w:lineRule="exact"/>
              <w:rPr>
                <w:sz w:val="20"/>
                <w:szCs w:val="20"/>
                <w:color w:val="auto"/>
              </w:rPr>
            </w:pPr>
            <w:r>
              <w:rPr>
                <w:rFonts w:ascii="Arial" w:cs="Arial" w:eastAsia="Arial" w:hAnsi="Arial"/>
                <w:sz w:val="18"/>
                <w:szCs w:val="18"/>
                <w:color w:val="auto"/>
              </w:rPr>
              <w:t>Gross profit (deficit)</w:t>
            </w:r>
          </w:p>
        </w:tc>
        <w:tc>
          <w:tcPr>
            <w:tcW w:w="23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5,308</w:t>
            </w:r>
          </w:p>
        </w:tc>
        <w:tc>
          <w:tcPr>
            <w:tcW w:w="26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2.8 %</w:t>
            </w:r>
          </w:p>
        </w:tc>
        <w:tc>
          <w:tcPr>
            <w:tcW w:w="3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(20,686)</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(20.4)%</w:t>
            </w:r>
          </w:p>
        </w:tc>
        <w:tc>
          <w:tcPr>
            <w:tcW w:w="20" w:type="dxa"/>
            <w:vAlign w:val="bottom"/>
          </w:tcPr>
          <w:p>
            <w:pPr>
              <w:spacing w:after="0"/>
              <w:rPr>
                <w:sz w:val="17"/>
                <w:szCs w:val="17"/>
                <w:color w:val="auto"/>
              </w:rPr>
            </w:pPr>
          </w:p>
        </w:tc>
      </w:tr>
      <w:tr>
        <w:trPr>
          <w:trHeight w:val="210"/>
        </w:trPr>
        <w:tc>
          <w:tcPr>
            <w:tcW w:w="3940" w:type="dxa"/>
            <w:vAlign w:val="bottom"/>
          </w:tcPr>
          <w:p>
            <w:pPr>
              <w:spacing w:after="0"/>
              <w:rPr>
                <w:sz w:val="20"/>
                <w:szCs w:val="20"/>
                <w:color w:val="auto"/>
              </w:rPr>
            </w:pPr>
            <w:r>
              <w:rPr>
                <w:rFonts w:ascii="Arial" w:cs="Arial" w:eastAsia="Arial" w:hAnsi="Arial"/>
                <w:sz w:val="18"/>
                <w:szCs w:val="18"/>
                <w:color w:val="auto"/>
              </w:rPr>
              <w:t>Operating expenses</w:t>
            </w:r>
          </w:p>
        </w:tc>
        <w:tc>
          <w:tcPr>
            <w:tcW w:w="2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9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Selling</w:t>
            </w:r>
          </w:p>
        </w:tc>
        <w:tc>
          <w:tcPr>
            <w:tcW w:w="2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6,331</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3.3 %</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6,481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6.4 %</w:t>
            </w:r>
          </w:p>
        </w:tc>
        <w:tc>
          <w:tcPr>
            <w:tcW w:w="20" w:type="dxa"/>
            <w:vAlign w:val="bottom"/>
          </w:tcPr>
          <w:p>
            <w:pPr>
              <w:spacing w:after="0"/>
              <w:rPr>
                <w:sz w:val="18"/>
                <w:szCs w:val="18"/>
                <w:color w:val="auto"/>
              </w:rPr>
            </w:pPr>
          </w:p>
        </w:tc>
      </w:tr>
      <w:tr>
        <w:trPr>
          <w:trHeight w:val="216"/>
        </w:trPr>
        <w:tc>
          <w:tcPr>
            <w:tcW w:w="3940" w:type="dxa"/>
            <w:vAlign w:val="bottom"/>
          </w:tcPr>
          <w:p>
            <w:pPr>
              <w:ind w:left="240"/>
              <w:spacing w:after="0"/>
              <w:rPr>
                <w:sz w:val="20"/>
                <w:szCs w:val="20"/>
                <w:color w:val="auto"/>
              </w:rPr>
            </w:pPr>
            <w:r>
              <w:rPr>
                <w:rFonts w:ascii="Arial" w:cs="Arial" w:eastAsia="Arial" w:hAnsi="Arial"/>
                <w:sz w:val="18"/>
                <w:szCs w:val="18"/>
                <w:color w:val="auto"/>
              </w:rPr>
              <w:t>General and administrative</w:t>
            </w:r>
          </w:p>
        </w:tc>
        <w:tc>
          <w:tcPr>
            <w:tcW w:w="2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6,812</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3.6 %</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8,334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3"/>
          </w:tcPr>
          <w:p>
            <w:pPr>
              <w:jc w:val="right"/>
              <w:ind w:right="20"/>
              <w:spacing w:after="0"/>
              <w:rPr>
                <w:sz w:val="20"/>
                <w:szCs w:val="20"/>
                <w:color w:val="auto"/>
              </w:rPr>
            </w:pPr>
            <w:r>
              <w:rPr>
                <w:rFonts w:ascii="Arial" w:cs="Arial" w:eastAsia="Arial" w:hAnsi="Arial"/>
                <w:sz w:val="18"/>
                <w:szCs w:val="18"/>
                <w:color w:val="auto"/>
              </w:rPr>
              <w:t>8.2 %</w:t>
            </w:r>
          </w:p>
        </w:tc>
      </w:tr>
      <w:tr>
        <w:trPr>
          <w:trHeight w:val="196"/>
        </w:trPr>
        <w:tc>
          <w:tcPr>
            <w:tcW w:w="3940" w:type="dxa"/>
            <w:vAlign w:val="bottom"/>
            <w:tcBorders>
              <w:top w:val="single" w:sz="8" w:color="CCEEFF"/>
            </w:tcBorders>
            <w:shd w:val="clear" w:color="auto" w:fill="CCEEFF"/>
          </w:tcPr>
          <w:p>
            <w:pPr>
              <w:ind w:left="240"/>
              <w:spacing w:after="0" w:line="196" w:lineRule="exact"/>
              <w:rPr>
                <w:sz w:val="20"/>
                <w:szCs w:val="20"/>
                <w:color w:val="auto"/>
              </w:rPr>
            </w:pPr>
            <w:r>
              <w:rPr>
                <w:rFonts w:ascii="Arial" w:cs="Arial" w:eastAsia="Arial" w:hAnsi="Arial"/>
                <w:sz w:val="18"/>
                <w:szCs w:val="18"/>
                <w:color w:val="auto"/>
              </w:rPr>
              <w:t>Total operating expenses</w:t>
            </w:r>
          </w:p>
        </w:tc>
        <w:tc>
          <w:tcPr>
            <w:tcW w:w="23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13,143</w:t>
            </w:r>
          </w:p>
        </w:tc>
        <w:tc>
          <w:tcPr>
            <w:tcW w:w="26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6.9 %</w:t>
            </w:r>
          </w:p>
        </w:tc>
        <w:tc>
          <w:tcPr>
            <w:tcW w:w="3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14,815</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14.6 %</w:t>
            </w:r>
          </w:p>
        </w:tc>
        <w:tc>
          <w:tcPr>
            <w:tcW w:w="20" w:type="dxa"/>
            <w:vAlign w:val="bottom"/>
          </w:tcPr>
          <w:p>
            <w:pPr>
              <w:spacing w:after="0"/>
              <w:rPr>
                <w:sz w:val="17"/>
                <w:szCs w:val="17"/>
                <w:color w:val="auto"/>
              </w:rPr>
            </w:pPr>
          </w:p>
        </w:tc>
      </w:tr>
      <w:tr>
        <w:trPr>
          <w:trHeight w:val="196"/>
        </w:trPr>
        <w:tc>
          <w:tcPr>
            <w:tcW w:w="3940" w:type="dxa"/>
            <w:vAlign w:val="bottom"/>
          </w:tcPr>
          <w:p>
            <w:pPr>
              <w:spacing w:after="0" w:line="196" w:lineRule="exact"/>
              <w:rPr>
                <w:sz w:val="20"/>
                <w:szCs w:val="20"/>
                <w:color w:val="auto"/>
              </w:rPr>
            </w:pPr>
            <w:r>
              <w:rPr>
                <w:rFonts w:ascii="Arial" w:cs="Arial" w:eastAsia="Arial" w:hAnsi="Arial"/>
                <w:sz w:val="18"/>
                <w:szCs w:val="18"/>
                <w:color w:val="auto"/>
              </w:rPr>
              <w:t>Operating loss</w:t>
            </w:r>
          </w:p>
        </w:tc>
        <w:tc>
          <w:tcPr>
            <w:tcW w:w="2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(7,835)</w:t>
            </w:r>
          </w:p>
        </w:tc>
        <w:tc>
          <w:tcPr>
            <w:tcW w:w="260" w:type="dxa"/>
            <w:vAlign w:val="bottom"/>
          </w:tcPr>
          <w:p>
            <w:pPr>
              <w:spacing w:after="0"/>
              <w:rPr>
                <w:sz w:val="17"/>
                <w:szCs w:val="17"/>
                <w:color w:val="auto"/>
              </w:rPr>
            </w:pPr>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(35,501)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(35.0)%</w:t>
            </w:r>
          </w:p>
        </w:tc>
        <w:tc>
          <w:tcPr>
            <w:tcW w:w="20" w:type="dxa"/>
            <w:vAlign w:val="bottom"/>
          </w:tcPr>
          <w:p>
            <w:pPr>
              <w:spacing w:after="0"/>
              <w:rPr>
                <w:sz w:val="17"/>
                <w:szCs w:val="17"/>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Financial income</w:t>
            </w:r>
          </w:p>
        </w:tc>
        <w:tc>
          <w:tcPr>
            <w:tcW w:w="2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1,157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20" w:type="dxa"/>
            <w:vAlign w:val="bottom"/>
          </w:tcPr>
          <w:p>
            <w:pPr>
              <w:spacing w:after="0"/>
              <w:rPr>
                <w:sz w:val="18"/>
                <w:szCs w:val="18"/>
                <w:color w:val="auto"/>
              </w:rPr>
            </w:pPr>
          </w:p>
        </w:tc>
      </w:tr>
      <w:tr>
        <w:trPr>
          <w:trHeight w:val="196"/>
        </w:trPr>
        <w:tc>
          <w:tcPr>
            <w:tcW w:w="3940" w:type="dxa"/>
            <w:vAlign w:val="bottom"/>
          </w:tcPr>
          <w:p>
            <w:pPr>
              <w:spacing w:after="0" w:line="196" w:lineRule="exact"/>
              <w:rPr>
                <w:sz w:val="20"/>
                <w:szCs w:val="20"/>
                <w:color w:val="auto"/>
              </w:rPr>
            </w:pPr>
            <w:r>
              <w:rPr>
                <w:rFonts w:ascii="Arial" w:cs="Arial" w:eastAsia="Arial" w:hAnsi="Arial"/>
                <w:sz w:val="18"/>
                <w:szCs w:val="18"/>
                <w:color w:val="auto"/>
              </w:rPr>
              <w:t>Loss before income taxes</w:t>
            </w:r>
          </w:p>
        </w:tc>
        <w:tc>
          <w:tcPr>
            <w:tcW w:w="23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(7,704)</w:t>
            </w:r>
          </w:p>
        </w:tc>
        <w:tc>
          <w:tcPr>
            <w:tcW w:w="260" w:type="dxa"/>
            <w:vAlign w:val="bottom"/>
          </w:tcPr>
          <w:p>
            <w:pPr>
              <w:spacing w:after="0"/>
              <w:rPr>
                <w:sz w:val="17"/>
                <w:szCs w:val="17"/>
                <w:color w:val="auto"/>
              </w:rPr>
            </w:pPr>
          </w:p>
        </w:tc>
        <w:tc>
          <w:tcPr>
            <w:tcW w:w="10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(4.0)%</w:t>
            </w:r>
          </w:p>
        </w:tc>
        <w:tc>
          <w:tcPr>
            <w:tcW w:w="3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(34,344)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(33.9)%</w:t>
            </w:r>
          </w:p>
        </w:tc>
        <w:tc>
          <w:tcPr>
            <w:tcW w:w="20" w:type="dxa"/>
            <w:vAlign w:val="bottom"/>
          </w:tcPr>
          <w:p>
            <w:pPr>
              <w:spacing w:after="0"/>
              <w:rPr>
                <w:sz w:val="17"/>
                <w:szCs w:val="17"/>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Benefit for taxes</w:t>
            </w:r>
          </w:p>
        </w:tc>
        <w:tc>
          <w:tcPr>
            <w:tcW w:w="2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(7,066)</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(14,367)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20" w:type="dxa"/>
            <w:vAlign w:val="bottom"/>
          </w:tcPr>
          <w:p>
            <w:pPr>
              <w:spacing w:after="0"/>
              <w:rPr>
                <w:sz w:val="18"/>
                <w:szCs w:val="18"/>
                <w:color w:val="auto"/>
              </w:rPr>
            </w:pPr>
          </w:p>
        </w:tc>
      </w:tr>
      <w:tr>
        <w:trPr>
          <w:trHeight w:val="236"/>
        </w:trPr>
        <w:tc>
          <w:tcPr>
            <w:tcW w:w="3940" w:type="dxa"/>
            <w:vAlign w:val="bottom"/>
            <w:tcBorders>
              <w:bottom w:val="single" w:sz="8" w:color="CCEEFF"/>
            </w:tcBorders>
          </w:tcPr>
          <w:p>
            <w:pPr>
              <w:spacing w:after="0" w:line="196" w:lineRule="exact"/>
              <w:rPr>
                <w:sz w:val="20"/>
                <w:szCs w:val="20"/>
                <w:color w:val="auto"/>
              </w:rPr>
            </w:pPr>
            <w:r>
              <w:rPr>
                <w:rFonts w:ascii="Arial" w:cs="Arial" w:eastAsia="Arial" w:hAnsi="Arial"/>
                <w:sz w:val="18"/>
                <w:szCs w:val="18"/>
                <w:color w:val="auto"/>
              </w:rPr>
              <w:t>Net loss</w:t>
            </w:r>
          </w:p>
        </w:tc>
        <w:tc>
          <w:tcPr>
            <w:tcW w:w="230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(638)</w:t>
            </w:r>
          </w:p>
        </w:tc>
        <w:tc>
          <w:tcPr>
            <w:tcW w:w="260" w:type="dxa"/>
            <w:vAlign w:val="bottom"/>
            <w:tcBorders>
              <w:bottom w:val="single" w:sz="8" w:color="CCEEFF"/>
            </w:tcBorders>
          </w:tcPr>
          <w:p>
            <w:pPr>
              <w:spacing w:after="0"/>
              <w:rPr>
                <w:sz w:val="20"/>
                <w:szCs w:val="20"/>
                <w:color w:val="auto"/>
              </w:rPr>
            </w:pPr>
          </w:p>
        </w:tc>
        <w:tc>
          <w:tcPr>
            <w:tcW w:w="10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(0.3)%</w:t>
            </w:r>
          </w:p>
        </w:tc>
        <w:tc>
          <w:tcPr>
            <w:tcW w:w="34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(19,977)</w:t>
            </w: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0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(19.7)%</w:t>
            </w:r>
          </w:p>
        </w:tc>
        <w:tc>
          <w:tcPr>
            <w:tcW w:w="20" w:type="dxa"/>
            <w:vAlign w:val="bottom"/>
          </w:tcPr>
          <w:p>
            <w:pPr>
              <w:spacing w:after="0"/>
              <w:rPr>
                <w:sz w:val="20"/>
                <w:szCs w:val="20"/>
                <w:color w:val="auto"/>
              </w:rPr>
            </w:pPr>
          </w:p>
        </w:tc>
      </w:tr>
      <w:tr>
        <w:trPr>
          <w:trHeight w:val="197"/>
        </w:trPr>
        <w:tc>
          <w:tcPr>
            <w:tcW w:w="39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Loss per common share:</w:t>
            </w:r>
          </w:p>
        </w:tc>
        <w:tc>
          <w:tcPr>
            <w:tcW w:w="2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3940" w:type="dxa"/>
            <w:vAlign w:val="bottom"/>
          </w:tcPr>
          <w:p>
            <w:pPr>
              <w:ind w:left="240"/>
              <w:spacing w:after="0"/>
              <w:rPr>
                <w:sz w:val="20"/>
                <w:szCs w:val="20"/>
                <w:color w:val="auto"/>
              </w:rPr>
            </w:pPr>
            <w:r>
              <w:rPr>
                <w:rFonts w:ascii="Arial" w:cs="Arial" w:eastAsia="Arial" w:hAnsi="Arial"/>
                <w:sz w:val="18"/>
                <w:szCs w:val="18"/>
                <w:color w:val="auto"/>
              </w:rPr>
              <w:t>Basic</w:t>
            </w:r>
          </w:p>
        </w:tc>
        <w:tc>
          <w:tcPr>
            <w:tcW w:w="25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(0.02)</w:t>
            </w: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(0.69)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9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Diluted</w:t>
            </w:r>
          </w:p>
        </w:tc>
        <w:tc>
          <w:tcPr>
            <w:tcW w:w="25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Weighted average common shares outstanding:</w:t>
            </w:r>
          </w:p>
        </w:tc>
        <w:tc>
          <w:tcPr>
            <w:tcW w:w="2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9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Basic</w:t>
            </w:r>
          </w:p>
        </w:tc>
        <w:tc>
          <w:tcPr>
            <w:tcW w:w="2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29,077</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29,032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3940" w:type="dxa"/>
            <w:vAlign w:val="bottom"/>
          </w:tcPr>
          <w:p>
            <w:pPr>
              <w:ind w:left="240"/>
              <w:spacing w:after="0"/>
              <w:rPr>
                <w:sz w:val="20"/>
                <w:szCs w:val="20"/>
                <w:color w:val="auto"/>
              </w:rPr>
            </w:pPr>
            <w:r>
              <w:rPr>
                <w:rFonts w:ascii="Arial" w:cs="Arial" w:eastAsia="Arial" w:hAnsi="Arial"/>
                <w:sz w:val="18"/>
                <w:szCs w:val="18"/>
                <w:color w:val="auto"/>
              </w:rPr>
              <w:t>Diluted</w:t>
            </w:r>
          </w:p>
        </w:tc>
        <w:tc>
          <w:tcPr>
            <w:tcW w:w="2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29,088</w:t>
            </w: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29,041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91"/>
        </w:trPr>
        <w:tc>
          <w:tcPr>
            <w:tcW w:w="3940" w:type="dxa"/>
            <w:vAlign w:val="bottom"/>
            <w:tcBorders>
              <w:bottom w:val="single" w:sz="8" w:color="9A9A9A"/>
            </w:tcBorders>
          </w:tcPr>
          <w:p>
            <w:pPr>
              <w:spacing w:after="0"/>
              <w:rPr>
                <w:sz w:val="24"/>
                <w:szCs w:val="24"/>
                <w:color w:val="auto"/>
              </w:rPr>
            </w:pPr>
          </w:p>
        </w:tc>
        <w:tc>
          <w:tcPr>
            <w:tcW w:w="3640" w:type="dxa"/>
            <w:vAlign w:val="bottom"/>
            <w:tcBorders>
              <w:bottom w:val="single" w:sz="8" w:color="9A9A9A"/>
            </w:tcBorders>
            <w:gridSpan w:val="4"/>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0" w:type="dxa"/>
            <w:vAlign w:val="bottom"/>
          </w:tcPr>
          <w:p>
            <w:pPr>
              <w:spacing w:after="0"/>
              <w:rPr>
                <w:sz w:val="24"/>
                <w:szCs w:val="24"/>
                <w:color w:val="auto"/>
              </w:rPr>
            </w:pPr>
          </w:p>
        </w:tc>
      </w:tr>
      <w:tr>
        <w:trPr>
          <w:trHeight w:val="477"/>
        </w:trPr>
        <w:tc>
          <w:tcPr>
            <w:tcW w:w="3940" w:type="dxa"/>
            <w:vAlign w:val="bottom"/>
          </w:tcPr>
          <w:p>
            <w:pPr>
              <w:spacing w:after="0"/>
              <w:rPr>
                <w:sz w:val="24"/>
                <w:szCs w:val="24"/>
                <w:color w:val="auto"/>
              </w:rPr>
            </w:pPr>
          </w:p>
        </w:tc>
        <w:tc>
          <w:tcPr>
            <w:tcW w:w="3640" w:type="dxa"/>
            <w:vAlign w:val="bottom"/>
            <w:gridSpan w:val="4"/>
          </w:tcPr>
          <w:p>
            <w:pPr>
              <w:jc w:val="center"/>
              <w:ind w:right="140"/>
              <w:spacing w:after="0"/>
              <w:rPr>
                <w:sz w:val="20"/>
                <w:szCs w:val="20"/>
                <w:color w:val="auto"/>
              </w:rPr>
            </w:pPr>
            <w:r>
              <w:rPr>
                <w:rFonts w:ascii="Arial" w:cs="Arial" w:eastAsia="Arial" w:hAnsi="Arial"/>
                <w:sz w:val="18"/>
                <w:szCs w:val="18"/>
                <w:b w:val="1"/>
                <w:bCs w:val="1"/>
                <w:color w:val="auto"/>
              </w:rPr>
              <w:t>Winnebago Industries, Inc.</w:t>
            </w:r>
          </w:p>
        </w:tc>
        <w:tc>
          <w:tcPr>
            <w:tcW w:w="1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3"/>
        </w:trPr>
        <w:tc>
          <w:tcPr>
            <w:tcW w:w="3940" w:type="dxa"/>
            <w:vAlign w:val="bottom"/>
          </w:tcPr>
          <w:p>
            <w:pPr>
              <w:spacing w:after="0"/>
              <w:rPr>
                <w:sz w:val="17"/>
                <w:szCs w:val="17"/>
                <w:color w:val="auto"/>
              </w:rPr>
            </w:pPr>
          </w:p>
        </w:tc>
        <w:tc>
          <w:tcPr>
            <w:tcW w:w="3640" w:type="dxa"/>
            <w:vAlign w:val="bottom"/>
            <w:gridSpan w:val="4"/>
          </w:tcPr>
          <w:p>
            <w:pPr>
              <w:jc w:val="center"/>
              <w:ind w:right="140"/>
              <w:spacing w:after="0" w:line="202" w:lineRule="exact"/>
              <w:rPr>
                <w:sz w:val="20"/>
                <w:szCs w:val="20"/>
                <w:color w:val="auto"/>
              </w:rPr>
            </w:pPr>
            <w:r>
              <w:rPr>
                <w:rFonts w:ascii="Arial" w:cs="Arial" w:eastAsia="Arial" w:hAnsi="Arial"/>
                <w:sz w:val="18"/>
                <w:szCs w:val="18"/>
                <w:b w:val="1"/>
                <w:bCs w:val="1"/>
                <w:color w:val="auto"/>
              </w:rPr>
              <w:t>Unaudited Condensed Balance Sheets</w:t>
            </w: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9"/>
        </w:trPr>
        <w:tc>
          <w:tcPr>
            <w:tcW w:w="3940" w:type="dxa"/>
            <w:vAlign w:val="bottom"/>
          </w:tcPr>
          <w:p>
            <w:pPr>
              <w:spacing w:after="0"/>
              <w:rPr>
                <w:sz w:val="20"/>
                <w:szCs w:val="20"/>
                <w:color w:val="auto"/>
              </w:rPr>
            </w:pPr>
          </w:p>
        </w:tc>
        <w:tc>
          <w:tcPr>
            <w:tcW w:w="2540" w:type="dxa"/>
            <w:vAlign w:val="bottom"/>
            <w:gridSpan w:val="2"/>
          </w:tcPr>
          <w:p>
            <w:pPr>
              <w:jc w:val="center"/>
              <w:ind w:left="930"/>
              <w:spacing w:after="0"/>
              <w:rPr>
                <w:sz w:val="20"/>
                <w:szCs w:val="20"/>
                <w:color w:val="auto"/>
              </w:rPr>
            </w:pPr>
            <w:r>
              <w:rPr>
                <w:rFonts w:ascii="Arial" w:cs="Arial" w:eastAsia="Arial" w:hAnsi="Arial"/>
                <w:sz w:val="18"/>
                <w:szCs w:val="18"/>
                <w:b w:val="1"/>
                <w:bCs w:val="1"/>
                <w:color w:val="auto"/>
                <w:w w:val="99"/>
              </w:rPr>
              <w:t>(In thousands)</w:t>
            </w: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01"/>
        </w:trPr>
        <w:tc>
          <w:tcPr>
            <w:tcW w:w="39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20" w:type="dxa"/>
            <w:vAlign w:val="bottom"/>
            <w:gridSpan w:val="4"/>
          </w:tcPr>
          <w:p>
            <w:pPr>
              <w:jc w:val="right"/>
              <w:ind w:right="300"/>
              <w:spacing w:after="0"/>
              <w:rPr>
                <w:sz w:val="20"/>
                <w:szCs w:val="20"/>
                <w:color w:val="auto"/>
              </w:rPr>
            </w:pPr>
            <w:r>
              <w:rPr>
                <w:rFonts w:ascii="Arial" w:cs="Arial" w:eastAsia="Arial" w:hAnsi="Arial"/>
                <w:sz w:val="18"/>
                <w:szCs w:val="18"/>
                <w:b w:val="1"/>
                <w:bCs w:val="1"/>
                <w:color w:val="auto"/>
              </w:rPr>
              <w:t>February 27,</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97"/>
              </w:rPr>
              <w:t>August 29,</w:t>
            </w:r>
          </w:p>
        </w:tc>
      </w:tr>
      <w:tr>
        <w:trPr>
          <w:trHeight w:val="225"/>
        </w:trPr>
        <w:tc>
          <w:tcPr>
            <w:tcW w:w="3940" w:type="dxa"/>
            <w:vAlign w:val="bottom"/>
            <w:tcBorders>
              <w:bottom w:val="single" w:sz="8" w:color="CCEEFF"/>
            </w:tcBorders>
          </w:tcPr>
          <w:p>
            <w:pPr>
              <w:spacing w:after="0"/>
              <w:rPr>
                <w:sz w:val="19"/>
                <w:szCs w:val="19"/>
                <w:color w:val="auto"/>
              </w:rPr>
            </w:pPr>
          </w:p>
        </w:tc>
        <w:tc>
          <w:tcPr>
            <w:tcW w:w="23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gridSpan w:val="3"/>
          </w:tcPr>
          <w:p>
            <w:pPr>
              <w:jc w:val="right"/>
              <w:ind w:right="330"/>
              <w:spacing w:after="0"/>
              <w:rPr>
                <w:sz w:val="20"/>
                <w:szCs w:val="20"/>
                <w:color w:val="auto"/>
              </w:rPr>
            </w:pPr>
            <w:r>
              <w:rPr>
                <w:rFonts w:ascii="Arial" w:cs="Arial" w:eastAsia="Arial" w:hAnsi="Arial"/>
                <w:sz w:val="18"/>
                <w:szCs w:val="18"/>
                <w:b w:val="1"/>
                <w:bCs w:val="1"/>
                <w:color w:val="auto"/>
              </w:rPr>
              <w:t>2010</w:t>
            </w:r>
          </w:p>
        </w:tc>
        <w:tc>
          <w:tcPr>
            <w:tcW w:w="1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ind w:right="330"/>
              <w:spacing w:after="0"/>
              <w:rPr>
                <w:sz w:val="20"/>
                <w:szCs w:val="20"/>
                <w:color w:val="auto"/>
              </w:rPr>
            </w:pPr>
            <w:r>
              <w:rPr>
                <w:rFonts w:ascii="Arial" w:cs="Arial" w:eastAsia="Arial" w:hAnsi="Arial"/>
                <w:sz w:val="18"/>
                <w:szCs w:val="18"/>
                <w:b w:val="1"/>
                <w:bCs w:val="1"/>
                <w:color w:val="auto"/>
              </w:rPr>
              <w:t>2009</w:t>
            </w:r>
          </w:p>
        </w:tc>
        <w:tc>
          <w:tcPr>
            <w:tcW w:w="20" w:type="dxa"/>
            <w:vAlign w:val="bottom"/>
          </w:tcPr>
          <w:p>
            <w:pPr>
              <w:spacing w:after="0"/>
              <w:rPr>
                <w:sz w:val="19"/>
                <w:szCs w:val="19"/>
                <w:color w:val="auto"/>
              </w:rPr>
            </w:pPr>
          </w:p>
        </w:tc>
      </w:tr>
      <w:tr>
        <w:trPr>
          <w:trHeight w:val="210"/>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2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Current assets:</w:t>
            </w:r>
          </w:p>
        </w:tc>
        <w:tc>
          <w:tcPr>
            <w:tcW w:w="2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9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Cash and cash equivalents</w:t>
            </w:r>
          </w:p>
        </w:tc>
        <w:tc>
          <w:tcPr>
            <w:tcW w:w="2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41,609</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36,566</w:t>
            </w:r>
          </w:p>
        </w:tc>
        <w:tc>
          <w:tcPr>
            <w:tcW w:w="20" w:type="dxa"/>
            <w:vAlign w:val="bottom"/>
          </w:tcPr>
          <w:p>
            <w:pPr>
              <w:spacing w:after="0"/>
              <w:rPr>
                <w:sz w:val="18"/>
                <w:szCs w:val="18"/>
                <w:color w:val="auto"/>
              </w:rPr>
            </w:pPr>
          </w:p>
        </w:tc>
      </w:tr>
      <w:tr>
        <w:trPr>
          <w:trHeight w:val="216"/>
        </w:trPr>
        <w:tc>
          <w:tcPr>
            <w:tcW w:w="3940" w:type="dxa"/>
            <w:vAlign w:val="bottom"/>
          </w:tcPr>
          <w:p>
            <w:pPr>
              <w:ind w:left="240"/>
              <w:spacing w:after="0"/>
              <w:rPr>
                <w:sz w:val="20"/>
                <w:szCs w:val="20"/>
                <w:color w:val="auto"/>
              </w:rPr>
            </w:pPr>
            <w:r>
              <w:rPr>
                <w:rFonts w:ascii="Arial" w:cs="Arial" w:eastAsia="Arial" w:hAnsi="Arial"/>
                <w:sz w:val="18"/>
                <w:szCs w:val="18"/>
                <w:color w:val="auto"/>
              </w:rPr>
              <w:t>Short-term investments</w:t>
            </w:r>
          </w:p>
        </w:tc>
        <w:tc>
          <w:tcPr>
            <w:tcW w:w="2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9,000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13,500</w:t>
            </w:r>
          </w:p>
        </w:tc>
        <w:tc>
          <w:tcPr>
            <w:tcW w:w="20" w:type="dxa"/>
            <w:vAlign w:val="bottom"/>
          </w:tcPr>
          <w:p>
            <w:pPr>
              <w:spacing w:after="0"/>
              <w:rPr>
                <w:sz w:val="18"/>
                <w:szCs w:val="18"/>
                <w:color w:val="auto"/>
              </w:rPr>
            </w:pPr>
          </w:p>
        </w:tc>
      </w:tr>
      <w:tr>
        <w:trPr>
          <w:trHeight w:val="216"/>
        </w:trPr>
        <w:tc>
          <w:tcPr>
            <w:tcW w:w="39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Receivables, net</w:t>
            </w:r>
          </w:p>
        </w:tc>
        <w:tc>
          <w:tcPr>
            <w:tcW w:w="2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20,344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11,717</w:t>
            </w:r>
          </w:p>
        </w:tc>
        <w:tc>
          <w:tcPr>
            <w:tcW w:w="20" w:type="dxa"/>
            <w:vAlign w:val="bottom"/>
          </w:tcPr>
          <w:p>
            <w:pPr>
              <w:spacing w:after="0"/>
              <w:rPr>
                <w:sz w:val="18"/>
                <w:szCs w:val="18"/>
                <w:color w:val="auto"/>
              </w:rPr>
            </w:pPr>
          </w:p>
        </w:tc>
      </w:tr>
      <w:tr>
        <w:trPr>
          <w:trHeight w:val="216"/>
        </w:trPr>
        <w:tc>
          <w:tcPr>
            <w:tcW w:w="3940" w:type="dxa"/>
            <w:vAlign w:val="bottom"/>
          </w:tcPr>
          <w:p>
            <w:pPr>
              <w:ind w:left="240"/>
              <w:spacing w:after="0"/>
              <w:rPr>
                <w:sz w:val="20"/>
                <w:szCs w:val="20"/>
                <w:color w:val="auto"/>
              </w:rPr>
            </w:pPr>
            <w:r>
              <w:rPr>
                <w:rFonts w:ascii="Arial" w:cs="Arial" w:eastAsia="Arial" w:hAnsi="Arial"/>
                <w:sz w:val="18"/>
                <w:szCs w:val="18"/>
                <w:color w:val="auto"/>
              </w:rPr>
              <w:t>Inventories</w:t>
            </w:r>
          </w:p>
        </w:tc>
        <w:tc>
          <w:tcPr>
            <w:tcW w:w="2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59,824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46,850</w:t>
            </w:r>
          </w:p>
        </w:tc>
        <w:tc>
          <w:tcPr>
            <w:tcW w:w="20" w:type="dxa"/>
            <w:vAlign w:val="bottom"/>
          </w:tcPr>
          <w:p>
            <w:pPr>
              <w:spacing w:after="0"/>
              <w:rPr>
                <w:sz w:val="18"/>
                <w:szCs w:val="18"/>
                <w:color w:val="auto"/>
              </w:rPr>
            </w:pPr>
          </w:p>
        </w:tc>
      </w:tr>
      <w:tr>
        <w:trPr>
          <w:trHeight w:val="216"/>
        </w:trPr>
        <w:tc>
          <w:tcPr>
            <w:tcW w:w="39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Income taxes receivable</w:t>
            </w:r>
          </w:p>
        </w:tc>
        <w:tc>
          <w:tcPr>
            <w:tcW w:w="2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17,356</w:t>
            </w:r>
          </w:p>
        </w:tc>
        <w:tc>
          <w:tcPr>
            <w:tcW w:w="20" w:type="dxa"/>
            <w:vAlign w:val="bottom"/>
          </w:tcPr>
          <w:p>
            <w:pPr>
              <w:spacing w:after="0"/>
              <w:rPr>
                <w:sz w:val="18"/>
                <w:szCs w:val="18"/>
                <w:color w:val="auto"/>
              </w:rPr>
            </w:pPr>
          </w:p>
        </w:tc>
      </w:tr>
      <w:tr>
        <w:trPr>
          <w:trHeight w:val="216"/>
        </w:trPr>
        <w:tc>
          <w:tcPr>
            <w:tcW w:w="39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Prepaid and other</w:t>
            </w:r>
          </w:p>
        </w:tc>
        <w:tc>
          <w:tcPr>
            <w:tcW w:w="230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0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2,844</w:t>
            </w:r>
          </w:p>
        </w:tc>
        <w:tc>
          <w:tcPr>
            <w:tcW w:w="1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3,425</w:t>
            </w:r>
          </w:p>
        </w:tc>
        <w:tc>
          <w:tcPr>
            <w:tcW w:w="20" w:type="dxa"/>
            <w:vAlign w:val="bottom"/>
          </w:tcPr>
          <w:p>
            <w:pPr>
              <w:spacing w:after="0"/>
              <w:rPr>
                <w:sz w:val="18"/>
                <w:szCs w:val="18"/>
                <w:color w:val="auto"/>
              </w:rPr>
            </w:pPr>
          </w:p>
        </w:tc>
      </w:tr>
      <w:tr>
        <w:trPr>
          <w:trHeight w:val="196"/>
        </w:trPr>
        <w:tc>
          <w:tcPr>
            <w:tcW w:w="3940" w:type="dxa"/>
            <w:vAlign w:val="bottom"/>
            <w:shd w:val="clear" w:color="auto" w:fill="CCEEFF"/>
          </w:tcPr>
          <w:p>
            <w:pPr>
              <w:ind w:left="420"/>
              <w:spacing w:after="0" w:line="196" w:lineRule="exact"/>
              <w:rPr>
                <w:sz w:val="20"/>
                <w:szCs w:val="20"/>
                <w:color w:val="auto"/>
              </w:rPr>
            </w:pPr>
            <w:r>
              <w:rPr>
                <w:rFonts w:ascii="Arial" w:cs="Arial" w:eastAsia="Arial" w:hAnsi="Arial"/>
                <w:sz w:val="18"/>
                <w:szCs w:val="18"/>
                <w:color w:val="auto"/>
              </w:rPr>
              <w:t>Total current assets</w:t>
            </w:r>
          </w:p>
        </w:tc>
        <w:tc>
          <w:tcPr>
            <w:tcW w:w="2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134,180</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129,414</w:t>
            </w:r>
          </w:p>
        </w:tc>
        <w:tc>
          <w:tcPr>
            <w:tcW w:w="20" w:type="dxa"/>
            <w:vAlign w:val="bottom"/>
          </w:tcPr>
          <w:p>
            <w:pPr>
              <w:spacing w:after="0"/>
              <w:rPr>
                <w:sz w:val="17"/>
                <w:szCs w:val="17"/>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25,646</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28,040</w:t>
            </w:r>
          </w:p>
        </w:tc>
        <w:tc>
          <w:tcPr>
            <w:tcW w:w="20" w:type="dxa"/>
            <w:vAlign w:val="bottom"/>
          </w:tcPr>
          <w:p>
            <w:pPr>
              <w:spacing w:after="0"/>
              <w:rPr>
                <w:sz w:val="18"/>
                <w:szCs w:val="18"/>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Assets held for sale</w:t>
            </w:r>
          </w:p>
        </w:tc>
        <w:tc>
          <w:tcPr>
            <w:tcW w:w="2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6,515</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6,515</w:t>
            </w:r>
          </w:p>
        </w:tc>
        <w:tc>
          <w:tcPr>
            <w:tcW w:w="20" w:type="dxa"/>
            <w:vAlign w:val="bottom"/>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Long-term investments, less impairments</w:t>
            </w:r>
          </w:p>
        </w:tc>
        <w:tc>
          <w:tcPr>
            <w:tcW w:w="2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19,748</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19,794</w:t>
            </w:r>
          </w:p>
        </w:tc>
        <w:tc>
          <w:tcPr>
            <w:tcW w:w="20" w:type="dxa"/>
            <w:vAlign w:val="bottom"/>
          </w:tcPr>
          <w:p>
            <w:pPr>
              <w:spacing w:after="0"/>
              <w:rPr>
                <w:sz w:val="18"/>
                <w:szCs w:val="18"/>
                <w:color w:val="auto"/>
              </w:rPr>
            </w:pPr>
          </w:p>
        </w:tc>
      </w:tr>
      <w:tr>
        <w:trPr>
          <w:trHeight w:val="70"/>
        </w:trPr>
        <w:tc>
          <w:tcPr>
            <w:tcW w:w="3940" w:type="dxa"/>
            <w:vAlign w:val="bottom"/>
            <w:shd w:val="clear" w:color="auto" w:fill="CCEEFF"/>
          </w:tcPr>
          <w:p>
            <w:pPr>
              <w:spacing w:after="0"/>
              <w:rPr>
                <w:sz w:val="6"/>
                <w:szCs w:val="6"/>
                <w:color w:val="auto"/>
              </w:rPr>
            </w:pPr>
          </w:p>
        </w:tc>
        <w:tc>
          <w:tcPr>
            <w:tcW w:w="23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20" w:type="dxa"/>
            <w:vAlign w:val="bottom"/>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-2646680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-2646680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900" w:orient="portrait"/>
          <w:cols w:equalWidth="0" w:num="1">
            <w:col w:w="11420"/>
          </w:cols>
          <w:pgMar w:left="240" w:top="140" w:right="239" w:bottom="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Investment in life insurance</w:t>
            </w: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22,999</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22,451</w:t>
            </w:r>
          </w:p>
        </w:tc>
      </w:tr>
      <w:tr>
        <w:trPr>
          <w:trHeight w:val="216"/>
        </w:trPr>
        <w:tc>
          <w:tcPr>
            <w:tcW w:w="86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assets</w:t>
            </w: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15,888</w:t>
            </w:r>
          </w:p>
        </w:tc>
        <w:tc>
          <w:tcPr>
            <w:tcW w:w="2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14,252</w:t>
            </w:r>
          </w:p>
        </w:tc>
      </w:tr>
      <w:tr>
        <w:trPr>
          <w:trHeight w:val="196"/>
        </w:trPr>
        <w:tc>
          <w:tcPr>
            <w:tcW w:w="8660" w:type="dxa"/>
            <w:vAlign w:val="bottom"/>
            <w:tcBorders>
              <w:bottom w:val="single" w:sz="8" w:color="CCEEFF"/>
            </w:tcBorders>
            <w:shd w:val="clear" w:color="auto" w:fill="CCEEFF"/>
          </w:tcPr>
          <w:p>
            <w:pPr>
              <w:ind w:left="420"/>
              <w:spacing w:after="0" w:line="196" w:lineRule="exact"/>
              <w:rPr>
                <w:sz w:val="20"/>
                <w:szCs w:val="20"/>
                <w:color w:val="auto"/>
              </w:rPr>
            </w:pPr>
            <w:r>
              <w:rPr>
                <w:rFonts w:ascii="Arial" w:cs="Arial" w:eastAsia="Arial" w:hAnsi="Arial"/>
                <w:sz w:val="18"/>
                <w:szCs w:val="18"/>
                <w:color w:val="auto"/>
              </w:rPr>
              <w:t>Total assets</w:t>
            </w:r>
          </w:p>
        </w:tc>
        <w:tc>
          <w:tcPr>
            <w:tcW w:w="32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224,976</w:t>
            </w:r>
          </w:p>
        </w:tc>
        <w:tc>
          <w:tcPr>
            <w:tcW w:w="26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220,466</w:t>
            </w:r>
          </w:p>
        </w:tc>
      </w:tr>
      <w:tr>
        <w:trPr>
          <w:trHeight w:val="20"/>
        </w:trPr>
        <w:tc>
          <w:tcPr>
            <w:tcW w:w="86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97"/>
        </w:trPr>
        <w:tc>
          <w:tcPr>
            <w:tcW w:w="8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STOCKHOLDERS' EQUITY</w:t>
            </w: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Current liabilities:</w:t>
            </w: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86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Accounts payable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17,110</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10,370</w:t>
            </w:r>
          </w:p>
        </w:tc>
      </w:tr>
      <w:tr>
        <w:trPr>
          <w:trHeight w:val="216"/>
        </w:trPr>
        <w:tc>
          <w:tcPr>
            <w:tcW w:w="8660" w:type="dxa"/>
            <w:vAlign w:val="bottom"/>
          </w:tcPr>
          <w:p>
            <w:pPr>
              <w:ind w:left="240"/>
              <w:spacing w:after="0"/>
              <w:rPr>
                <w:sz w:val="20"/>
                <w:szCs w:val="20"/>
                <w:color w:val="auto"/>
              </w:rPr>
            </w:pPr>
            <w:r>
              <w:rPr>
                <w:rFonts w:ascii="Arial" w:cs="Arial" w:eastAsia="Arial" w:hAnsi="Arial"/>
                <w:sz w:val="18"/>
                <w:szCs w:val="18"/>
                <w:color w:val="auto"/>
              </w:rPr>
              <w:t>Short-term ARS borrowings</w:t>
            </w: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6,320</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9,100</w:t>
            </w:r>
          </w:p>
        </w:tc>
      </w:tr>
      <w:tr>
        <w:trPr>
          <w:trHeight w:val="216"/>
        </w:trPr>
        <w:tc>
          <w:tcPr>
            <w:tcW w:w="86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Income taxes payable</w:t>
            </w: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w:t>
            </w:r>
          </w:p>
        </w:tc>
      </w:tr>
      <w:tr>
        <w:trPr>
          <w:trHeight w:val="216"/>
        </w:trPr>
        <w:tc>
          <w:tcPr>
            <w:tcW w:w="86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Accrued expenses</w:t>
            </w: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32,453</w:t>
            </w:r>
          </w:p>
        </w:tc>
        <w:tc>
          <w:tcPr>
            <w:tcW w:w="2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30,185</w:t>
            </w:r>
          </w:p>
        </w:tc>
      </w:tr>
      <w:tr>
        <w:trPr>
          <w:trHeight w:val="196"/>
        </w:trPr>
        <w:tc>
          <w:tcPr>
            <w:tcW w:w="8660" w:type="dxa"/>
            <w:vAlign w:val="bottom"/>
            <w:shd w:val="clear" w:color="auto" w:fill="CCEEFF"/>
          </w:tcPr>
          <w:p>
            <w:pPr>
              <w:ind w:left="420"/>
              <w:spacing w:after="0" w:line="196" w:lineRule="exact"/>
              <w:rPr>
                <w:sz w:val="20"/>
                <w:szCs w:val="20"/>
                <w:color w:val="auto"/>
              </w:rPr>
            </w:pPr>
            <w:r>
              <w:rPr>
                <w:rFonts w:ascii="Arial" w:cs="Arial" w:eastAsia="Arial" w:hAnsi="Arial"/>
                <w:sz w:val="18"/>
                <w:szCs w:val="18"/>
                <w:color w:val="auto"/>
              </w:rPr>
              <w:t>Total current liabilities</w:t>
            </w: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56,114</w:t>
            </w:r>
          </w:p>
        </w:tc>
        <w:tc>
          <w:tcPr>
            <w:tcW w:w="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49,954</w:t>
            </w: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Long-term liabilities:</w:t>
            </w: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86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Unrecognized tax benefits</w:t>
            </w: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8,014</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9,012</w:t>
            </w:r>
          </w:p>
        </w:tc>
      </w:tr>
      <w:tr>
        <w:trPr>
          <w:trHeight w:val="216"/>
        </w:trPr>
        <w:tc>
          <w:tcPr>
            <w:tcW w:w="86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Postretirement health care and deferred compensation benefits, net of current portion</w:t>
            </w: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70,273</w:t>
            </w:r>
          </w:p>
        </w:tc>
        <w:tc>
          <w:tcPr>
            <w:tcW w:w="2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69,169</w:t>
            </w:r>
          </w:p>
        </w:tc>
      </w:tr>
      <w:tr>
        <w:trPr>
          <w:trHeight w:val="196"/>
        </w:trPr>
        <w:tc>
          <w:tcPr>
            <w:tcW w:w="8660" w:type="dxa"/>
            <w:vAlign w:val="bottom"/>
            <w:shd w:val="clear" w:color="auto" w:fill="CCEEFF"/>
          </w:tcPr>
          <w:p>
            <w:pPr>
              <w:ind w:left="420"/>
              <w:spacing w:after="0" w:line="196" w:lineRule="exact"/>
              <w:rPr>
                <w:sz w:val="20"/>
                <w:szCs w:val="20"/>
                <w:color w:val="auto"/>
              </w:rPr>
            </w:pPr>
            <w:r>
              <w:rPr>
                <w:rFonts w:ascii="Arial" w:cs="Arial" w:eastAsia="Arial" w:hAnsi="Arial"/>
                <w:sz w:val="18"/>
                <w:szCs w:val="18"/>
                <w:color w:val="auto"/>
              </w:rPr>
              <w:t>Total long-term liabilities</w:t>
            </w: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78,287</w:t>
            </w:r>
          </w:p>
        </w:tc>
        <w:tc>
          <w:tcPr>
            <w:tcW w:w="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78,181</w:t>
            </w:r>
          </w:p>
        </w:tc>
      </w:tr>
      <w:tr>
        <w:trPr>
          <w:trHeight w:val="216"/>
        </w:trPr>
        <w:tc>
          <w:tcPr>
            <w:tcW w:w="86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Stockholders' equity</w:t>
            </w: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90,575</w:t>
            </w:r>
          </w:p>
        </w:tc>
        <w:tc>
          <w:tcPr>
            <w:tcW w:w="2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92,331</w:t>
            </w:r>
          </w:p>
        </w:tc>
      </w:tr>
      <w:tr>
        <w:trPr>
          <w:trHeight w:val="196"/>
        </w:trPr>
        <w:tc>
          <w:tcPr>
            <w:tcW w:w="8660" w:type="dxa"/>
            <w:vAlign w:val="bottom"/>
            <w:tcBorders>
              <w:bottom w:val="single" w:sz="8" w:color="CCEEFF"/>
            </w:tcBorders>
            <w:shd w:val="clear" w:color="auto" w:fill="CCEEFF"/>
          </w:tcPr>
          <w:p>
            <w:pPr>
              <w:ind w:left="600"/>
              <w:spacing w:after="0" w:line="196" w:lineRule="exact"/>
              <w:rPr>
                <w:sz w:val="20"/>
                <w:szCs w:val="20"/>
                <w:color w:val="auto"/>
              </w:rPr>
            </w:pPr>
            <w:r>
              <w:rPr>
                <w:rFonts w:ascii="Arial" w:cs="Arial" w:eastAsia="Arial" w:hAnsi="Arial"/>
                <w:sz w:val="18"/>
                <w:szCs w:val="18"/>
                <w:color w:val="auto"/>
              </w:rPr>
              <w:t>Total liabilities and stockholders' equity</w:t>
            </w:r>
          </w:p>
        </w:tc>
        <w:tc>
          <w:tcPr>
            <w:tcW w:w="32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224,976</w:t>
            </w:r>
          </w:p>
        </w:tc>
        <w:tc>
          <w:tcPr>
            <w:tcW w:w="26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220,466</w:t>
            </w:r>
          </w:p>
        </w:tc>
      </w:tr>
      <w:tr>
        <w:trPr>
          <w:trHeight w:val="20"/>
        </w:trPr>
        <w:tc>
          <w:tcPr>
            <w:tcW w:w="86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424815</wp:posOffset>
            </wp:positionV>
            <wp:extent cx="72720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Statement of Cash Flows</w:t>
      </w: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6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gridSpan w:val="4"/>
          </w:tcPr>
          <w:p>
            <w:pPr>
              <w:jc w:val="right"/>
              <w:ind w:right="510"/>
              <w:spacing w:after="0"/>
              <w:rPr>
                <w:sz w:val="20"/>
                <w:szCs w:val="20"/>
                <w:color w:val="auto"/>
              </w:rPr>
            </w:pPr>
            <w:r>
              <w:rPr>
                <w:rFonts w:ascii="Arial" w:cs="Arial" w:eastAsia="Arial" w:hAnsi="Arial"/>
                <w:sz w:val="18"/>
                <w:szCs w:val="18"/>
                <w:b w:val="1"/>
                <w:bCs w:val="1"/>
                <w:color w:val="auto"/>
              </w:rPr>
              <w:t>Six Months Ended</w:t>
            </w:r>
          </w:p>
        </w:tc>
      </w:tr>
      <w:tr>
        <w:trPr>
          <w:trHeight w:val="173"/>
        </w:trPr>
        <w:tc>
          <w:tcPr>
            <w:tcW w:w="8660" w:type="dxa"/>
            <w:vAlign w:val="bottom"/>
          </w:tcPr>
          <w:p>
            <w:pPr>
              <w:spacing w:after="0"/>
              <w:rPr>
                <w:sz w:val="15"/>
                <w:szCs w:val="15"/>
                <w:color w:val="auto"/>
              </w:rPr>
            </w:pPr>
          </w:p>
        </w:tc>
        <w:tc>
          <w:tcPr>
            <w:tcW w:w="1500" w:type="dxa"/>
            <w:vAlign w:val="bottom"/>
            <w:gridSpan w:val="3"/>
          </w:tcPr>
          <w:p>
            <w:pPr>
              <w:ind w:left="60"/>
              <w:spacing w:after="0" w:line="173" w:lineRule="exact"/>
              <w:rPr>
                <w:sz w:val="20"/>
                <w:szCs w:val="20"/>
                <w:color w:val="auto"/>
              </w:rPr>
            </w:pPr>
            <w:r>
              <w:rPr>
                <w:rFonts w:ascii="Arial" w:cs="Arial" w:eastAsia="Arial" w:hAnsi="Arial"/>
                <w:sz w:val="18"/>
                <w:szCs w:val="18"/>
                <w:b w:val="1"/>
                <w:bCs w:val="1"/>
                <w:color w:val="auto"/>
              </w:rPr>
              <w:t>February 27,</w:t>
            </w:r>
          </w:p>
        </w:tc>
        <w:tc>
          <w:tcPr>
            <w:tcW w:w="1260" w:type="dxa"/>
            <w:vAlign w:val="bottom"/>
            <w:gridSpan w:val="2"/>
          </w:tcPr>
          <w:p>
            <w:pPr>
              <w:jc w:val="right"/>
              <w:ind w:right="30"/>
              <w:spacing w:after="0" w:line="173" w:lineRule="exact"/>
              <w:rPr>
                <w:sz w:val="20"/>
                <w:szCs w:val="20"/>
                <w:color w:val="auto"/>
              </w:rPr>
            </w:pPr>
            <w:r>
              <w:rPr>
                <w:rFonts w:ascii="Arial" w:cs="Arial" w:eastAsia="Arial" w:hAnsi="Arial"/>
                <w:sz w:val="18"/>
                <w:szCs w:val="18"/>
                <w:b w:val="1"/>
                <w:bCs w:val="1"/>
                <w:color w:val="auto"/>
              </w:rPr>
              <w:t>February 28,</w:t>
            </w:r>
          </w:p>
        </w:tc>
      </w:tr>
      <w:tr>
        <w:trPr>
          <w:trHeight w:val="225"/>
        </w:trPr>
        <w:tc>
          <w:tcPr>
            <w:tcW w:w="86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2010</w:t>
            </w:r>
          </w:p>
        </w:tc>
        <w:tc>
          <w:tcPr>
            <w:tcW w:w="2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2009</w:t>
            </w:r>
          </w:p>
        </w:tc>
      </w:tr>
      <w:tr>
        <w:trPr>
          <w:trHeight w:val="210"/>
        </w:trPr>
        <w:tc>
          <w:tcPr>
            <w:tcW w:w="8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Net loss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(638)</w:t>
            </w:r>
          </w:p>
        </w:tc>
        <w:tc>
          <w:tcPr>
            <w:tcW w:w="260" w:type="dxa"/>
            <w:vAlign w:val="bottom"/>
          </w:tcPr>
          <w:p>
            <w:pPr>
              <w:spacing w:after="0"/>
              <w:rPr>
                <w:sz w:val="18"/>
                <w:szCs w:val="18"/>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(19,977)</w:t>
            </w: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8660" w:type="dxa"/>
            <w:vAlign w:val="bottom"/>
          </w:tcPr>
          <w:p>
            <w:pPr>
              <w:ind w:left="240"/>
              <w:spacing w:after="0"/>
              <w:rPr>
                <w:sz w:val="20"/>
                <w:szCs w:val="20"/>
                <w:color w:val="auto"/>
              </w:rPr>
            </w:pPr>
            <w:r>
              <w:rPr>
                <w:rFonts w:ascii="Arial" w:cs="Arial" w:eastAsia="Arial" w:hAnsi="Arial"/>
                <w:sz w:val="18"/>
                <w:szCs w:val="18"/>
                <w:color w:val="auto"/>
              </w:rPr>
              <w:t>Depreciation</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3,296</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4,146</w:t>
            </w:r>
          </w:p>
        </w:tc>
      </w:tr>
      <w:tr>
        <w:trPr>
          <w:trHeight w:val="216"/>
        </w:trPr>
        <w:tc>
          <w:tcPr>
            <w:tcW w:w="86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Stock-based compensation</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w:t>
            </w:r>
          </w:p>
        </w:tc>
      </w:tr>
      <w:tr>
        <w:trPr>
          <w:trHeight w:val="216"/>
        </w:trPr>
        <w:tc>
          <w:tcPr>
            <w:tcW w:w="8660" w:type="dxa"/>
            <w:vAlign w:val="bottom"/>
          </w:tcPr>
          <w:p>
            <w:pPr>
              <w:ind w:left="240"/>
              <w:spacing w:after="0"/>
              <w:rPr>
                <w:sz w:val="20"/>
                <w:szCs w:val="20"/>
                <w:color w:val="auto"/>
              </w:rPr>
            </w:pPr>
            <w:r>
              <w:rPr>
                <w:rFonts w:ascii="Arial" w:cs="Arial" w:eastAsia="Arial" w:hAnsi="Arial"/>
                <w:sz w:val="18"/>
                <w:szCs w:val="18"/>
                <w:color w:val="auto"/>
              </w:rPr>
              <w:t>Postretirement benefit income and deferred compensation expense</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624</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711</w:t>
            </w:r>
          </w:p>
        </w:tc>
      </w:tr>
      <w:tr>
        <w:trPr>
          <w:trHeight w:val="216"/>
        </w:trPr>
        <w:tc>
          <w:tcPr>
            <w:tcW w:w="86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Deferred income taxes</w:t>
            </w: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w:t>
            </w:r>
          </w:p>
        </w:tc>
      </w:tr>
      <w:tr>
        <w:trPr>
          <w:trHeight w:val="216"/>
        </w:trPr>
        <w:tc>
          <w:tcPr>
            <w:tcW w:w="8660" w:type="dxa"/>
            <w:vAlign w:val="bottom"/>
          </w:tcPr>
          <w:p>
            <w:pPr>
              <w:ind w:left="240"/>
              <w:spacing w:after="0"/>
              <w:rPr>
                <w:sz w:val="20"/>
                <w:szCs w:val="20"/>
                <w:color w:val="auto"/>
              </w:rPr>
            </w:pPr>
            <w:r>
              <w:rPr>
                <w:rFonts w:ascii="Arial" w:cs="Arial" w:eastAsia="Arial" w:hAnsi="Arial"/>
                <w:sz w:val="18"/>
                <w:szCs w:val="18"/>
                <w:color w:val="auto"/>
              </w:rPr>
              <w:t>Increase in cash surrender value of life insurance policies</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(535)</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(513)</w:t>
            </w:r>
          </w:p>
        </w:tc>
      </w:tr>
      <w:tr>
        <w:trPr>
          <w:trHeight w:val="216"/>
        </w:trPr>
        <w:tc>
          <w:tcPr>
            <w:tcW w:w="86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Change in assets and liabilities:</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86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Inventories</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(12,974)</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37,818</w:t>
            </w:r>
          </w:p>
        </w:tc>
      </w:tr>
      <w:tr>
        <w:trPr>
          <w:trHeight w:val="216"/>
        </w:trPr>
        <w:tc>
          <w:tcPr>
            <w:tcW w:w="8660" w:type="dxa"/>
            <w:vAlign w:val="bottom"/>
          </w:tcPr>
          <w:p>
            <w:pPr>
              <w:ind w:left="240"/>
              <w:spacing w:after="0"/>
              <w:rPr>
                <w:sz w:val="20"/>
                <w:szCs w:val="20"/>
                <w:color w:val="auto"/>
              </w:rPr>
            </w:pPr>
            <w:r>
              <w:rPr>
                <w:rFonts w:ascii="Arial" w:cs="Arial" w:eastAsia="Arial" w:hAnsi="Arial"/>
                <w:sz w:val="18"/>
                <w:szCs w:val="18"/>
                <w:color w:val="auto"/>
              </w:rPr>
              <w:t>Receivables and prepaid assets</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(8,347)</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1,290</w:t>
            </w:r>
          </w:p>
        </w:tc>
      </w:tr>
      <w:tr>
        <w:trPr>
          <w:trHeight w:val="216"/>
        </w:trPr>
        <w:tc>
          <w:tcPr>
            <w:tcW w:w="86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Accounts payable and accrued expenses</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8,975</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(11,734)</w:t>
            </w:r>
          </w:p>
        </w:tc>
      </w:tr>
      <w:tr>
        <w:trPr>
          <w:trHeight w:val="216"/>
        </w:trPr>
        <w:tc>
          <w:tcPr>
            <w:tcW w:w="8660" w:type="dxa"/>
            <w:vAlign w:val="bottom"/>
          </w:tcPr>
          <w:p>
            <w:pPr>
              <w:ind w:left="240"/>
              <w:spacing w:after="0"/>
              <w:rPr>
                <w:sz w:val="20"/>
                <w:szCs w:val="20"/>
                <w:color w:val="auto"/>
              </w:rPr>
            </w:pPr>
            <w:r>
              <w:rPr>
                <w:rFonts w:ascii="Arial" w:cs="Arial" w:eastAsia="Arial" w:hAnsi="Arial"/>
                <w:sz w:val="18"/>
                <w:szCs w:val="18"/>
                <w:color w:val="auto"/>
              </w:rPr>
              <w:t>Income taxes receivable and unrecognized tax benefits</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15,983</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(12,756)</w:t>
            </w:r>
          </w:p>
        </w:tc>
      </w:tr>
      <w:tr>
        <w:trPr>
          <w:trHeight w:val="216"/>
        </w:trPr>
        <w:tc>
          <w:tcPr>
            <w:tcW w:w="86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Postretirement and deferred compensation benefits</w:t>
            </w: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(1,758)</w:t>
            </w:r>
          </w:p>
        </w:tc>
        <w:tc>
          <w:tcPr>
            <w:tcW w:w="2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(1,424)</w:t>
            </w:r>
          </w:p>
        </w:tc>
      </w:tr>
      <w:tr>
        <w:trPr>
          <w:trHeight w:val="196"/>
        </w:trPr>
        <w:tc>
          <w:tcPr>
            <w:tcW w:w="8660" w:type="dxa"/>
            <w:vAlign w:val="bottom"/>
            <w:tcBorders>
              <w:bottom w:val="single" w:sz="8" w:color="CCEEFF"/>
            </w:tcBorders>
          </w:tcPr>
          <w:p>
            <w:pPr>
              <w:spacing w:after="0" w:line="196" w:lineRule="exact"/>
              <w:rPr>
                <w:sz w:val="20"/>
                <w:szCs w:val="20"/>
                <w:color w:val="auto"/>
              </w:rPr>
            </w:pPr>
            <w:r>
              <w:rPr>
                <w:rFonts w:ascii="Arial" w:cs="Arial" w:eastAsia="Arial" w:hAnsi="Arial"/>
                <w:sz w:val="18"/>
                <w:szCs w:val="18"/>
                <w:color w:val="auto"/>
              </w:rPr>
              <w:t>Net cash provided by (used in) operating activities</w:t>
            </w: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4,902</w:t>
            </w:r>
          </w:p>
        </w:tc>
        <w:tc>
          <w:tcPr>
            <w:tcW w:w="26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(2,258)</w:t>
            </w:r>
          </w:p>
        </w:tc>
      </w:tr>
      <w:tr>
        <w:trPr>
          <w:trHeight w:val="210"/>
        </w:trPr>
        <w:tc>
          <w:tcPr>
            <w:tcW w:w="8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8660" w:type="dxa"/>
            <w:vAlign w:val="bottom"/>
          </w:tcPr>
          <w:p>
            <w:pPr>
              <w:ind w:left="240"/>
              <w:spacing w:after="0"/>
              <w:rPr>
                <w:sz w:val="20"/>
                <w:szCs w:val="20"/>
                <w:color w:val="auto"/>
              </w:rPr>
            </w:pPr>
            <w:r>
              <w:rPr>
                <w:rFonts w:ascii="Arial" w:cs="Arial" w:eastAsia="Arial" w:hAnsi="Arial"/>
                <w:sz w:val="18"/>
                <w:szCs w:val="18"/>
                <w:color w:val="auto"/>
              </w:rPr>
              <w:t>Proceeds from the sale of investments at par</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4,700</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8,500</w:t>
            </w:r>
          </w:p>
        </w:tc>
      </w:tr>
      <w:tr>
        <w:trPr>
          <w:trHeight w:val="216"/>
        </w:trPr>
        <w:tc>
          <w:tcPr>
            <w:tcW w:w="86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Purchases of property and equipment</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(1,344)</w:t>
            </w:r>
          </w:p>
        </w:tc>
      </w:tr>
      <w:tr>
        <w:trPr>
          <w:trHeight w:val="216"/>
        </w:trPr>
        <w:tc>
          <w:tcPr>
            <w:tcW w:w="86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w:t>
            </w:r>
          </w:p>
        </w:tc>
        <w:tc>
          <w:tcPr>
            <w:tcW w:w="2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(744)</w:t>
            </w:r>
          </w:p>
        </w:tc>
      </w:tr>
      <w:tr>
        <w:trPr>
          <w:trHeight w:val="196"/>
        </w:trPr>
        <w:tc>
          <w:tcPr>
            <w:tcW w:w="86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cash provided by investing activities</w:t>
            </w:r>
          </w:p>
        </w:tc>
        <w:tc>
          <w:tcPr>
            <w:tcW w:w="2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3,361</w:t>
            </w:r>
          </w:p>
        </w:tc>
        <w:tc>
          <w:tcPr>
            <w:tcW w:w="26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6,412</w:t>
            </w:r>
          </w:p>
        </w:tc>
      </w:tr>
      <w:tr>
        <w:trPr>
          <w:trHeight w:val="210"/>
        </w:trPr>
        <w:tc>
          <w:tcPr>
            <w:tcW w:w="866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86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Payments for purchase of common stock</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r>
      <w:tr>
        <w:trPr>
          <w:trHeight w:val="216"/>
        </w:trPr>
        <w:tc>
          <w:tcPr>
            <w:tcW w:w="8660" w:type="dxa"/>
            <w:vAlign w:val="bottom"/>
          </w:tcPr>
          <w:p>
            <w:pPr>
              <w:ind w:left="240"/>
              <w:spacing w:after="0"/>
              <w:rPr>
                <w:sz w:val="20"/>
                <w:szCs w:val="20"/>
                <w:color w:val="auto"/>
              </w:rPr>
            </w:pPr>
            <w:r>
              <w:rPr>
                <w:rFonts w:ascii="Arial" w:cs="Arial" w:eastAsia="Arial" w:hAnsi="Arial"/>
                <w:sz w:val="18"/>
                <w:szCs w:val="18"/>
                <w:color w:val="auto"/>
              </w:rPr>
              <w:t>Payments of cash dividends</w:t>
            </w:r>
          </w:p>
        </w:tc>
        <w:tc>
          <w:tcPr>
            <w:tcW w:w="26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(3,489)</w:t>
            </w:r>
          </w:p>
        </w:tc>
      </w:tr>
      <w:tr>
        <w:trPr>
          <w:trHeight w:val="216"/>
        </w:trPr>
        <w:tc>
          <w:tcPr>
            <w:tcW w:w="86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(Payments) borrowings on ARS portfolio</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(2,780)</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9,100</w:t>
            </w:r>
          </w:p>
        </w:tc>
      </w:tr>
      <w:tr>
        <w:trPr>
          <w:trHeight w:val="216"/>
        </w:trPr>
        <w:tc>
          <w:tcPr>
            <w:tcW w:w="8660" w:type="dxa"/>
            <w:vAlign w:val="bottom"/>
          </w:tcPr>
          <w:p>
            <w:pPr>
              <w:ind w:left="240"/>
              <w:spacing w:after="0"/>
              <w:rPr>
                <w:sz w:val="20"/>
                <w:szCs w:val="20"/>
                <w:color w:val="auto"/>
              </w:rPr>
            </w:pPr>
            <w:r>
              <w:rPr>
                <w:rFonts w:ascii="Arial" w:cs="Arial" w:eastAsia="Arial" w:hAnsi="Arial"/>
                <w:sz w:val="18"/>
                <w:szCs w:val="18"/>
                <w:color w:val="auto"/>
              </w:rPr>
              <w:t>Proceeds from issuance of treasury stock</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94</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86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2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196"/>
        </w:trPr>
        <w:tc>
          <w:tcPr>
            <w:tcW w:w="8660" w:type="dxa"/>
            <w:vAlign w:val="bottom"/>
            <w:tcBorders>
              <w:bottom w:val="single" w:sz="8" w:color="CCEEFF"/>
            </w:tcBorders>
          </w:tcPr>
          <w:p>
            <w:pPr>
              <w:spacing w:after="0" w:line="196" w:lineRule="exact"/>
              <w:rPr>
                <w:sz w:val="20"/>
                <w:szCs w:val="20"/>
                <w:color w:val="auto"/>
              </w:rPr>
            </w:pPr>
            <w:r>
              <w:rPr>
                <w:rFonts w:ascii="Arial" w:cs="Arial" w:eastAsia="Arial" w:hAnsi="Arial"/>
                <w:sz w:val="18"/>
                <w:szCs w:val="18"/>
                <w:color w:val="auto"/>
              </w:rPr>
              <w:t>Net cash (used in) provided by financing activities</w:t>
            </w: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(3,220)</w:t>
            </w:r>
          </w:p>
        </w:tc>
        <w:tc>
          <w:tcPr>
            <w:tcW w:w="26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5,449</w:t>
            </w:r>
          </w:p>
        </w:tc>
      </w:tr>
      <w:tr>
        <w:trPr>
          <w:trHeight w:val="196"/>
        </w:trPr>
        <w:tc>
          <w:tcPr>
            <w:tcW w:w="86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increase in cash and cash equivalents</w:t>
            </w: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5,043</w:t>
            </w: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9,603</w:t>
            </w:r>
          </w:p>
        </w:tc>
      </w:tr>
      <w:tr>
        <w:trPr>
          <w:trHeight w:val="216"/>
        </w:trPr>
        <w:tc>
          <w:tcPr>
            <w:tcW w:w="86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and cash equivalents at beginning of period</w:t>
            </w: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36,566</w:t>
            </w:r>
          </w:p>
        </w:tc>
        <w:tc>
          <w:tcPr>
            <w:tcW w:w="2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17,851</w:t>
            </w:r>
          </w:p>
        </w:tc>
      </w:tr>
      <w:tr>
        <w:trPr>
          <w:trHeight w:val="196"/>
        </w:trPr>
        <w:tc>
          <w:tcPr>
            <w:tcW w:w="866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Cash and cash equivalents at end of period</w:t>
            </w:r>
          </w:p>
        </w:tc>
        <w:tc>
          <w:tcPr>
            <w:tcW w:w="26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41,609</w:t>
            </w:r>
          </w:p>
        </w:tc>
        <w:tc>
          <w:tcPr>
            <w:tcW w:w="26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27,454</w:t>
            </w:r>
          </w:p>
        </w:tc>
      </w:tr>
      <w:tr>
        <w:trPr>
          <w:trHeight w:val="20"/>
        </w:trPr>
        <w:tc>
          <w:tcPr>
            <w:tcW w:w="8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2720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Motor Home Deliveries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8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320" w:type="dxa"/>
            <w:vAlign w:val="bottom"/>
            <w:gridSpan w:val="4"/>
          </w:tcPr>
          <w:p>
            <w:pPr>
              <w:ind w:left="320"/>
              <w:spacing w:after="0"/>
              <w:rPr>
                <w:sz w:val="20"/>
                <w:szCs w:val="20"/>
                <w:color w:val="auto"/>
              </w:rPr>
            </w:pPr>
            <w:r>
              <w:rPr>
                <w:rFonts w:ascii="Arial" w:cs="Arial" w:eastAsia="Arial" w:hAnsi="Arial"/>
                <w:sz w:val="18"/>
                <w:szCs w:val="18"/>
                <w:b w:val="1"/>
                <w:bCs w:val="1"/>
                <w:color w:val="auto"/>
              </w:rPr>
              <w:t>Quarter Ended</w:t>
            </w: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20" w:type="dxa"/>
            <w:vAlign w:val="bottom"/>
            <w:gridSpan w:val="4"/>
          </w:tcPr>
          <w:p>
            <w:pPr>
              <w:jc w:val="right"/>
              <w:ind w:right="640"/>
              <w:spacing w:after="0"/>
              <w:rPr>
                <w:sz w:val="20"/>
                <w:szCs w:val="20"/>
                <w:color w:val="auto"/>
              </w:rPr>
            </w:pPr>
            <w:r>
              <w:rPr>
                <w:rFonts w:ascii="Arial" w:cs="Arial" w:eastAsia="Arial" w:hAnsi="Arial"/>
                <w:sz w:val="18"/>
                <w:szCs w:val="18"/>
                <w:b w:val="1"/>
                <w:bCs w:val="1"/>
                <w:color w:val="auto"/>
              </w:rPr>
              <w:t>Change</w:t>
            </w:r>
          </w:p>
        </w:tc>
      </w:tr>
      <w:tr>
        <w:trPr>
          <w:trHeight w:val="173"/>
        </w:trPr>
        <w:tc>
          <w:tcPr>
            <w:tcW w:w="4880" w:type="dxa"/>
            <w:vAlign w:val="bottom"/>
          </w:tcPr>
          <w:p>
            <w:pPr>
              <w:spacing w:after="0"/>
              <w:rPr>
                <w:sz w:val="15"/>
                <w:szCs w:val="15"/>
                <w:color w:val="auto"/>
              </w:rPr>
            </w:pPr>
          </w:p>
        </w:tc>
        <w:tc>
          <w:tcPr>
            <w:tcW w:w="1340" w:type="dxa"/>
            <w:vAlign w:val="bottom"/>
            <w:tcBorders>
              <w:top w:val="single" w:sz="8" w:color="auto"/>
            </w:tcBorders>
            <w:gridSpan w:val="2"/>
          </w:tcPr>
          <w:p>
            <w:pPr>
              <w:ind w:left="80"/>
              <w:spacing w:after="0" w:line="173" w:lineRule="exact"/>
              <w:rPr>
                <w:sz w:val="20"/>
                <w:szCs w:val="20"/>
                <w:color w:val="auto"/>
              </w:rPr>
            </w:pPr>
            <w:r>
              <w:rPr>
                <w:rFonts w:ascii="Arial" w:cs="Arial" w:eastAsia="Arial" w:hAnsi="Arial"/>
                <w:sz w:val="18"/>
                <w:szCs w:val="18"/>
                <w:b w:val="1"/>
                <w:bCs w:val="1"/>
                <w:color w:val="auto"/>
              </w:rPr>
              <w:t>February 27,</w:t>
            </w:r>
          </w:p>
        </w:tc>
        <w:tc>
          <w:tcPr>
            <w:tcW w:w="980" w:type="dxa"/>
            <w:vAlign w:val="bottom"/>
            <w:tcBorders>
              <w:top w:val="single" w:sz="8" w:color="auto"/>
            </w:tcBorders>
            <w:gridSpan w:val="2"/>
          </w:tcPr>
          <w:p>
            <w:pPr>
              <w:jc w:val="right"/>
              <w:ind w:right="220"/>
              <w:spacing w:after="0" w:line="173" w:lineRule="exact"/>
              <w:rPr>
                <w:sz w:val="20"/>
                <w:szCs w:val="20"/>
                <w:color w:val="auto"/>
              </w:rPr>
            </w:pPr>
            <w:r>
              <w:rPr>
                <w:rFonts w:ascii="Arial" w:cs="Arial" w:eastAsia="Arial" w:hAnsi="Arial"/>
                <w:sz w:val="18"/>
                <w:szCs w:val="18"/>
                <w:b w:val="1"/>
                <w:bCs w:val="1"/>
                <w:color w:val="auto"/>
              </w:rPr>
              <w:t>Product</w:t>
            </w:r>
          </w:p>
        </w:tc>
        <w:tc>
          <w:tcPr>
            <w:tcW w:w="1340" w:type="dxa"/>
            <w:vAlign w:val="bottom"/>
            <w:tcBorders>
              <w:top w:val="single" w:sz="8" w:color="auto"/>
            </w:tcBorders>
            <w:gridSpan w:val="2"/>
          </w:tcPr>
          <w:p>
            <w:pPr>
              <w:ind w:left="80"/>
              <w:spacing w:after="0" w:line="173" w:lineRule="exact"/>
              <w:rPr>
                <w:sz w:val="20"/>
                <w:szCs w:val="20"/>
                <w:color w:val="auto"/>
              </w:rPr>
            </w:pPr>
            <w:r>
              <w:rPr>
                <w:rFonts w:ascii="Arial" w:cs="Arial" w:eastAsia="Arial" w:hAnsi="Arial"/>
                <w:sz w:val="18"/>
                <w:szCs w:val="18"/>
                <w:b w:val="1"/>
                <w:bCs w:val="1"/>
                <w:color w:val="auto"/>
              </w:rPr>
              <w:t>February 28,</w:t>
            </w:r>
          </w:p>
        </w:tc>
        <w:tc>
          <w:tcPr>
            <w:tcW w:w="900" w:type="dxa"/>
            <w:vAlign w:val="bottom"/>
            <w:tcBorders>
              <w:top w:val="single" w:sz="8" w:color="auto"/>
            </w:tcBorders>
          </w:tcPr>
          <w:p>
            <w:pPr>
              <w:jc w:val="right"/>
              <w:ind w:right="30"/>
              <w:spacing w:after="0" w:line="173" w:lineRule="exact"/>
              <w:rPr>
                <w:sz w:val="20"/>
                <w:szCs w:val="20"/>
                <w:color w:val="auto"/>
              </w:rPr>
            </w:pPr>
            <w:r>
              <w:rPr>
                <w:rFonts w:ascii="Arial" w:cs="Arial" w:eastAsia="Arial" w:hAnsi="Arial"/>
                <w:sz w:val="18"/>
                <w:szCs w:val="18"/>
                <w:b w:val="1"/>
                <w:bCs w:val="1"/>
                <w:color w:val="auto"/>
              </w:rPr>
              <w:t>Product</w:t>
            </w:r>
          </w:p>
        </w:tc>
        <w:tc>
          <w:tcPr>
            <w:tcW w:w="80" w:type="dxa"/>
            <w:vAlign w:val="bottom"/>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225"/>
        </w:trPr>
        <w:tc>
          <w:tcPr>
            <w:tcW w:w="48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Motor home unit deliveries:</w:t>
            </w:r>
          </w:p>
        </w:tc>
        <w:tc>
          <w:tcPr>
            <w:tcW w:w="12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2010</w:t>
            </w:r>
          </w:p>
        </w:tc>
        <w:tc>
          <w:tcPr>
            <w:tcW w:w="8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Mix %</w:t>
            </w:r>
          </w:p>
        </w:tc>
        <w:tc>
          <w:tcPr>
            <w:tcW w:w="8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2009</w:t>
            </w:r>
          </w:p>
        </w:tc>
        <w:tc>
          <w:tcPr>
            <w:tcW w:w="8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Mix %</w:t>
            </w:r>
          </w:p>
        </w:tc>
        <w:tc>
          <w:tcPr>
            <w:tcW w:w="8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gridSpan w:val="2"/>
          </w:tcPr>
          <w:p>
            <w:pPr>
              <w:ind w:left="240"/>
              <w:spacing w:after="0"/>
              <w:rPr>
                <w:sz w:val="20"/>
                <w:szCs w:val="20"/>
                <w:color w:val="auto"/>
              </w:rPr>
            </w:pPr>
            <w:r>
              <w:rPr>
                <w:rFonts w:ascii="Arial" w:cs="Arial" w:eastAsia="Arial" w:hAnsi="Arial"/>
                <w:sz w:val="18"/>
                <w:szCs w:val="18"/>
                <w:b w:val="1"/>
                <w:bCs w:val="1"/>
                <w:color w:val="auto"/>
              </w:rPr>
              <w:t>Units</w:t>
            </w: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9"/>
                <w:szCs w:val="19"/>
                <w:color w:val="auto"/>
              </w:rPr>
            </w:pPr>
          </w:p>
        </w:tc>
      </w:tr>
      <w:tr>
        <w:trPr>
          <w:trHeight w:val="210"/>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Class A Gas</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34.1 %</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24.4%</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390.9%</w:t>
            </w:r>
          </w:p>
        </w:tc>
        <w:tc>
          <w:tcPr>
            <w:tcW w:w="20" w:type="dxa"/>
            <w:vAlign w:val="bottom"/>
          </w:tcPr>
          <w:p>
            <w:pPr>
              <w:spacing w:after="0"/>
              <w:rPr>
                <w:sz w:val="18"/>
                <w:szCs w:val="18"/>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Class A Diesel</w:t>
            </w:r>
          </w:p>
        </w:tc>
        <w:tc>
          <w:tcPr>
            <w:tcW w:w="1260" w:type="dxa"/>
            <w:vAlign w:val="bottom"/>
          </w:tcPr>
          <w:p>
            <w:pPr>
              <w:jc w:val="right"/>
              <w:spacing w:after="0"/>
              <w:rPr>
                <w:sz w:val="20"/>
                <w:szCs w:val="20"/>
                <w:color w:val="auto"/>
              </w:rPr>
            </w:pPr>
            <w:r>
              <w:rPr>
                <w:rFonts w:ascii="Arial" w:cs="Arial" w:eastAsia="Arial" w:hAnsi="Arial"/>
                <w:sz w:val="18"/>
                <w:szCs w:val="18"/>
                <w:color w:val="auto"/>
              </w:rPr>
              <w:t>254</w:t>
            </w:r>
          </w:p>
        </w:tc>
        <w:tc>
          <w:tcPr>
            <w:tcW w:w="8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22.9 %</w:t>
            </w:r>
          </w:p>
        </w:tc>
        <w:tc>
          <w:tcPr>
            <w:tcW w:w="1260" w:type="dxa"/>
            <w:vAlign w:val="bottom"/>
          </w:tcPr>
          <w:p>
            <w:pPr>
              <w:jc w:val="right"/>
              <w:spacing w:after="0"/>
              <w:rPr>
                <w:sz w:val="20"/>
                <w:szCs w:val="20"/>
                <w:color w:val="auto"/>
              </w:rPr>
            </w:pPr>
            <w:r>
              <w:rPr>
                <w:rFonts w:ascii="Arial" w:cs="Arial" w:eastAsia="Arial" w:hAnsi="Arial"/>
                <w:sz w:val="18"/>
                <w:szCs w:val="18"/>
                <w:color w:val="auto"/>
              </w:rPr>
              <w:t>45</w:t>
            </w:r>
          </w:p>
        </w:tc>
        <w:tc>
          <w:tcPr>
            <w:tcW w:w="8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14.3%</w:t>
            </w:r>
          </w:p>
        </w:tc>
        <w:tc>
          <w:tcPr>
            <w:tcW w:w="920" w:type="dxa"/>
            <w:vAlign w:val="bottom"/>
          </w:tcPr>
          <w:p>
            <w:pPr>
              <w:jc w:val="right"/>
              <w:spacing w:after="0"/>
              <w:rPr>
                <w:sz w:val="20"/>
                <w:szCs w:val="20"/>
                <w:color w:val="auto"/>
              </w:rPr>
            </w:pPr>
            <w:r>
              <w:rPr>
                <w:rFonts w:ascii="Arial" w:cs="Arial" w:eastAsia="Arial" w:hAnsi="Arial"/>
                <w:sz w:val="18"/>
                <w:szCs w:val="18"/>
                <w:color w:val="auto"/>
              </w:rPr>
              <w:t>209</w:t>
            </w:r>
          </w:p>
        </w:tc>
        <w:tc>
          <w:tcPr>
            <w:tcW w:w="8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464.4%</w:t>
            </w:r>
          </w:p>
        </w:tc>
      </w:tr>
      <w:tr>
        <w:trPr>
          <w:trHeight w:val="196"/>
        </w:trPr>
        <w:tc>
          <w:tcPr>
            <w:tcW w:w="4880" w:type="dxa"/>
            <w:vAlign w:val="bottom"/>
            <w:tcBorders>
              <w:top w:val="single" w:sz="8" w:color="CCEEFF"/>
            </w:tcBorders>
            <w:shd w:val="clear" w:color="auto" w:fill="CCEEFF"/>
          </w:tcPr>
          <w:p>
            <w:pPr>
              <w:ind w:left="240"/>
              <w:spacing w:after="0" w:line="196" w:lineRule="exact"/>
              <w:rPr>
                <w:sz w:val="20"/>
                <w:szCs w:val="20"/>
                <w:color w:val="auto"/>
              </w:rPr>
            </w:pPr>
            <w:r>
              <w:rPr>
                <w:rFonts w:ascii="Arial" w:cs="Arial" w:eastAsia="Arial" w:hAnsi="Arial"/>
                <w:sz w:val="18"/>
                <w:szCs w:val="18"/>
                <w:color w:val="auto"/>
              </w:rPr>
              <w:t>Total Class A</w:t>
            </w:r>
          </w:p>
        </w:tc>
        <w:tc>
          <w:tcPr>
            <w:tcW w:w="12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632</w:t>
            </w:r>
          </w:p>
        </w:tc>
        <w:tc>
          <w:tcPr>
            <w:tcW w:w="8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57.0 %</w:t>
            </w:r>
          </w:p>
        </w:tc>
        <w:tc>
          <w:tcPr>
            <w:tcW w:w="8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122</w:t>
            </w:r>
          </w:p>
        </w:tc>
        <w:tc>
          <w:tcPr>
            <w:tcW w:w="8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38.7%</w:t>
            </w:r>
          </w:p>
        </w:tc>
        <w:tc>
          <w:tcPr>
            <w:tcW w:w="8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510</w:t>
            </w:r>
          </w:p>
        </w:tc>
        <w:tc>
          <w:tcPr>
            <w:tcW w:w="8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418.0%</w:t>
            </w:r>
          </w:p>
        </w:tc>
        <w:tc>
          <w:tcPr>
            <w:tcW w:w="20" w:type="dxa"/>
            <w:vAlign w:val="bottom"/>
          </w:tcPr>
          <w:p>
            <w:pPr>
              <w:spacing w:after="0"/>
              <w:rPr>
                <w:sz w:val="17"/>
                <w:szCs w:val="17"/>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Class B</w:t>
            </w:r>
          </w:p>
        </w:tc>
        <w:tc>
          <w:tcPr>
            <w:tcW w:w="1260" w:type="dxa"/>
            <w:vAlign w:val="bottom"/>
          </w:tcPr>
          <w:p>
            <w:pPr>
              <w:jc w:val="right"/>
              <w:spacing w:after="0"/>
              <w:rPr>
                <w:sz w:val="20"/>
                <w:szCs w:val="20"/>
                <w:color w:val="auto"/>
              </w:rPr>
            </w:pPr>
            <w:r>
              <w:rPr>
                <w:rFonts w:ascii="Arial" w:cs="Arial" w:eastAsia="Arial" w:hAnsi="Arial"/>
                <w:sz w:val="18"/>
                <w:szCs w:val="18"/>
                <w:color w:val="auto"/>
              </w:rPr>
              <w:t>64</w:t>
            </w:r>
          </w:p>
        </w:tc>
        <w:tc>
          <w:tcPr>
            <w:tcW w:w="8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5.8 %</w:t>
            </w:r>
          </w:p>
        </w:tc>
        <w:tc>
          <w:tcPr>
            <w:tcW w:w="1260" w:type="dxa"/>
            <w:vAlign w:val="bottom"/>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2.5%</w:t>
            </w:r>
          </w:p>
        </w:tc>
        <w:tc>
          <w:tcPr>
            <w:tcW w:w="920" w:type="dxa"/>
            <w:vAlign w:val="bottom"/>
          </w:tcPr>
          <w:p>
            <w:pPr>
              <w:jc w:val="right"/>
              <w:spacing w:after="0"/>
              <w:rPr>
                <w:sz w:val="20"/>
                <w:szCs w:val="20"/>
                <w:color w:val="auto"/>
              </w:rPr>
            </w:pPr>
            <w:r>
              <w:rPr>
                <w:rFonts w:ascii="Arial" w:cs="Arial" w:eastAsia="Arial" w:hAnsi="Arial"/>
                <w:sz w:val="18"/>
                <w:szCs w:val="18"/>
                <w:color w:val="auto"/>
              </w:rPr>
              <w:t>56</w:t>
            </w:r>
          </w:p>
        </w:tc>
        <w:tc>
          <w:tcPr>
            <w:tcW w:w="8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700.0%</w:t>
            </w: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Class C</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37.2 %</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58.8%</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123.2%</w:t>
            </w:r>
          </w:p>
        </w:tc>
        <w:tc>
          <w:tcPr>
            <w:tcW w:w="20" w:type="dxa"/>
            <w:vAlign w:val="bottom"/>
          </w:tcPr>
          <w:p>
            <w:pPr>
              <w:spacing w:after="0"/>
              <w:rPr>
                <w:sz w:val="18"/>
                <w:szCs w:val="18"/>
                <w:color w:val="auto"/>
              </w:rPr>
            </w:pPr>
          </w:p>
        </w:tc>
      </w:tr>
      <w:tr>
        <w:trPr>
          <w:trHeight w:val="196"/>
        </w:trPr>
        <w:tc>
          <w:tcPr>
            <w:tcW w:w="4880" w:type="dxa"/>
            <w:vAlign w:val="bottom"/>
          </w:tcPr>
          <w:p>
            <w:pPr>
              <w:ind w:left="240"/>
              <w:spacing w:after="0" w:line="196" w:lineRule="exact"/>
              <w:rPr>
                <w:sz w:val="20"/>
                <w:szCs w:val="20"/>
                <w:color w:val="auto"/>
              </w:rPr>
            </w:pPr>
            <w:r>
              <w:rPr>
                <w:rFonts w:ascii="Arial" w:cs="Arial" w:eastAsia="Arial" w:hAnsi="Arial"/>
                <w:sz w:val="18"/>
                <w:szCs w:val="18"/>
                <w:color w:val="auto"/>
              </w:rPr>
              <w:t>Total deliveries</w:t>
            </w:r>
          </w:p>
        </w:tc>
        <w:tc>
          <w:tcPr>
            <w:tcW w:w="12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1,109</w:t>
            </w:r>
          </w:p>
        </w:tc>
        <w:tc>
          <w:tcPr>
            <w:tcW w:w="80" w:type="dxa"/>
            <w:vAlign w:val="bottom"/>
          </w:tcPr>
          <w:p>
            <w:pPr>
              <w:spacing w:after="0"/>
              <w:rPr>
                <w:sz w:val="17"/>
                <w:szCs w:val="17"/>
                <w:color w:val="auto"/>
              </w:rPr>
            </w:pPr>
          </w:p>
        </w:tc>
        <w:tc>
          <w:tcPr>
            <w:tcW w:w="9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100.0 %</w:t>
            </w:r>
          </w:p>
        </w:tc>
        <w:tc>
          <w:tcPr>
            <w:tcW w:w="80" w:type="dxa"/>
            <w:vAlign w:val="bottom"/>
          </w:tcPr>
          <w:p>
            <w:pPr>
              <w:spacing w:after="0"/>
              <w:rPr>
                <w:sz w:val="17"/>
                <w:szCs w:val="17"/>
                <w:color w:val="auto"/>
              </w:rPr>
            </w:pPr>
          </w:p>
        </w:tc>
        <w:tc>
          <w:tcPr>
            <w:tcW w:w="12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315</w:t>
            </w:r>
          </w:p>
        </w:tc>
        <w:tc>
          <w:tcPr>
            <w:tcW w:w="80" w:type="dxa"/>
            <w:vAlign w:val="bottom"/>
          </w:tcPr>
          <w:p>
            <w:pPr>
              <w:spacing w:after="0"/>
              <w:rPr>
                <w:sz w:val="17"/>
                <w:szCs w:val="17"/>
                <w:color w:val="auto"/>
              </w:rPr>
            </w:pPr>
          </w:p>
        </w:tc>
        <w:tc>
          <w:tcPr>
            <w:tcW w:w="9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100.0%</w:t>
            </w:r>
          </w:p>
        </w:tc>
        <w:tc>
          <w:tcPr>
            <w:tcW w:w="80" w:type="dxa"/>
            <w:vAlign w:val="bottom"/>
          </w:tcPr>
          <w:p>
            <w:pPr>
              <w:spacing w:after="0"/>
              <w:rPr>
                <w:sz w:val="17"/>
                <w:szCs w:val="17"/>
                <w:color w:val="auto"/>
              </w:rPr>
            </w:pPr>
          </w:p>
        </w:tc>
        <w:tc>
          <w:tcPr>
            <w:tcW w:w="9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794</w:t>
            </w:r>
          </w:p>
        </w:tc>
        <w:tc>
          <w:tcPr>
            <w:tcW w:w="80" w:type="dxa"/>
            <w:vAlign w:val="bottom"/>
          </w:tcPr>
          <w:p>
            <w:pPr>
              <w:spacing w:after="0"/>
              <w:rPr>
                <w:sz w:val="17"/>
                <w:szCs w:val="17"/>
                <w:color w:val="auto"/>
              </w:rPr>
            </w:pPr>
          </w:p>
        </w:tc>
        <w:tc>
          <w:tcPr>
            <w:tcW w:w="9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252.1%</w:t>
            </w:r>
          </w:p>
        </w:tc>
        <w:tc>
          <w:tcPr>
            <w:tcW w:w="20" w:type="dxa"/>
            <w:vAlign w:val="bottom"/>
            <w:tcBorders>
              <w:bottom w:val="single" w:sz="8" w:color="auto"/>
            </w:tcBorders>
          </w:tcPr>
          <w:p>
            <w:pPr>
              <w:spacing w:after="0"/>
              <w:rPr>
                <w:sz w:val="17"/>
                <w:szCs w:val="17"/>
                <w:color w:val="auto"/>
              </w:rPr>
            </w:pPr>
          </w:p>
        </w:tc>
      </w:tr>
      <w:tr>
        <w:trPr>
          <w:trHeight w:val="20"/>
        </w:trPr>
        <w:tc>
          <w:tcPr>
            <w:tcW w:w="48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ectPr>
          <w:pgSz w:w="11900" w:h="16838" w:orient="portrait"/>
          <w:cols w:equalWidth="0" w:num="1">
            <w:col w:w="11420"/>
          </w:cols>
          <w:pgMar w:left="240" w:top="140" w:right="239" w:bottom="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9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60" w:type="dxa"/>
            <w:vAlign w:val="bottom"/>
            <w:gridSpan w:val="10"/>
          </w:tcPr>
          <w:p>
            <w:pPr>
              <w:jc w:val="right"/>
              <w:ind w:right="680"/>
              <w:spacing w:after="0"/>
              <w:rPr>
                <w:sz w:val="20"/>
                <w:szCs w:val="20"/>
                <w:color w:val="auto"/>
              </w:rPr>
            </w:pPr>
            <w:r>
              <w:rPr>
                <w:rFonts w:ascii="Arial" w:cs="Arial" w:eastAsia="Arial" w:hAnsi="Arial"/>
                <w:sz w:val="18"/>
                <w:szCs w:val="18"/>
                <w:b w:val="1"/>
                <w:bCs w:val="1"/>
                <w:color w:val="auto"/>
                <w:w w:val="99"/>
              </w:rPr>
              <w:t>Six Months Ended</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80" w:type="dxa"/>
            <w:vAlign w:val="bottom"/>
            <w:gridSpan w:val="6"/>
          </w:tcPr>
          <w:p>
            <w:pPr>
              <w:jc w:val="right"/>
              <w:ind w:right="640"/>
              <w:spacing w:after="0"/>
              <w:rPr>
                <w:sz w:val="20"/>
                <w:szCs w:val="20"/>
                <w:color w:val="auto"/>
              </w:rPr>
            </w:pPr>
            <w:r>
              <w:rPr>
                <w:rFonts w:ascii="Arial" w:cs="Arial" w:eastAsia="Arial" w:hAnsi="Arial"/>
                <w:sz w:val="18"/>
                <w:szCs w:val="18"/>
                <w:b w:val="1"/>
                <w:bCs w:val="1"/>
                <w:color w:val="auto"/>
              </w:rPr>
              <w:t>Change</w:t>
            </w:r>
          </w:p>
        </w:tc>
      </w:tr>
      <w:tr>
        <w:trPr>
          <w:trHeight w:val="173"/>
        </w:trPr>
        <w:tc>
          <w:tcPr>
            <w:tcW w:w="39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20" w:type="dxa"/>
            <w:vAlign w:val="bottom"/>
            <w:tcBorders>
              <w:top w:val="single" w:sz="8" w:color="auto"/>
            </w:tcBorders>
            <w:gridSpan w:val="5"/>
          </w:tcPr>
          <w:p>
            <w:pPr>
              <w:jc w:val="right"/>
              <w:ind w:right="280"/>
              <w:spacing w:after="0" w:line="173" w:lineRule="exact"/>
              <w:rPr>
                <w:sz w:val="20"/>
                <w:szCs w:val="20"/>
                <w:color w:val="auto"/>
              </w:rPr>
            </w:pPr>
            <w:r>
              <w:rPr>
                <w:rFonts w:ascii="Arial" w:cs="Arial" w:eastAsia="Arial" w:hAnsi="Arial"/>
                <w:sz w:val="18"/>
                <w:szCs w:val="18"/>
                <w:b w:val="1"/>
                <w:bCs w:val="1"/>
                <w:color w:val="auto"/>
              </w:rPr>
              <w:t>February 27,</w:t>
            </w:r>
          </w:p>
        </w:tc>
        <w:tc>
          <w:tcPr>
            <w:tcW w:w="940" w:type="dxa"/>
            <w:vAlign w:val="bottom"/>
            <w:tcBorders>
              <w:top w:val="single" w:sz="8" w:color="auto"/>
            </w:tcBorders>
            <w:gridSpan w:val="5"/>
          </w:tcPr>
          <w:p>
            <w:pPr>
              <w:spacing w:after="0" w:line="173" w:lineRule="exact"/>
              <w:rPr>
                <w:sz w:val="20"/>
                <w:szCs w:val="20"/>
                <w:color w:val="auto"/>
              </w:rPr>
            </w:pPr>
            <w:r>
              <w:rPr>
                <w:rFonts w:ascii="Arial" w:cs="Arial" w:eastAsia="Arial" w:hAnsi="Arial"/>
                <w:sz w:val="18"/>
                <w:szCs w:val="18"/>
                <w:b w:val="1"/>
                <w:bCs w:val="1"/>
                <w:color w:val="auto"/>
              </w:rPr>
              <w:t>Product</w:t>
            </w:r>
          </w:p>
        </w:tc>
        <w:tc>
          <w:tcPr>
            <w:tcW w:w="1380" w:type="dxa"/>
            <w:vAlign w:val="bottom"/>
            <w:tcBorders>
              <w:top w:val="single" w:sz="8" w:color="auto"/>
            </w:tcBorders>
            <w:gridSpan w:val="6"/>
          </w:tcPr>
          <w:p>
            <w:pPr>
              <w:jc w:val="right"/>
              <w:ind w:right="280"/>
              <w:spacing w:after="0" w:line="173" w:lineRule="exact"/>
              <w:rPr>
                <w:sz w:val="20"/>
                <w:szCs w:val="20"/>
                <w:color w:val="auto"/>
              </w:rPr>
            </w:pPr>
            <w:r>
              <w:rPr>
                <w:rFonts w:ascii="Arial" w:cs="Arial" w:eastAsia="Arial" w:hAnsi="Arial"/>
                <w:sz w:val="18"/>
                <w:szCs w:val="18"/>
                <w:b w:val="1"/>
                <w:bCs w:val="1"/>
                <w:color w:val="auto"/>
              </w:rPr>
              <w:t>February 28,</w:t>
            </w:r>
          </w:p>
        </w:tc>
        <w:tc>
          <w:tcPr>
            <w:tcW w:w="820" w:type="dxa"/>
            <w:vAlign w:val="bottom"/>
            <w:tcBorders>
              <w:top w:val="single" w:sz="8" w:color="auto"/>
            </w:tcBorders>
            <w:gridSpan w:val="3"/>
          </w:tcPr>
          <w:p>
            <w:pPr>
              <w:jc w:val="right"/>
              <w:ind w:right="30"/>
              <w:spacing w:after="0" w:line="173" w:lineRule="exact"/>
              <w:rPr>
                <w:sz w:val="20"/>
                <w:szCs w:val="20"/>
                <w:color w:val="auto"/>
              </w:rPr>
            </w:pPr>
            <w:r>
              <w:rPr>
                <w:rFonts w:ascii="Arial" w:cs="Arial" w:eastAsia="Arial" w:hAnsi="Arial"/>
                <w:sz w:val="18"/>
                <w:szCs w:val="18"/>
                <w:b w:val="1"/>
                <w:bCs w:val="1"/>
                <w:color w:val="auto"/>
                <w:w w:val="99"/>
              </w:rPr>
              <w:t>Product</w:t>
            </w: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225"/>
        </w:trPr>
        <w:tc>
          <w:tcPr>
            <w:tcW w:w="394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Motor home unit deliveries:</w:t>
            </w:r>
          </w:p>
        </w:tc>
        <w:tc>
          <w:tcPr>
            <w:tcW w:w="9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2010</w:t>
            </w:r>
          </w:p>
        </w:tc>
        <w:tc>
          <w:tcPr>
            <w:tcW w:w="8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b w:val="1"/>
                <w:bCs w:val="1"/>
                <w:color w:val="auto"/>
              </w:rPr>
              <w:t>Mix %</w:t>
            </w: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9"/>
              </w:rPr>
              <w:t>2009</w:t>
            </w:r>
          </w:p>
        </w:tc>
        <w:tc>
          <w:tcPr>
            <w:tcW w:w="8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b w:val="1"/>
                <w:bCs w:val="1"/>
                <w:color w:val="auto"/>
              </w:rPr>
              <w:t>Mix %</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gridSpan w:val="2"/>
          </w:tcPr>
          <w:p>
            <w:pPr>
              <w:spacing w:after="0"/>
              <w:rPr>
                <w:sz w:val="19"/>
                <w:szCs w:val="19"/>
                <w:color w:val="auto"/>
              </w:rPr>
            </w:pPr>
          </w:p>
        </w:tc>
        <w:tc>
          <w:tcPr>
            <w:tcW w:w="900" w:type="dxa"/>
            <w:vAlign w:val="bottom"/>
            <w:tcBorders>
              <w:bottom w:val="single" w:sz="8" w:color="auto"/>
            </w:tcBorders>
            <w:gridSpan w:val="5"/>
          </w:tcPr>
          <w:p>
            <w:pPr>
              <w:ind w:left="40"/>
              <w:spacing w:after="0"/>
              <w:rPr>
                <w:sz w:val="20"/>
                <w:szCs w:val="20"/>
                <w:color w:val="auto"/>
              </w:rPr>
            </w:pPr>
            <w:r>
              <w:rPr>
                <w:rFonts w:ascii="Arial" w:cs="Arial" w:eastAsia="Arial" w:hAnsi="Arial"/>
                <w:sz w:val="18"/>
                <w:szCs w:val="18"/>
                <w:b w:val="1"/>
                <w:bCs w:val="1"/>
                <w:color w:val="auto"/>
              </w:rPr>
              <w:t>Units</w:t>
            </w: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9"/>
                <w:szCs w:val="19"/>
                <w:color w:val="auto"/>
              </w:rPr>
            </w:pPr>
          </w:p>
        </w:tc>
      </w:tr>
      <w:tr>
        <w:trPr>
          <w:trHeight w:val="210"/>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Class A Gas</w:t>
            </w: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32.2 %</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24.9%</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153.3%</w:t>
            </w:r>
          </w:p>
        </w:tc>
        <w:tc>
          <w:tcPr>
            <w:tcW w:w="20" w:type="dxa"/>
            <w:vAlign w:val="bottom"/>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Class A Diesel</w:t>
            </w: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434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4"/>
          </w:tcPr>
          <w:p>
            <w:pPr>
              <w:jc w:val="right"/>
              <w:spacing w:after="0"/>
              <w:rPr>
                <w:sz w:val="20"/>
                <w:szCs w:val="20"/>
                <w:color w:val="auto"/>
              </w:rPr>
            </w:pPr>
            <w:r>
              <w:rPr>
                <w:rFonts w:ascii="Arial" w:cs="Arial" w:eastAsia="Arial" w:hAnsi="Arial"/>
                <w:sz w:val="18"/>
                <w:szCs w:val="18"/>
                <w:color w:val="auto"/>
              </w:rPr>
              <w:t>22.8 %</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4"/>
          </w:tcPr>
          <w:p>
            <w:pPr>
              <w:jc w:val="right"/>
              <w:ind w:right="80"/>
              <w:spacing w:after="0"/>
              <w:rPr>
                <w:sz w:val="20"/>
                <w:szCs w:val="20"/>
                <w:color w:val="auto"/>
              </w:rPr>
            </w:pPr>
            <w:r>
              <w:rPr>
                <w:rFonts w:ascii="Arial" w:cs="Arial" w:eastAsia="Arial" w:hAnsi="Arial"/>
                <w:sz w:val="18"/>
                <w:szCs w:val="18"/>
                <w:color w:val="auto"/>
              </w:rPr>
              <w:t>16.8%</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271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166.3%</w:t>
            </w:r>
          </w:p>
        </w:tc>
      </w:tr>
      <w:tr>
        <w:trPr>
          <w:trHeight w:val="196"/>
        </w:trPr>
        <w:tc>
          <w:tcPr>
            <w:tcW w:w="3940" w:type="dxa"/>
            <w:vAlign w:val="bottom"/>
            <w:tcBorders>
              <w:top w:val="single" w:sz="8" w:color="CCEEFF"/>
            </w:tcBorders>
            <w:shd w:val="clear" w:color="auto" w:fill="CCEEFF"/>
          </w:tcPr>
          <w:p>
            <w:pPr>
              <w:ind w:left="240"/>
              <w:spacing w:after="0" w:line="196" w:lineRule="exact"/>
              <w:rPr>
                <w:sz w:val="20"/>
                <w:szCs w:val="20"/>
                <w:color w:val="auto"/>
              </w:rPr>
            </w:pPr>
            <w:r>
              <w:rPr>
                <w:rFonts w:ascii="Arial" w:cs="Arial" w:eastAsia="Arial" w:hAnsi="Arial"/>
                <w:sz w:val="18"/>
                <w:szCs w:val="18"/>
                <w:color w:val="auto"/>
              </w:rPr>
              <w:t>Total Class A</w:t>
            </w:r>
          </w:p>
        </w:tc>
        <w:tc>
          <w:tcPr>
            <w:tcW w:w="9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1,047</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55.0 %</w:t>
            </w: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405</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41.7%</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642</w:t>
            </w: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158.5%</w:t>
            </w:r>
          </w:p>
        </w:tc>
        <w:tc>
          <w:tcPr>
            <w:tcW w:w="20" w:type="dxa"/>
            <w:vAlign w:val="bottom"/>
          </w:tcPr>
          <w:p>
            <w:pPr>
              <w:spacing w:after="0"/>
              <w:rPr>
                <w:sz w:val="17"/>
                <w:szCs w:val="17"/>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Class B</w:t>
            </w: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4"/>
          </w:tcPr>
          <w:p>
            <w:pPr>
              <w:jc w:val="right"/>
              <w:spacing w:after="0"/>
              <w:rPr>
                <w:sz w:val="20"/>
                <w:szCs w:val="20"/>
                <w:color w:val="auto"/>
              </w:rPr>
            </w:pPr>
            <w:r>
              <w:rPr>
                <w:rFonts w:ascii="Arial" w:cs="Arial" w:eastAsia="Arial" w:hAnsi="Arial"/>
                <w:sz w:val="18"/>
                <w:szCs w:val="18"/>
                <w:color w:val="auto"/>
              </w:rPr>
              <w:t>6.6 %</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4"/>
          </w:tcPr>
          <w:p>
            <w:pPr>
              <w:jc w:val="right"/>
              <w:ind w:right="80"/>
              <w:spacing w:after="0"/>
              <w:rPr>
                <w:sz w:val="20"/>
                <w:szCs w:val="20"/>
                <w:color w:val="auto"/>
              </w:rPr>
            </w:pPr>
            <w:r>
              <w:rPr>
                <w:rFonts w:ascii="Arial" w:cs="Arial" w:eastAsia="Arial" w:hAnsi="Arial"/>
                <w:sz w:val="18"/>
                <w:szCs w:val="18"/>
                <w:color w:val="auto"/>
              </w:rPr>
              <w:t>4.4%</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83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193.0%</w:t>
            </w: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Class C</w:t>
            </w: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38.4 %</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53.9%</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20" w:type="dxa"/>
            <w:vAlign w:val="bottom"/>
          </w:tcPr>
          <w:p>
            <w:pPr>
              <w:spacing w:after="0"/>
              <w:rPr>
                <w:sz w:val="18"/>
                <w:szCs w:val="18"/>
                <w:color w:val="auto"/>
              </w:rPr>
            </w:pPr>
          </w:p>
        </w:tc>
      </w:tr>
      <w:tr>
        <w:trPr>
          <w:trHeight w:val="196"/>
        </w:trPr>
        <w:tc>
          <w:tcPr>
            <w:tcW w:w="3940" w:type="dxa"/>
            <w:vAlign w:val="bottom"/>
          </w:tcPr>
          <w:p>
            <w:pPr>
              <w:ind w:left="240"/>
              <w:spacing w:after="0" w:line="196" w:lineRule="exact"/>
              <w:rPr>
                <w:sz w:val="20"/>
                <w:szCs w:val="20"/>
                <w:color w:val="auto"/>
              </w:rPr>
            </w:pPr>
            <w:r>
              <w:rPr>
                <w:rFonts w:ascii="Arial" w:cs="Arial" w:eastAsia="Arial" w:hAnsi="Arial"/>
                <w:sz w:val="18"/>
                <w:szCs w:val="18"/>
                <w:color w:val="auto"/>
              </w:rPr>
              <w:t>Total deliveries</w:t>
            </w:r>
          </w:p>
        </w:tc>
        <w:tc>
          <w:tcPr>
            <w:tcW w:w="94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1,903</w:t>
            </w:r>
          </w:p>
        </w:tc>
        <w:tc>
          <w:tcPr>
            <w:tcW w:w="80" w:type="dxa"/>
            <w:vAlign w:val="bottom"/>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gridSpan w:val="3"/>
          </w:tcPr>
          <w:p>
            <w:pPr>
              <w:jc w:val="right"/>
              <w:spacing w:after="0" w:line="196" w:lineRule="exact"/>
              <w:rPr>
                <w:sz w:val="20"/>
                <w:szCs w:val="20"/>
                <w:color w:val="auto"/>
              </w:rPr>
            </w:pPr>
            <w:r>
              <w:rPr>
                <w:rFonts w:ascii="Arial" w:cs="Arial" w:eastAsia="Arial" w:hAnsi="Arial"/>
                <w:sz w:val="18"/>
                <w:szCs w:val="18"/>
                <w:color w:val="auto"/>
              </w:rPr>
              <w:t>100.0 %</w:t>
            </w:r>
          </w:p>
        </w:tc>
        <w:tc>
          <w:tcPr>
            <w:tcW w:w="80" w:type="dxa"/>
            <w:vAlign w:val="bottom"/>
          </w:tcPr>
          <w:p>
            <w:pPr>
              <w:spacing w:after="0"/>
              <w:rPr>
                <w:sz w:val="17"/>
                <w:szCs w:val="17"/>
                <w:color w:val="auto"/>
              </w:rPr>
            </w:pPr>
          </w:p>
        </w:tc>
        <w:tc>
          <w:tcPr>
            <w:tcW w:w="4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971</w:t>
            </w:r>
          </w:p>
        </w:tc>
        <w:tc>
          <w:tcPr>
            <w:tcW w:w="80" w:type="dxa"/>
            <w:vAlign w:val="bottom"/>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gridSpan w:val="3"/>
          </w:tcPr>
          <w:p>
            <w:pPr>
              <w:jc w:val="right"/>
              <w:spacing w:after="0" w:line="196" w:lineRule="exact"/>
              <w:rPr>
                <w:sz w:val="20"/>
                <w:szCs w:val="20"/>
                <w:color w:val="auto"/>
              </w:rPr>
            </w:pPr>
            <w:r>
              <w:rPr>
                <w:rFonts w:ascii="Arial" w:cs="Arial" w:eastAsia="Arial" w:hAnsi="Arial"/>
                <w:sz w:val="18"/>
                <w:szCs w:val="18"/>
                <w:color w:val="auto"/>
              </w:rPr>
              <w:t>100.0%</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4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932</w:t>
            </w:r>
          </w:p>
        </w:tc>
        <w:tc>
          <w:tcPr>
            <w:tcW w:w="80" w:type="dxa"/>
            <w:vAlign w:val="bottom"/>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96.0%</w:t>
            </w:r>
          </w:p>
        </w:tc>
        <w:tc>
          <w:tcPr>
            <w:tcW w:w="20" w:type="dxa"/>
            <w:vAlign w:val="bottom"/>
          </w:tcPr>
          <w:p>
            <w:pPr>
              <w:spacing w:after="0"/>
              <w:rPr>
                <w:sz w:val="17"/>
                <w:szCs w:val="17"/>
                <w:color w:val="auto"/>
              </w:rPr>
            </w:pPr>
          </w:p>
        </w:tc>
      </w:tr>
      <w:tr>
        <w:trPr>
          <w:trHeight w:val="20"/>
        </w:trPr>
        <w:tc>
          <w:tcPr>
            <w:tcW w:w="39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714"/>
        </w:trPr>
        <w:tc>
          <w:tcPr>
            <w:tcW w:w="3940" w:type="dxa"/>
            <w:vAlign w:val="bottom"/>
          </w:tcPr>
          <w:p>
            <w:pPr>
              <w:spacing w:after="0"/>
              <w:rPr>
                <w:sz w:val="24"/>
                <w:szCs w:val="24"/>
                <w:color w:val="auto"/>
              </w:rPr>
            </w:pPr>
          </w:p>
        </w:tc>
        <w:tc>
          <w:tcPr>
            <w:tcW w:w="3300" w:type="dxa"/>
            <w:vAlign w:val="bottom"/>
            <w:gridSpan w:val="11"/>
          </w:tcPr>
          <w:p>
            <w:pPr>
              <w:jc w:val="center"/>
              <w:ind w:left="150"/>
              <w:spacing w:after="0"/>
              <w:rPr>
                <w:sz w:val="20"/>
                <w:szCs w:val="20"/>
                <w:color w:val="auto"/>
              </w:rPr>
            </w:pPr>
            <w:r>
              <w:rPr>
                <w:rFonts w:ascii="Arial" w:cs="Arial" w:eastAsia="Arial" w:hAnsi="Arial"/>
                <w:sz w:val="18"/>
                <w:szCs w:val="18"/>
                <w:b w:val="1"/>
                <w:bCs w:val="1"/>
                <w:color w:val="auto"/>
              </w:rPr>
              <w:t>Winnebago Industries, Inc.</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3"/>
        </w:trPr>
        <w:tc>
          <w:tcPr>
            <w:tcW w:w="3940" w:type="dxa"/>
            <w:vAlign w:val="bottom"/>
          </w:tcPr>
          <w:p>
            <w:pPr>
              <w:spacing w:after="0"/>
              <w:rPr>
                <w:sz w:val="17"/>
                <w:szCs w:val="17"/>
                <w:color w:val="auto"/>
              </w:rPr>
            </w:pPr>
          </w:p>
        </w:tc>
        <w:tc>
          <w:tcPr>
            <w:tcW w:w="3680" w:type="dxa"/>
            <w:vAlign w:val="bottom"/>
            <w:gridSpan w:val="14"/>
          </w:tcPr>
          <w:p>
            <w:pPr>
              <w:jc w:val="center"/>
              <w:ind w:right="50"/>
              <w:spacing w:after="0" w:line="202" w:lineRule="exact"/>
              <w:rPr>
                <w:sz w:val="20"/>
                <w:szCs w:val="20"/>
                <w:color w:val="auto"/>
              </w:rPr>
            </w:pPr>
            <w:r>
              <w:rPr>
                <w:rFonts w:ascii="Arial" w:cs="Arial" w:eastAsia="Arial" w:hAnsi="Arial"/>
                <w:sz w:val="18"/>
                <w:szCs w:val="18"/>
                <w:b w:val="1"/>
                <w:bCs w:val="1"/>
                <w:color w:val="auto"/>
                <w:w w:val="99"/>
              </w:rPr>
              <w:t>Unaudited Backlog and Dealer Inventory</w:t>
            </w: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9"/>
        </w:trPr>
        <w:tc>
          <w:tcPr>
            <w:tcW w:w="39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rPr>
              <w:t>(Units)</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38"/>
        </w:trPr>
        <w:tc>
          <w:tcPr>
            <w:tcW w:w="3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gridSpan w:val="5"/>
          </w:tcPr>
          <w:p>
            <w:pPr>
              <w:jc w:val="right"/>
              <w:spacing w:after="0"/>
              <w:rPr>
                <w:sz w:val="20"/>
                <w:szCs w:val="20"/>
                <w:color w:val="auto"/>
              </w:rPr>
            </w:pPr>
            <w:r>
              <w:rPr>
                <w:rFonts w:ascii="Arial" w:cs="Arial" w:eastAsia="Arial" w:hAnsi="Arial"/>
                <w:sz w:val="18"/>
                <w:szCs w:val="18"/>
                <w:b w:val="1"/>
                <w:bCs w:val="1"/>
                <w:color w:val="auto"/>
              </w:rPr>
              <w:t>As of</w:t>
            </w: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80" w:type="dxa"/>
            <w:vAlign w:val="bottom"/>
            <w:gridSpan w:val="6"/>
          </w:tcPr>
          <w:p>
            <w:pPr>
              <w:jc w:val="right"/>
              <w:ind w:right="520"/>
              <w:spacing w:after="0"/>
              <w:rPr>
                <w:sz w:val="20"/>
                <w:szCs w:val="20"/>
                <w:color w:val="auto"/>
              </w:rPr>
            </w:pPr>
            <w:r>
              <w:rPr>
                <w:rFonts w:ascii="Arial" w:cs="Arial" w:eastAsia="Arial" w:hAnsi="Arial"/>
                <w:sz w:val="18"/>
                <w:szCs w:val="18"/>
                <w:b w:val="1"/>
                <w:bCs w:val="1"/>
                <w:color w:val="auto"/>
              </w:rPr>
              <w:t>Change</w:t>
            </w:r>
          </w:p>
        </w:tc>
      </w:tr>
      <w:tr>
        <w:trPr>
          <w:trHeight w:val="173"/>
        </w:trPr>
        <w:tc>
          <w:tcPr>
            <w:tcW w:w="39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Borders>
              <w:top w:val="single" w:sz="8" w:color="auto"/>
            </w:tcBorders>
            <w:gridSpan w:val="4"/>
          </w:tcPr>
          <w:p>
            <w:pPr>
              <w:jc w:val="center"/>
              <w:spacing w:after="0" w:line="173" w:lineRule="exact"/>
              <w:rPr>
                <w:sz w:val="20"/>
                <w:szCs w:val="20"/>
                <w:color w:val="auto"/>
              </w:rPr>
            </w:pPr>
            <w:r>
              <w:rPr>
                <w:rFonts w:ascii="Arial" w:cs="Arial" w:eastAsia="Arial" w:hAnsi="Arial"/>
                <w:sz w:val="18"/>
                <w:szCs w:val="18"/>
                <w:b w:val="1"/>
                <w:bCs w:val="1"/>
                <w:color w:val="auto"/>
              </w:rPr>
              <w:t>February 27,</w:t>
            </w:r>
          </w:p>
        </w:tc>
        <w:tc>
          <w:tcPr>
            <w:tcW w:w="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gridSpan w:val="3"/>
          </w:tcPr>
          <w:p>
            <w:pPr>
              <w:jc w:val="center"/>
              <w:spacing w:after="0" w:line="173" w:lineRule="exact"/>
              <w:rPr>
                <w:sz w:val="20"/>
                <w:szCs w:val="20"/>
                <w:color w:val="auto"/>
              </w:rPr>
            </w:pPr>
            <w:r>
              <w:rPr>
                <w:rFonts w:ascii="Arial" w:cs="Arial" w:eastAsia="Arial" w:hAnsi="Arial"/>
                <w:sz w:val="18"/>
                <w:szCs w:val="18"/>
                <w:b w:val="1"/>
                <w:bCs w:val="1"/>
                <w:color w:val="auto"/>
                <w:w w:val="99"/>
              </w:rPr>
              <w:t>Product</w:t>
            </w:r>
          </w:p>
        </w:tc>
        <w:tc>
          <w:tcPr>
            <w:tcW w:w="1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gridSpan w:val="4"/>
          </w:tcPr>
          <w:p>
            <w:pPr>
              <w:jc w:val="right"/>
              <w:ind w:right="40"/>
              <w:spacing w:after="0" w:line="173" w:lineRule="exact"/>
              <w:rPr>
                <w:sz w:val="20"/>
                <w:szCs w:val="20"/>
                <w:color w:val="auto"/>
              </w:rPr>
            </w:pPr>
            <w:r>
              <w:rPr>
                <w:rFonts w:ascii="Arial" w:cs="Arial" w:eastAsia="Arial" w:hAnsi="Arial"/>
                <w:sz w:val="18"/>
                <w:szCs w:val="18"/>
                <w:b w:val="1"/>
                <w:bCs w:val="1"/>
                <w:color w:val="auto"/>
              </w:rPr>
              <w:t>February 28,</w:t>
            </w:r>
          </w:p>
        </w:tc>
        <w:tc>
          <w:tcPr>
            <w:tcW w:w="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gridSpan w:val="3"/>
          </w:tcPr>
          <w:p>
            <w:pPr>
              <w:jc w:val="center"/>
              <w:ind w:right="60"/>
              <w:spacing w:after="0" w:line="173" w:lineRule="exact"/>
              <w:rPr>
                <w:sz w:val="20"/>
                <w:szCs w:val="20"/>
                <w:color w:val="auto"/>
              </w:rPr>
            </w:pPr>
            <w:r>
              <w:rPr>
                <w:rFonts w:ascii="Arial" w:cs="Arial" w:eastAsia="Arial" w:hAnsi="Arial"/>
                <w:sz w:val="18"/>
                <w:szCs w:val="18"/>
                <w:b w:val="1"/>
                <w:bCs w:val="1"/>
                <w:color w:val="auto"/>
                <w:w w:val="99"/>
              </w:rPr>
              <w:t>Product</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225"/>
        </w:trPr>
        <w:tc>
          <w:tcPr>
            <w:tcW w:w="3940" w:type="dxa"/>
            <w:vAlign w:val="bottom"/>
          </w:tcPr>
          <w:p>
            <w:pPr>
              <w:spacing w:after="0"/>
              <w:rPr>
                <w:sz w:val="20"/>
                <w:szCs w:val="20"/>
                <w:color w:val="auto"/>
              </w:rPr>
            </w:pPr>
            <w:r>
              <w:rPr>
                <w:rFonts w:ascii="Arial" w:cs="Arial" w:eastAsia="Arial" w:hAnsi="Arial"/>
                <w:sz w:val="18"/>
                <w:szCs w:val="18"/>
                <w:b w:val="1"/>
                <w:bCs w:val="1"/>
                <w:color w:val="auto"/>
              </w:rPr>
              <w:t>Sales order backlog:</w:t>
            </w: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Arial" w:cs="Arial" w:eastAsia="Arial" w:hAnsi="Arial"/>
                <w:sz w:val="18"/>
                <w:szCs w:val="18"/>
                <w:b w:val="1"/>
                <w:bCs w:val="1"/>
                <w:color w:val="auto"/>
                <w:w w:val="99"/>
              </w:rPr>
              <w:t>2010</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3"/>
          </w:tcPr>
          <w:p>
            <w:pPr>
              <w:jc w:val="center"/>
              <w:ind w:left="30"/>
              <w:spacing w:after="0"/>
              <w:rPr>
                <w:sz w:val="20"/>
                <w:szCs w:val="20"/>
                <w:color w:val="auto"/>
              </w:rPr>
            </w:pPr>
            <w:r>
              <w:rPr>
                <w:rFonts w:ascii="Arial" w:cs="Arial" w:eastAsia="Arial" w:hAnsi="Arial"/>
                <w:sz w:val="18"/>
                <w:szCs w:val="18"/>
                <w:b w:val="1"/>
                <w:bCs w:val="1"/>
                <w:color w:val="auto"/>
                <w:w w:val="99"/>
              </w:rPr>
              <w:t>Mix</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ind w:right="110"/>
              <w:spacing w:after="0"/>
              <w:rPr>
                <w:sz w:val="20"/>
                <w:szCs w:val="20"/>
                <w:color w:val="auto"/>
              </w:rPr>
            </w:pPr>
            <w:r>
              <w:rPr>
                <w:rFonts w:ascii="Arial" w:cs="Arial" w:eastAsia="Arial" w:hAnsi="Arial"/>
                <w:sz w:val="18"/>
                <w:szCs w:val="18"/>
                <w:b w:val="1"/>
                <w:bCs w:val="1"/>
                <w:color w:val="auto"/>
              </w:rPr>
              <w:t>2009</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4"/>
          </w:tcPr>
          <w:p>
            <w:pPr>
              <w:jc w:val="center"/>
              <w:ind w:right="40"/>
              <w:spacing w:after="0"/>
              <w:rPr>
                <w:sz w:val="20"/>
                <w:szCs w:val="20"/>
                <w:color w:val="auto"/>
              </w:rPr>
            </w:pPr>
            <w:r>
              <w:rPr>
                <w:rFonts w:ascii="Arial" w:cs="Arial" w:eastAsia="Arial" w:hAnsi="Arial"/>
                <w:sz w:val="18"/>
                <w:szCs w:val="18"/>
                <w:b w:val="1"/>
                <w:bCs w:val="1"/>
                <w:color w:val="auto"/>
                <w:w w:val="99"/>
              </w:rPr>
              <w:t>Mix</w:t>
            </w:r>
          </w:p>
        </w:tc>
        <w:tc>
          <w:tcPr>
            <w:tcW w:w="40" w:type="dxa"/>
            <w:vAlign w:val="bottom"/>
          </w:tcPr>
          <w:p>
            <w:pPr>
              <w:spacing w:after="0"/>
              <w:rPr>
                <w:sz w:val="19"/>
                <w:szCs w:val="19"/>
                <w:color w:val="auto"/>
              </w:rPr>
            </w:pPr>
          </w:p>
        </w:tc>
        <w:tc>
          <w:tcPr>
            <w:tcW w:w="860" w:type="dxa"/>
            <w:vAlign w:val="bottom"/>
            <w:gridSpan w:val="4"/>
          </w:tcPr>
          <w:p>
            <w:pPr>
              <w:ind w:left="160"/>
              <w:spacing w:after="0"/>
              <w:rPr>
                <w:sz w:val="20"/>
                <w:szCs w:val="20"/>
                <w:color w:val="auto"/>
              </w:rPr>
            </w:pPr>
            <w:r>
              <w:rPr>
                <w:rFonts w:ascii="Arial" w:cs="Arial" w:eastAsia="Arial" w:hAnsi="Arial"/>
                <w:sz w:val="18"/>
                <w:szCs w:val="18"/>
                <w:b w:val="1"/>
                <w:bCs w:val="1"/>
                <w:color w:val="auto"/>
              </w:rPr>
              <w:t>Units</w:t>
            </w: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9"/>
                <w:szCs w:val="19"/>
                <w:color w:val="auto"/>
              </w:rPr>
            </w:pPr>
          </w:p>
        </w:tc>
      </w:tr>
      <w:tr>
        <w:trPr>
          <w:trHeight w:val="196"/>
        </w:trPr>
        <w:tc>
          <w:tcPr>
            <w:tcW w:w="3940" w:type="dxa"/>
            <w:vAlign w:val="bottom"/>
            <w:tcBorders>
              <w:top w:val="single" w:sz="8" w:color="CCEEFF"/>
            </w:tcBorders>
            <w:shd w:val="clear" w:color="auto" w:fill="CCEEFF"/>
          </w:tcPr>
          <w:p>
            <w:pPr>
              <w:ind w:left="240"/>
              <w:spacing w:after="0" w:line="196" w:lineRule="exact"/>
              <w:rPr>
                <w:sz w:val="20"/>
                <w:szCs w:val="20"/>
                <w:color w:val="auto"/>
              </w:rPr>
            </w:pPr>
            <w:r>
              <w:rPr>
                <w:rFonts w:ascii="Arial" w:cs="Arial" w:eastAsia="Arial" w:hAnsi="Arial"/>
                <w:sz w:val="18"/>
                <w:szCs w:val="18"/>
                <w:color w:val="auto"/>
              </w:rPr>
              <w:t>Class A Gas</w:t>
            </w:r>
          </w:p>
        </w:tc>
        <w:tc>
          <w:tcPr>
            <w:tcW w:w="9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372</w:t>
            </w:r>
          </w:p>
        </w:tc>
        <w:tc>
          <w:tcPr>
            <w:tcW w:w="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gridSpan w:val="4"/>
            <w:shd w:val="clear" w:color="auto" w:fill="CCEEFF"/>
          </w:tcPr>
          <w:p>
            <w:pPr>
              <w:jc w:val="right"/>
              <w:spacing w:after="0" w:line="196" w:lineRule="exact"/>
              <w:rPr>
                <w:sz w:val="20"/>
                <w:szCs w:val="20"/>
                <w:color w:val="auto"/>
              </w:rPr>
            </w:pPr>
            <w:r>
              <w:rPr>
                <w:rFonts w:ascii="Arial" w:cs="Arial" w:eastAsia="Arial" w:hAnsi="Arial"/>
                <w:sz w:val="18"/>
                <w:szCs w:val="18"/>
                <w:color w:val="auto"/>
              </w:rPr>
              <w:t>32.1 %</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67</w:t>
            </w:r>
          </w:p>
        </w:tc>
        <w:tc>
          <w:tcPr>
            <w:tcW w:w="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20.0%</w:t>
            </w: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305</w:t>
            </w: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455.2 %</w:t>
            </w:r>
          </w:p>
        </w:tc>
        <w:tc>
          <w:tcPr>
            <w:tcW w:w="20" w:type="dxa"/>
            <w:vAlign w:val="bottom"/>
          </w:tcPr>
          <w:p>
            <w:pPr>
              <w:spacing w:after="0"/>
              <w:rPr>
                <w:sz w:val="17"/>
                <w:szCs w:val="17"/>
                <w:color w:val="auto"/>
              </w:rPr>
            </w:pPr>
          </w:p>
        </w:tc>
      </w:tr>
      <w:tr>
        <w:trPr>
          <w:trHeight w:val="216"/>
        </w:trPr>
        <w:tc>
          <w:tcPr>
            <w:tcW w:w="3940" w:type="dxa"/>
            <w:vAlign w:val="bottom"/>
          </w:tcPr>
          <w:p>
            <w:pPr>
              <w:ind w:left="240"/>
              <w:spacing w:after="0"/>
              <w:rPr>
                <w:sz w:val="20"/>
                <w:szCs w:val="20"/>
                <w:color w:val="auto"/>
              </w:rPr>
            </w:pPr>
            <w:r>
              <w:rPr>
                <w:rFonts w:ascii="Arial" w:cs="Arial" w:eastAsia="Arial" w:hAnsi="Arial"/>
                <w:sz w:val="18"/>
                <w:szCs w:val="18"/>
                <w:color w:val="auto"/>
              </w:rPr>
              <w:t>Class A Diesel</w:t>
            </w: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263</w:t>
            </w:r>
          </w:p>
        </w:tc>
        <w:tc>
          <w:tcPr>
            <w:tcW w:w="1140" w:type="dxa"/>
            <w:vAlign w:val="bottom"/>
            <w:gridSpan w:val="7"/>
          </w:tcPr>
          <w:p>
            <w:pPr>
              <w:jc w:val="right"/>
              <w:ind w:right="80"/>
              <w:spacing w:after="0"/>
              <w:rPr>
                <w:sz w:val="20"/>
                <w:szCs w:val="20"/>
                <w:color w:val="auto"/>
              </w:rPr>
            </w:pPr>
            <w:r>
              <w:rPr>
                <w:rFonts w:ascii="Arial" w:cs="Arial" w:eastAsia="Arial" w:hAnsi="Arial"/>
                <w:sz w:val="18"/>
                <w:szCs w:val="18"/>
                <w:color w:val="auto"/>
              </w:rPr>
              <w:t>22.7 %</w:t>
            </w:r>
          </w:p>
        </w:tc>
        <w:tc>
          <w:tcPr>
            <w:tcW w:w="18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27</w:t>
            </w:r>
          </w:p>
        </w:tc>
        <w:tc>
          <w:tcPr>
            <w:tcW w:w="1100" w:type="dxa"/>
            <w:vAlign w:val="bottom"/>
            <w:gridSpan w:val="6"/>
          </w:tcPr>
          <w:p>
            <w:pPr>
              <w:jc w:val="right"/>
              <w:ind w:right="40"/>
              <w:spacing w:after="0"/>
              <w:rPr>
                <w:sz w:val="20"/>
                <w:szCs w:val="20"/>
                <w:color w:val="auto"/>
              </w:rPr>
            </w:pPr>
            <w:r>
              <w:rPr>
                <w:rFonts w:ascii="Arial" w:cs="Arial" w:eastAsia="Arial" w:hAnsi="Arial"/>
                <w:sz w:val="18"/>
                <w:szCs w:val="18"/>
                <w:color w:val="auto"/>
              </w:rPr>
              <w:t>8.1%</w:t>
            </w:r>
          </w:p>
        </w:tc>
        <w:tc>
          <w:tcPr>
            <w:tcW w:w="800" w:type="dxa"/>
            <w:vAlign w:val="bottom"/>
            <w:gridSpan w:val="3"/>
          </w:tcPr>
          <w:p>
            <w:pPr>
              <w:jc w:val="right"/>
              <w:ind w:right="40"/>
              <w:spacing w:after="0"/>
              <w:rPr>
                <w:sz w:val="20"/>
                <w:szCs w:val="20"/>
                <w:color w:val="auto"/>
              </w:rPr>
            </w:pPr>
            <w:r>
              <w:rPr>
                <w:rFonts w:ascii="Arial" w:cs="Arial" w:eastAsia="Arial" w:hAnsi="Arial"/>
                <w:sz w:val="18"/>
                <w:szCs w:val="18"/>
                <w:color w:val="auto"/>
              </w:rPr>
              <w:t>236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874.1 %</w:t>
            </w:r>
          </w:p>
        </w:tc>
      </w:tr>
      <w:tr>
        <w:trPr>
          <w:trHeight w:val="196"/>
        </w:trPr>
        <w:tc>
          <w:tcPr>
            <w:tcW w:w="3940" w:type="dxa"/>
            <w:vAlign w:val="bottom"/>
            <w:tcBorders>
              <w:top w:val="single" w:sz="8" w:color="CCEEFF"/>
            </w:tcBorders>
            <w:shd w:val="clear" w:color="auto" w:fill="CCEEFF"/>
          </w:tcPr>
          <w:p>
            <w:pPr>
              <w:ind w:left="420"/>
              <w:spacing w:after="0" w:line="196" w:lineRule="exact"/>
              <w:rPr>
                <w:sz w:val="20"/>
                <w:szCs w:val="20"/>
                <w:color w:val="auto"/>
              </w:rPr>
            </w:pPr>
            <w:r>
              <w:rPr>
                <w:rFonts w:ascii="Arial" w:cs="Arial" w:eastAsia="Arial" w:hAnsi="Arial"/>
                <w:sz w:val="18"/>
                <w:szCs w:val="18"/>
                <w:color w:val="auto"/>
              </w:rPr>
              <w:t>Total Class A</w:t>
            </w:r>
          </w:p>
        </w:tc>
        <w:tc>
          <w:tcPr>
            <w:tcW w:w="9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635</w:t>
            </w:r>
          </w:p>
        </w:tc>
        <w:tc>
          <w:tcPr>
            <w:tcW w:w="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gridSpan w:val="4"/>
            <w:shd w:val="clear" w:color="auto" w:fill="CCEEFF"/>
          </w:tcPr>
          <w:p>
            <w:pPr>
              <w:jc w:val="right"/>
              <w:spacing w:after="0" w:line="196" w:lineRule="exact"/>
              <w:rPr>
                <w:sz w:val="20"/>
                <w:szCs w:val="20"/>
                <w:color w:val="auto"/>
              </w:rPr>
            </w:pPr>
            <w:r>
              <w:rPr>
                <w:rFonts w:ascii="Arial" w:cs="Arial" w:eastAsia="Arial" w:hAnsi="Arial"/>
                <w:sz w:val="18"/>
                <w:szCs w:val="18"/>
                <w:color w:val="auto"/>
              </w:rPr>
              <w:t>54.8 %</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94</w:t>
            </w:r>
          </w:p>
        </w:tc>
        <w:tc>
          <w:tcPr>
            <w:tcW w:w="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28.1%</w:t>
            </w: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541</w:t>
            </w: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575.5 %</w:t>
            </w:r>
          </w:p>
        </w:tc>
        <w:tc>
          <w:tcPr>
            <w:tcW w:w="20" w:type="dxa"/>
            <w:vAlign w:val="bottom"/>
          </w:tcPr>
          <w:p>
            <w:pPr>
              <w:spacing w:after="0"/>
              <w:rPr>
                <w:sz w:val="17"/>
                <w:szCs w:val="17"/>
                <w:color w:val="auto"/>
              </w:rPr>
            </w:pPr>
          </w:p>
        </w:tc>
      </w:tr>
      <w:tr>
        <w:trPr>
          <w:trHeight w:val="216"/>
        </w:trPr>
        <w:tc>
          <w:tcPr>
            <w:tcW w:w="3940" w:type="dxa"/>
            <w:vAlign w:val="bottom"/>
          </w:tcPr>
          <w:p>
            <w:pPr>
              <w:ind w:left="420"/>
              <w:spacing w:after="0"/>
              <w:rPr>
                <w:sz w:val="20"/>
                <w:szCs w:val="20"/>
                <w:color w:val="auto"/>
              </w:rPr>
            </w:pPr>
            <w:r>
              <w:rPr>
                <w:rFonts w:ascii="Arial" w:cs="Arial" w:eastAsia="Arial" w:hAnsi="Arial"/>
                <w:sz w:val="18"/>
                <w:szCs w:val="18"/>
                <w:color w:val="auto"/>
              </w:rPr>
              <w:t>Class B</w:t>
            </w: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16</w:t>
            </w:r>
          </w:p>
        </w:tc>
        <w:tc>
          <w:tcPr>
            <w:tcW w:w="1140" w:type="dxa"/>
            <w:vAlign w:val="bottom"/>
            <w:gridSpan w:val="7"/>
          </w:tcPr>
          <w:p>
            <w:pPr>
              <w:jc w:val="right"/>
              <w:ind w:right="80"/>
              <w:spacing w:after="0"/>
              <w:rPr>
                <w:sz w:val="20"/>
                <w:szCs w:val="20"/>
                <w:color w:val="auto"/>
              </w:rPr>
            </w:pPr>
            <w:r>
              <w:rPr>
                <w:rFonts w:ascii="Arial" w:cs="Arial" w:eastAsia="Arial" w:hAnsi="Arial"/>
                <w:sz w:val="18"/>
                <w:szCs w:val="18"/>
                <w:color w:val="auto"/>
              </w:rPr>
              <w:t>1.4 %</w:t>
            </w:r>
          </w:p>
        </w:tc>
        <w:tc>
          <w:tcPr>
            <w:tcW w:w="18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9</w:t>
            </w:r>
          </w:p>
        </w:tc>
        <w:tc>
          <w:tcPr>
            <w:tcW w:w="1100" w:type="dxa"/>
            <w:vAlign w:val="bottom"/>
            <w:gridSpan w:val="6"/>
          </w:tcPr>
          <w:p>
            <w:pPr>
              <w:jc w:val="right"/>
              <w:ind w:right="40"/>
              <w:spacing w:after="0"/>
              <w:rPr>
                <w:sz w:val="20"/>
                <w:szCs w:val="20"/>
                <w:color w:val="auto"/>
              </w:rPr>
            </w:pPr>
            <w:r>
              <w:rPr>
                <w:rFonts w:ascii="Arial" w:cs="Arial" w:eastAsia="Arial" w:hAnsi="Arial"/>
                <w:sz w:val="18"/>
                <w:szCs w:val="18"/>
                <w:color w:val="auto"/>
              </w:rPr>
              <w:t>2.7%</w:t>
            </w:r>
          </w:p>
        </w:tc>
        <w:tc>
          <w:tcPr>
            <w:tcW w:w="800" w:type="dxa"/>
            <w:vAlign w:val="bottom"/>
            <w:gridSpan w:val="3"/>
          </w:tcPr>
          <w:p>
            <w:pPr>
              <w:jc w:val="right"/>
              <w:ind w:right="40"/>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77.8 %</w:t>
            </w:r>
          </w:p>
        </w:tc>
      </w:tr>
      <w:tr>
        <w:trPr>
          <w:trHeight w:val="216"/>
        </w:trPr>
        <w:tc>
          <w:tcPr>
            <w:tcW w:w="3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Class C</w:t>
            </w: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1140" w:type="dxa"/>
            <w:vAlign w:val="bottom"/>
            <w:gridSpan w:val="7"/>
            <w:shd w:val="clear" w:color="auto" w:fill="CCEEFF"/>
          </w:tcPr>
          <w:p>
            <w:pPr>
              <w:jc w:val="right"/>
              <w:ind w:right="80"/>
              <w:spacing w:after="0"/>
              <w:rPr>
                <w:sz w:val="20"/>
                <w:szCs w:val="20"/>
                <w:color w:val="auto"/>
              </w:rPr>
            </w:pPr>
            <w:r>
              <w:rPr>
                <w:rFonts w:ascii="Arial" w:cs="Arial" w:eastAsia="Arial" w:hAnsi="Arial"/>
                <w:sz w:val="18"/>
                <w:szCs w:val="18"/>
                <w:color w:val="auto"/>
              </w:rPr>
              <w:t>43.8 %</w:t>
            </w:r>
          </w:p>
        </w:tc>
        <w:tc>
          <w:tcPr>
            <w:tcW w:w="1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100" w:type="dxa"/>
            <w:vAlign w:val="bottom"/>
            <w:gridSpan w:val="6"/>
            <w:shd w:val="clear" w:color="auto" w:fill="CCEEFF"/>
          </w:tcPr>
          <w:p>
            <w:pPr>
              <w:jc w:val="right"/>
              <w:ind w:right="40"/>
              <w:spacing w:after="0"/>
              <w:rPr>
                <w:sz w:val="20"/>
                <w:szCs w:val="20"/>
                <w:color w:val="auto"/>
              </w:rPr>
            </w:pPr>
            <w:r>
              <w:rPr>
                <w:rFonts w:ascii="Arial" w:cs="Arial" w:eastAsia="Arial" w:hAnsi="Arial"/>
                <w:sz w:val="18"/>
                <w:szCs w:val="18"/>
                <w:color w:val="auto"/>
              </w:rPr>
              <w:t>69.2%</w:t>
            </w: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276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119.0 %</w:t>
            </w:r>
          </w:p>
        </w:tc>
        <w:tc>
          <w:tcPr>
            <w:tcW w:w="20" w:type="dxa"/>
            <w:vAlign w:val="bottom"/>
          </w:tcPr>
          <w:p>
            <w:pPr>
              <w:spacing w:after="0"/>
              <w:rPr>
                <w:sz w:val="18"/>
                <w:szCs w:val="18"/>
                <w:color w:val="auto"/>
              </w:rPr>
            </w:pPr>
          </w:p>
        </w:tc>
      </w:tr>
      <w:tr>
        <w:trPr>
          <w:trHeight w:val="236"/>
        </w:trPr>
        <w:tc>
          <w:tcPr>
            <w:tcW w:w="3940" w:type="dxa"/>
            <w:vAlign w:val="bottom"/>
            <w:tcBorders>
              <w:bottom w:val="single" w:sz="8" w:color="CCEEFF"/>
            </w:tcBorders>
          </w:tcPr>
          <w:p>
            <w:pPr>
              <w:ind w:left="780"/>
              <w:spacing w:after="0" w:line="196" w:lineRule="exact"/>
              <w:rPr>
                <w:sz w:val="20"/>
                <w:szCs w:val="20"/>
                <w:color w:val="auto"/>
              </w:rPr>
            </w:pPr>
            <w:r>
              <w:rPr>
                <w:rFonts w:ascii="Arial" w:cs="Arial" w:eastAsia="Arial" w:hAnsi="Arial"/>
                <w:sz w:val="18"/>
                <w:szCs w:val="18"/>
                <w:color w:val="auto"/>
              </w:rPr>
              <w:t>Total backlog*</w:t>
            </w:r>
          </w:p>
        </w:tc>
        <w:tc>
          <w:tcPr>
            <w:tcW w:w="94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gridSpan w:val="3"/>
          </w:tcPr>
          <w:p>
            <w:pPr>
              <w:jc w:val="right"/>
              <w:spacing w:after="0" w:line="196" w:lineRule="exact"/>
              <w:rPr>
                <w:sz w:val="20"/>
                <w:szCs w:val="20"/>
                <w:color w:val="auto"/>
              </w:rPr>
            </w:pPr>
            <w:r>
              <w:rPr>
                <w:rFonts w:ascii="Arial" w:cs="Arial" w:eastAsia="Arial" w:hAnsi="Arial"/>
                <w:sz w:val="18"/>
                <w:szCs w:val="18"/>
                <w:color w:val="auto"/>
              </w:rPr>
              <w:t>1,159</w:t>
            </w:r>
          </w:p>
        </w:tc>
        <w:tc>
          <w:tcPr>
            <w:tcW w:w="60" w:type="dxa"/>
            <w:vAlign w:val="bottom"/>
            <w:tcBorders>
              <w:top w:val="single" w:sz="8" w:color="auto"/>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900" w:type="dxa"/>
            <w:vAlign w:val="bottom"/>
            <w:tcBorders>
              <w:top w:val="single" w:sz="8" w:color="auto"/>
              <w:bottom w:val="single" w:sz="8" w:color="auto"/>
            </w:tcBorders>
            <w:gridSpan w:val="4"/>
          </w:tcPr>
          <w:p>
            <w:pPr>
              <w:jc w:val="right"/>
              <w:spacing w:after="0" w:line="196" w:lineRule="exact"/>
              <w:rPr>
                <w:sz w:val="20"/>
                <w:szCs w:val="20"/>
                <w:color w:val="auto"/>
              </w:rPr>
            </w:pPr>
            <w:r>
              <w:rPr>
                <w:rFonts w:ascii="Arial" w:cs="Arial" w:eastAsia="Arial" w:hAnsi="Arial"/>
                <w:sz w:val="18"/>
                <w:szCs w:val="18"/>
                <w:color w:val="auto"/>
              </w:rPr>
              <w:t>100.0 %</w:t>
            </w:r>
          </w:p>
        </w:tc>
        <w:tc>
          <w:tcPr>
            <w:tcW w:w="80" w:type="dxa"/>
            <w:vAlign w:val="bottom"/>
            <w:tcBorders>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gridSpan w:val="3"/>
          </w:tcPr>
          <w:p>
            <w:pPr>
              <w:jc w:val="right"/>
              <w:spacing w:after="0" w:line="196" w:lineRule="exact"/>
              <w:rPr>
                <w:sz w:val="20"/>
                <w:szCs w:val="20"/>
                <w:color w:val="auto"/>
              </w:rPr>
            </w:pPr>
            <w:r>
              <w:rPr>
                <w:rFonts w:ascii="Arial" w:cs="Arial" w:eastAsia="Arial" w:hAnsi="Arial"/>
                <w:sz w:val="18"/>
                <w:szCs w:val="18"/>
                <w:color w:val="auto"/>
              </w:rPr>
              <w:t>335</w:t>
            </w:r>
          </w:p>
        </w:tc>
        <w:tc>
          <w:tcPr>
            <w:tcW w:w="80" w:type="dxa"/>
            <w:vAlign w:val="bottom"/>
            <w:tcBorders>
              <w:top w:val="single" w:sz="8" w:color="auto"/>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900" w:type="dxa"/>
            <w:vAlign w:val="bottom"/>
            <w:tcBorders>
              <w:top w:val="single" w:sz="8" w:color="auto"/>
              <w:bottom w:val="single" w:sz="8" w:color="auto"/>
            </w:tcBorders>
            <w:gridSpan w:val="3"/>
          </w:tcPr>
          <w:p>
            <w:pPr>
              <w:jc w:val="right"/>
              <w:spacing w:after="0" w:line="196" w:lineRule="exact"/>
              <w:rPr>
                <w:sz w:val="20"/>
                <w:szCs w:val="20"/>
                <w:color w:val="auto"/>
              </w:rPr>
            </w:pPr>
            <w:r>
              <w:rPr>
                <w:rFonts w:ascii="Arial" w:cs="Arial" w:eastAsia="Arial" w:hAnsi="Arial"/>
                <w:sz w:val="18"/>
                <w:szCs w:val="18"/>
                <w:color w:val="auto"/>
              </w:rPr>
              <w:t>100.0%</w:t>
            </w:r>
          </w:p>
        </w:tc>
        <w:tc>
          <w:tcPr>
            <w:tcW w:w="4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760" w:type="dxa"/>
            <w:vAlign w:val="bottom"/>
            <w:tcBorders>
              <w:top w:val="single" w:sz="8" w:color="auto"/>
              <w:bottom w:val="single" w:sz="8" w:color="auto"/>
            </w:tcBorders>
            <w:gridSpan w:val="2"/>
          </w:tcPr>
          <w:p>
            <w:pPr>
              <w:jc w:val="right"/>
              <w:ind w:right="40"/>
              <w:spacing w:after="0" w:line="196" w:lineRule="exact"/>
              <w:rPr>
                <w:sz w:val="20"/>
                <w:szCs w:val="20"/>
                <w:color w:val="auto"/>
              </w:rPr>
            </w:pPr>
            <w:r>
              <w:rPr>
                <w:rFonts w:ascii="Arial" w:cs="Arial" w:eastAsia="Arial" w:hAnsi="Arial"/>
                <w:sz w:val="18"/>
                <w:szCs w:val="18"/>
                <w:color w:val="auto"/>
              </w:rPr>
              <w:t>824</w:t>
            </w:r>
          </w:p>
        </w:tc>
        <w:tc>
          <w:tcPr>
            <w:tcW w:w="20" w:type="dxa"/>
            <w:vAlign w:val="bottom"/>
            <w:tcBorders>
              <w:top w:val="single" w:sz="8" w:color="auto"/>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246.0 %</w:t>
            </w:r>
          </w:p>
        </w:tc>
        <w:tc>
          <w:tcPr>
            <w:tcW w:w="20" w:type="dxa"/>
            <w:vAlign w:val="bottom"/>
          </w:tcPr>
          <w:p>
            <w:pPr>
              <w:spacing w:after="0"/>
              <w:rPr>
                <w:sz w:val="20"/>
                <w:szCs w:val="20"/>
                <w:color w:val="auto"/>
              </w:rPr>
            </w:pPr>
          </w:p>
        </w:tc>
      </w:tr>
      <w:tr>
        <w:trPr>
          <w:trHeight w:val="197"/>
        </w:trPr>
        <w:tc>
          <w:tcPr>
            <w:tcW w:w="39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Total approximate revenue dollars (in thousands)</w:t>
            </w: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110,916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27,389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gridSpan w:val="3"/>
          </w:tcPr>
          <w:p>
            <w:pPr>
              <w:jc w:val="right"/>
              <w:ind w:right="40"/>
              <w:spacing w:after="0"/>
              <w:rPr>
                <w:sz w:val="20"/>
                <w:szCs w:val="20"/>
                <w:color w:val="auto"/>
              </w:rPr>
            </w:pPr>
            <w:r>
              <w:rPr>
                <w:rFonts w:ascii="Arial" w:cs="Arial" w:eastAsia="Arial" w:hAnsi="Arial"/>
                <w:sz w:val="18"/>
                <w:szCs w:val="18"/>
                <w:color w:val="auto"/>
              </w:rPr>
              <w:t>$ 83,527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305.0 %</w:t>
            </w: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Dealer inventory</w:t>
            </w: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2,022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2,918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(896)</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20" w:type="dxa"/>
            <w:vAlign w:val="bottom"/>
          </w:tcPr>
          <w:p>
            <w:pPr>
              <w:spacing w:after="0"/>
              <w:rPr>
                <w:sz w:val="18"/>
                <w:szCs w:val="18"/>
                <w:color w:val="auto"/>
              </w:rPr>
            </w:pPr>
          </w:p>
        </w:tc>
      </w:tr>
    </w:tbl>
    <w:p>
      <w:pPr>
        <w:spacing w:after="0" w:line="202" w:lineRule="exact"/>
        <w:rPr>
          <w:sz w:val="20"/>
          <w:szCs w:val="20"/>
          <w:color w:val="auto"/>
        </w:rPr>
      </w:pPr>
    </w:p>
    <w:p>
      <w:pPr>
        <w:ind w:right="200" w:firstLine="8"/>
        <w:spacing w:after="0"/>
        <w:tabs>
          <w:tab w:leader="none" w:pos="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includes in its backlog all accepted orders from dealers to be shipped within the next six months. Orders in backlog can be cancelled or postponed at the option of the purchaser at any time without penalty and, therefore, backlog may not necessarily be an accurate measure of future sales.</w:t>
      </w:r>
    </w:p>
    <w:sectPr>
      <w:pgSz w:w="11900" w:h="16838" w:orient="portrait"/>
      <w:cols w:equalWidth="0" w:num="1">
        <w:col w:w="11420"/>
      </w:cols>
      <w:pgMar w:left="240" w:top="56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o"/>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2019-12-10T03:44:28Z</dcterms:created>
  <dcterms:modified xsi:type="dcterms:W3CDTF">2019-12-10T03:44:28Z</dcterms:modified>
</cp:coreProperties>
</file>