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16,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863600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177800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Winnebago Industries, Inc. is filing herewith a press release issued on October 16, 2014, as Exhibit 99.1 which is incorporated by reference herein. The press release was issued to report earnings for the fourth quarter and Fiscal 2014 ended August 30, 2014.</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October 16, 2014.</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53" w:lineRule="exact"/>
        <w:rPr>
          <w:sz w:val="20"/>
          <w:szCs w:val="20"/>
          <w:color w:val="auto"/>
        </w:rPr>
      </w:pPr>
    </w:p>
    <w:p>
      <w:pPr>
        <w:ind w:left="40"/>
        <w:spacing w:after="0"/>
        <w:tabs>
          <w:tab w:leader="none" w:pos="600" w:val="left"/>
          <w:tab w:leader="none" w:pos="3440" w:val="left"/>
          <w:tab w:leader="none" w:pos="4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8"/>
          <w:szCs w:val="18"/>
          <w:color w:val="auto"/>
        </w:rPr>
        <w:t>October 16,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3129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59"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ectPr>
          <w:pgSz w:w="11900" w:h="16838" w:orient="portrait"/>
          <w:cols w:equalWidth="0" w:num="1">
            <w:col w:w="11280"/>
          </w:cols>
          <w:pgMar w:left="240" w:top="571" w:right="37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-389255</wp:posOffset>
            </wp:positionV>
            <wp:extent cx="2306955" cy="33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06955" cy="33464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Contact: Sheila Davis - PR/IR Mgr. - 641-585-6803 - sdavis@wgo.net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INDUSTRIES ANNOUNCES FOURTH QUARTER AND FISCAL 2014 RESULTS</w:t>
      </w:r>
    </w:p>
    <w:p>
      <w:pPr>
        <w:spacing w:after="0" w:line="25" w:lineRule="exact"/>
        <w:rPr>
          <w:sz w:val="20"/>
          <w:szCs w:val="20"/>
          <w:color w:val="auto"/>
        </w:rPr>
      </w:pPr>
    </w:p>
    <w:p>
      <w:pPr>
        <w:ind w:left="2760" w:right="2680" w:hanging="49"/>
        <w:spacing w:after="0" w:line="260" w:lineRule="auto"/>
        <w:rPr>
          <w:sz w:val="20"/>
          <w:szCs w:val="20"/>
          <w:color w:val="auto"/>
        </w:rPr>
      </w:pPr>
      <w:r>
        <w:rPr>
          <w:rFonts w:ascii="Arial" w:cs="Arial" w:eastAsia="Arial" w:hAnsi="Arial"/>
          <w:sz w:val="16"/>
          <w:szCs w:val="16"/>
          <w:b w:val="1"/>
          <w:bCs w:val="1"/>
          <w:color w:val="auto"/>
        </w:rPr>
        <w:t>-- Full-Year Revenues Increased 18% and Earnings Per Share Increased 45% -- -- Board of Directors Approved Quarterly Cash Dividend of $0.09 Per Share --</w:t>
      </w:r>
    </w:p>
    <w:p>
      <w:pPr>
        <w:spacing w:after="0" w:line="16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FOREST CITY, IOWA, October 16, 2014 - Winnebago Industries, Inc. (NYSE:WGO), a leading United States recreation vehicle manufacturer, today reported financial results for the Company's fourth quarter and Fiscal 2014.</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Fourth Quarter Fiscal 2014 Results</w:t>
      </w:r>
    </w:p>
    <w:p>
      <w:pPr>
        <w:spacing w:after="0" w:line="19"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Revenues for the Fiscal 2014 fourth quarter ended August 30, 2014 were $245.9 million, an increase of 14.8%, versus $214.2 million for the Fiscal 2013 fourth quarter. Comparing the Fiscal 2014 fourth quarter to the same period of Fiscal 2013, operating income rose 19.2% to $18.3 million, net income grew 21.8% to $12.9 million and diluted earnings per share increased 26.3% to $0.48 from $0.38.</w:t>
      </w:r>
    </w:p>
    <w:p>
      <w:pPr>
        <w:spacing w:after="0" w:line="16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Fourth quarter earnings improved year over year primarily as a result of higher motorhome unit sales, a significant improvement in towables profitability and operating expense leverage. Motorhome revenue grew 15.0% driven by motorhome unit growth of 25.1%, partially offset by lower motorhome average selling prices (ASP) of 8.4% as a result of product mix. Towables operating income improved by $1.4 million and was positively impacted by towables revenue growth of 8.6%, comprised of a 9.9% improvement in ASP and a 0.8% increase in units.</w:t>
      </w:r>
    </w:p>
    <w:p>
      <w:pPr>
        <w:spacing w:after="0" w:line="20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Operating expenses as a percentage of revenues were favorably leveraged during the quarter and contributed 50 basis points to the improvement in operating income margin.</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Compared to the same periods of last year, the Company’s motorhome retail registrations increased 17% in the Fiscal 2014 fourth quarter and 28% on a rolling 12-month basis, based on internally reported retail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Full-Year Fiscal 2014 Results</w:t>
      </w:r>
    </w:p>
    <w:p>
      <w:pPr>
        <w:spacing w:after="0" w:line="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Revenues for the 52-weeks of Fiscal 2014 were $945.2 million, an increase of 17.7%, from $803.2 million for the 53-weeks of Fiscal 2013. Comparing Fiscal 2014 to Fiscal 2013, operating income rose 43.9% to $63.9 million, net income grew 41.0% to $45.1 million, and diluted earnings per share increased 45.1% to $1.64 from $1.13.</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Reinstatement of Quarterly Cash Dividend</w:t>
      </w:r>
    </w:p>
    <w:p>
      <w:pPr>
        <w:spacing w:after="0" w:line="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As announced on October 15, the Company’s board of directors approved a quarterly cash dividend of $0.09 per share. The first quarterly dividend of $0.09 per share will be paid on November 26, 2014, to common stockholders of record at the close of business on November 12, 2014.</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Management Comments</w:t>
      </w:r>
    </w:p>
    <w:p>
      <w:pPr>
        <w:spacing w:after="0" w:line="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Chairman, CEO and President Randy Potts commented, “Demand for our products resulted in industry-leading unit volume growth and market share gains for Winnebago motorized products through the first seven months of calendar 2014 according to Statistical Surveys. The motorized growth and profitability within our towables business contributed to an outstanding fiscal year for the company resulting in year over year earnings per share growth of 45%. With a strong product lineup and increasing confidence in our towables group, we believe we are well positioned to leverage future growth opportunities.”</w:t>
      </w:r>
    </w:p>
    <w:p>
      <w:pPr>
        <w:spacing w:after="0" w:line="17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Chief Financial Officer Sarah Nielsen added, “We generated $13.0 million in operating cash flow during the fourth quarter of Fiscal 2014 primarily as a result of improved profitability. We did experience an increase in receivables of $13.4 million in the fourth quarter due to a greater level of units in transit, however, this was offset by non-cash expenses and other changes in working capital. With no debt and nearly $58 million in cash, our balance sheet is very strong, supporting future growth opportunities as well as potential stock repurchases and our recently announced quarterly cash dividend.”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5"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 xml:space="preserve">Winnebago Industries, Inc. will conduct a conference call to discuss fourth-quarter and Fiscal 2014 results at 9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http://www.wgo.net/investor.html</w:t>
      </w:r>
      <w:r>
        <w:rPr>
          <w:rFonts w:ascii="Arial" w:cs="Arial" w:eastAsia="Arial" w:hAnsi="Arial"/>
          <w:sz w:val="16"/>
          <w:szCs w:val="16"/>
          <w:color w:val="auto"/>
        </w:rPr>
        <w:t>. The event will be archived and available for replay for the next 90 days.</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ind w:right="140"/>
        <w:spacing w:after="0" w:line="219"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21"/>
          <w:szCs w:val="21"/>
          <w:color w:val="auto"/>
          <w:vertAlign w:val="superscript"/>
        </w:rPr>
        <w:t>®</w:t>
      </w:r>
      <w:r>
        <w:rPr>
          <w:rFonts w:ascii="Arial" w:cs="Arial" w:eastAsia="Arial" w:hAnsi="Arial"/>
          <w:sz w:val="16"/>
          <w:szCs w:val="16"/>
          <w:color w:val="auto"/>
        </w:rPr>
        <w:t>, is a leading U.S. manufacturer of recreation vehicles, which are used primarily in leisure travel and outdoor recreation activities. The Company builds quality motor homes,</w:t>
      </w:r>
    </w:p>
    <w:p>
      <w:pPr>
        <w:sectPr>
          <w:pgSz w:w="11900" w:h="16838" w:orient="portrait"/>
          <w:cols w:equalWidth="0" w:num="1">
            <w:col w:w="11400"/>
          </w:cols>
          <w:pgMar w:left="240" w:top="799" w:right="259" w:bottom="1440" w:gutter="0" w:footer="0" w:header="0"/>
        </w:sectPr>
      </w:pPr>
    </w:p>
    <w:bookmarkStart w:id="3" w:name="page4"/>
    <w:bookmarkEnd w:id="3"/>
    <w:p>
      <w:pPr>
        <w:ind w:right="60"/>
        <w:spacing w:after="0" w:line="251" w:lineRule="auto"/>
        <w:rPr>
          <w:sz w:val="20"/>
          <w:szCs w:val="20"/>
          <w:color w:val="auto"/>
        </w:rPr>
      </w:pPr>
      <w:r>
        <w:rPr>
          <w:rFonts w:ascii="Arial" w:cs="Arial" w:eastAsia="Arial" w:hAnsi="Arial"/>
          <w:sz w:val="16"/>
          <w:szCs w:val="16"/>
          <w:color w:val="auto"/>
        </w:rPr>
        <w:t xml:space="preserve">travel trailers, fifth wheel products, and transit buses.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http://www.wgo.net/investor.html</w:t>
      </w:r>
      <w:r>
        <w:rPr>
          <w:rFonts w:ascii="Arial" w:cs="Arial" w:eastAsia="Arial" w:hAnsi="Arial"/>
          <w:sz w:val="16"/>
          <w:szCs w:val="16"/>
          <w:color w:val="auto"/>
        </w:rPr>
        <w:t>.</w:t>
      </w:r>
    </w:p>
    <w:p>
      <w:pPr>
        <w:spacing w:after="0" w:line="176"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300"/>
          </w:cols>
          <w:pgMar w:left="240" w:top="601"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5"/>
          </w:tcPr>
          <w:p>
            <w:pPr>
              <w:ind w:left="1080"/>
              <w:spacing w:after="0"/>
              <w:rPr>
                <w:sz w:val="20"/>
                <w:szCs w:val="20"/>
                <w:color w:val="auto"/>
              </w:rPr>
            </w:pPr>
            <w:r>
              <w:rPr>
                <w:rFonts w:ascii="Arial" w:cs="Arial" w:eastAsia="Arial" w:hAnsi="Arial"/>
                <w:sz w:val="18"/>
                <w:szCs w:val="18"/>
                <w:b w:val="1"/>
                <w:bCs w:val="1"/>
                <w:color w:val="auto"/>
                <w:w w:val="97"/>
              </w:rPr>
              <w:t>Quarter Ended</w:t>
            </w:r>
          </w:p>
        </w:tc>
        <w:tc>
          <w:tcPr>
            <w:tcW w:w="8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100" w:type="dxa"/>
            <w:vAlign w:val="bottom"/>
            <w:gridSpan w:val="7"/>
          </w:tcPr>
          <w:p>
            <w:pPr>
              <w:ind w:left="440"/>
              <w:spacing w:after="0"/>
              <w:rPr>
                <w:sz w:val="20"/>
                <w:szCs w:val="20"/>
                <w:color w:val="auto"/>
              </w:rPr>
            </w:pPr>
            <w:r>
              <w:rPr>
                <w:rFonts w:ascii="Arial" w:cs="Arial" w:eastAsia="Arial" w:hAnsi="Arial"/>
                <w:sz w:val="18"/>
                <w:szCs w:val="18"/>
                <w:b w:val="1"/>
                <w:bCs w:val="1"/>
                <w:color w:val="auto"/>
              </w:rPr>
              <w:t>August 30, 2014</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60" w:type="dxa"/>
            <w:vAlign w:val="bottom"/>
            <w:gridSpan w:val="5"/>
          </w:tcPr>
          <w:p>
            <w:pPr>
              <w:ind w:left="460"/>
              <w:spacing w:after="0"/>
              <w:rPr>
                <w:sz w:val="20"/>
                <w:szCs w:val="20"/>
                <w:color w:val="auto"/>
              </w:rPr>
            </w:pPr>
            <w:r>
              <w:rPr>
                <w:rFonts w:ascii="Arial" w:cs="Arial" w:eastAsia="Arial" w:hAnsi="Arial"/>
                <w:sz w:val="18"/>
                <w:szCs w:val="18"/>
                <w:b w:val="1"/>
                <w:bCs w:val="1"/>
                <w:color w:val="auto"/>
              </w:rPr>
              <w:t>August 31, 2013</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245,935</w:t>
            </w:r>
          </w:p>
        </w:tc>
        <w:tc>
          <w:tcPr>
            <w:tcW w:w="2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8"/>
              </w:rPr>
              <w:t>214,246</w:t>
            </w:r>
          </w:p>
        </w:tc>
        <w:tc>
          <w:tcPr>
            <w:tcW w:w="8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217,226</w:t>
            </w:r>
          </w:p>
        </w:tc>
        <w:tc>
          <w:tcPr>
            <w:tcW w:w="2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88.3%</w:t>
            </w: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188,750</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88.1 %</w:t>
            </w: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28,709</w:t>
            </w:r>
          </w:p>
        </w:tc>
        <w:tc>
          <w:tcPr>
            <w:tcW w:w="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5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25,496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57"/>
        </w:trPr>
        <w:tc>
          <w:tcPr>
            <w:tcW w:w="4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4,669</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w:t>
            </w:r>
          </w:p>
        </w:tc>
        <w:tc>
          <w:tcPr>
            <w:tcW w:w="2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5,495</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10,431</w:t>
            </w: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10,164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50"/>
        </w:trPr>
        <w:tc>
          <w:tcPr>
            <w:tcW w:w="45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18,278</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15,332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Non-operating income (expense)</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45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18,294</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8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15,289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taxes</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5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4,673</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97"/>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12,929</w:t>
            </w: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10,616</w:t>
            </w: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51"/>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per common share:</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0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0.48</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0.38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27,064</w:t>
            </w: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27,912</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0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27,181</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28,019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97"/>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1260"/>
              <w:spacing w:after="0"/>
              <w:rPr>
                <w:sz w:val="20"/>
                <w:szCs w:val="20"/>
                <w:color w:val="auto"/>
              </w:rPr>
            </w:pPr>
            <w:r>
              <w:rPr>
                <w:rFonts w:ascii="Arial" w:cs="Arial" w:eastAsia="Arial" w:hAnsi="Arial"/>
                <w:sz w:val="18"/>
                <w:szCs w:val="18"/>
                <w:b w:val="1"/>
                <w:bCs w:val="1"/>
                <w:color w:val="auto"/>
                <w:w w:val="88"/>
              </w:rPr>
              <w:t>Year</w:t>
            </w:r>
            <w:r>
              <w:rPr>
                <w:rFonts w:ascii="Arial" w:cs="Arial" w:eastAsia="Arial" w:hAnsi="Arial"/>
                <w:sz w:val="21"/>
                <w:szCs w:val="21"/>
                <w:b w:val="1"/>
                <w:bCs w:val="1"/>
                <w:color w:val="auto"/>
                <w:w w:val="88"/>
                <w:vertAlign w:val="superscript"/>
              </w:rPr>
              <w:t>(1)</w:t>
            </w:r>
          </w:p>
        </w:tc>
        <w:tc>
          <w:tcPr>
            <w:tcW w:w="240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rPr>
              <w:t>Ended</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6"/>
          </w:tcPr>
          <w:p>
            <w:pPr>
              <w:ind w:left="640"/>
              <w:spacing w:after="0"/>
              <w:rPr>
                <w:sz w:val="20"/>
                <w:szCs w:val="20"/>
                <w:color w:val="auto"/>
              </w:rPr>
            </w:pPr>
            <w:r>
              <w:rPr>
                <w:rFonts w:ascii="Arial" w:cs="Arial" w:eastAsia="Arial" w:hAnsi="Arial"/>
                <w:sz w:val="18"/>
                <w:szCs w:val="18"/>
                <w:b w:val="1"/>
                <w:bCs w:val="1"/>
                <w:color w:val="auto"/>
              </w:rPr>
              <w:t>August 30, 2014</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6"/>
          </w:tcPr>
          <w:p>
            <w:pPr>
              <w:jc w:val="right"/>
              <w:ind w:right="790"/>
              <w:spacing w:after="0"/>
              <w:rPr>
                <w:sz w:val="20"/>
                <w:szCs w:val="20"/>
                <w:color w:val="auto"/>
              </w:rPr>
            </w:pPr>
            <w:r>
              <w:rPr>
                <w:rFonts w:ascii="Arial" w:cs="Arial" w:eastAsia="Arial" w:hAnsi="Arial"/>
                <w:sz w:val="18"/>
                <w:szCs w:val="18"/>
                <w:b w:val="1"/>
                <w:bCs w:val="1"/>
                <w:color w:val="auto"/>
              </w:rPr>
              <w:t>August 31, 2013</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945,163</w:t>
            </w:r>
          </w:p>
        </w:tc>
        <w:tc>
          <w:tcPr>
            <w:tcW w:w="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803,165</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841,166</w:t>
            </w: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89.0 %</w:t>
            </w: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718,534</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103,997</w:t>
            </w:r>
          </w:p>
        </w:tc>
        <w:tc>
          <w:tcPr>
            <w:tcW w:w="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7"/>
        </w:trPr>
        <w:tc>
          <w:tcPr>
            <w:tcW w:w="4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18,293</w:t>
            </w:r>
          </w:p>
        </w:tc>
        <w:tc>
          <w:tcPr>
            <w:tcW w:w="4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18,318</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3"/>
        </w:trPr>
        <w:tc>
          <w:tcPr>
            <w:tcW w:w="45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22,424</w:t>
            </w:r>
          </w:p>
        </w:tc>
        <w:tc>
          <w:tcPr>
            <w:tcW w:w="4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21,887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 loss on sale of real estate</w:t>
            </w:r>
          </w:p>
        </w:tc>
        <w:tc>
          <w:tcPr>
            <w:tcW w:w="2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w:t>
            </w: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auto"/>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40,088</w:t>
            </w: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40,233</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63,909</w:t>
            </w:r>
          </w:p>
        </w:tc>
        <w:tc>
          <w:tcPr>
            <w:tcW w:w="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Non-operating income</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768</w:t>
            </w: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64,677</w:t>
            </w:r>
          </w:p>
        </w:tc>
        <w:tc>
          <w:tcPr>
            <w:tcW w:w="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taxes</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19,624</w:t>
            </w: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13,141</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45,053</w:t>
            </w:r>
          </w:p>
        </w:tc>
        <w:tc>
          <w:tcPr>
            <w:tcW w:w="4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per common share:</w:t>
            </w: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00" w:type="dxa"/>
            <w:vAlign w:val="bottom"/>
          </w:tcPr>
          <w:p>
            <w:pPr>
              <w:ind w:left="240"/>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0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27,430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28,075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27,545</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28,170</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pacing w:after="0" w:line="147"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The fiscal year ended August 30, 2014 and August 31, 2013 contained 52 weeks and 53 weeks, respectively.</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30,</w:t>
            </w:r>
          </w:p>
        </w:tc>
        <w:tc>
          <w:tcPr>
            <w:tcW w:w="200" w:type="dxa"/>
            <w:vAlign w:val="bottom"/>
          </w:tcPr>
          <w:p>
            <w:pPr>
              <w:spacing w:after="0"/>
              <w:rPr>
                <w:sz w:val="17"/>
                <w:szCs w:val="17"/>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August 31,</w:t>
            </w:r>
          </w:p>
        </w:tc>
      </w:tr>
      <w:tr>
        <w:trPr>
          <w:trHeight w:val="246"/>
        </w:trPr>
        <w:tc>
          <w:tcPr>
            <w:tcW w:w="7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r>
      <w:tr>
        <w:trPr>
          <w:trHeight w:val="27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3"/>
        </w:trPr>
        <w:tc>
          <w:tcPr>
            <w:tcW w:w="79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7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57,804</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64,277</w:t>
            </w:r>
          </w:p>
        </w:tc>
      </w:tr>
      <w:tr>
        <w:trPr>
          <w:trHeight w:val="263"/>
        </w:trPr>
        <w:tc>
          <w:tcPr>
            <w:tcW w:w="796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69,699</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29,145</w:t>
            </w:r>
          </w:p>
        </w:tc>
      </w:tr>
      <w:tr>
        <w:trPr>
          <w:trHeight w:val="277"/>
        </w:trPr>
        <w:tc>
          <w:tcPr>
            <w:tcW w:w="7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112,848</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112,541</w:t>
            </w:r>
          </w:p>
        </w:tc>
      </w:tr>
      <w:tr>
        <w:trPr>
          <w:trHeight w:val="263"/>
        </w:trPr>
        <w:tc>
          <w:tcPr>
            <w:tcW w:w="7960" w:type="dxa"/>
            <w:vAlign w:val="bottom"/>
          </w:tcPr>
          <w:p>
            <w:pPr>
              <w:ind w:left="280"/>
              <w:spacing w:after="0"/>
              <w:rPr>
                <w:sz w:val="20"/>
                <w:szCs w:val="20"/>
                <w:color w:val="auto"/>
              </w:rPr>
            </w:pPr>
            <w:r>
              <w:rPr>
                <w:rFonts w:ascii="Arial" w:cs="Arial" w:eastAsia="Arial" w:hAnsi="Arial"/>
                <w:sz w:val="18"/>
                <w:szCs w:val="18"/>
                <w:color w:val="auto"/>
              </w:rPr>
              <w:t>Investment in operating leases</w:t>
            </w:r>
          </w:p>
        </w:tc>
        <w:tc>
          <w:tcPr>
            <w:tcW w:w="22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15,978</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5,718</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8,277</w:t>
            </w:r>
          </w:p>
        </w:tc>
      </w:tr>
      <w:tr>
        <w:trPr>
          <w:trHeight w:val="263"/>
        </w:trPr>
        <w:tc>
          <w:tcPr>
            <w:tcW w:w="7960" w:type="dxa"/>
            <w:vAlign w:val="bottom"/>
          </w:tcPr>
          <w:p>
            <w:pPr>
              <w:ind w:left="280"/>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1,868</w:t>
            </w:r>
          </w:p>
        </w:tc>
      </w:tr>
      <w:tr>
        <w:trPr>
          <w:trHeight w:val="270"/>
        </w:trPr>
        <w:tc>
          <w:tcPr>
            <w:tcW w:w="7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9,641</w:t>
            </w:r>
          </w:p>
        </w:tc>
        <w:tc>
          <w:tcPr>
            <w:tcW w:w="3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7,742</w:t>
            </w:r>
          </w:p>
        </w:tc>
      </w:tr>
      <w:tr>
        <w:trPr>
          <w:trHeight w:val="250"/>
        </w:trPr>
        <w:tc>
          <w:tcPr>
            <w:tcW w:w="79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271,693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223,850</w:t>
            </w:r>
          </w:p>
        </w:tc>
      </w:tr>
      <w:tr>
        <w:trPr>
          <w:trHeight w:val="277"/>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25,135</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20,266</w:t>
            </w:r>
          </w:p>
        </w:tc>
      </w:tr>
      <w:tr>
        <w:trPr>
          <w:trHeight w:val="263"/>
        </w:trPr>
        <w:tc>
          <w:tcPr>
            <w:tcW w:w="796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22"/>
                <w:szCs w:val="22"/>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2,108</w:t>
            </w:r>
          </w:p>
        </w:tc>
      </w:tr>
      <w:tr>
        <w:trPr>
          <w:trHeight w:val="277"/>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in life insurance</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25,126</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25,051</w:t>
            </w:r>
          </w:p>
        </w:tc>
      </w:tr>
      <w:tr>
        <w:trPr>
          <w:trHeight w:val="263"/>
        </w:trPr>
        <w:tc>
          <w:tcPr>
            <w:tcW w:w="79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24,029</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25,649</w:t>
            </w:r>
          </w:p>
        </w:tc>
      </w:tr>
      <w:tr>
        <w:trPr>
          <w:trHeight w:val="277"/>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r>
      <w:tr>
        <w:trPr>
          <w:trHeight w:val="264"/>
        </w:trPr>
        <w:tc>
          <w:tcPr>
            <w:tcW w:w="7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11,091</w:t>
            </w:r>
          </w:p>
        </w:tc>
        <w:tc>
          <w:tcPr>
            <w:tcW w:w="3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10,993</w:t>
            </w:r>
          </w:p>
        </w:tc>
      </w:tr>
      <w:tr>
        <w:trPr>
          <w:trHeight w:val="257"/>
        </w:trPr>
        <w:tc>
          <w:tcPr>
            <w:tcW w:w="7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358,302</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309,145</w:t>
            </w:r>
          </w:p>
        </w:tc>
      </w:tr>
      <w:tr>
        <w:trPr>
          <w:trHeight w:val="20"/>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1"/>
        </w:trPr>
        <w:tc>
          <w:tcPr>
            <w:tcW w:w="7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3"/>
        </w:trPr>
        <w:tc>
          <w:tcPr>
            <w:tcW w:w="79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7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33,111</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28,142</w:t>
            </w:r>
          </w:p>
        </w:tc>
      </w:tr>
      <w:tr>
        <w:trPr>
          <w:trHeight w:val="263"/>
        </w:trPr>
        <w:tc>
          <w:tcPr>
            <w:tcW w:w="7960" w:type="dxa"/>
            <w:vAlign w:val="bottom"/>
          </w:tcPr>
          <w:p>
            <w:pPr>
              <w:ind w:left="280"/>
              <w:spacing w:after="0"/>
              <w:rPr>
                <w:sz w:val="20"/>
                <w:szCs w:val="20"/>
                <w:color w:val="auto"/>
              </w:rPr>
            </w:pPr>
            <w:r>
              <w:rPr>
                <w:rFonts w:ascii="Arial" w:cs="Arial" w:eastAsia="Arial" w:hAnsi="Arial"/>
                <w:sz w:val="18"/>
                <w:szCs w:val="18"/>
                <w:color w:val="auto"/>
              </w:rPr>
              <w:t>Operating lease repurchase obligations</w:t>
            </w:r>
          </w:p>
        </w:tc>
        <w:tc>
          <w:tcPr>
            <w:tcW w:w="22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16,050</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2,927</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9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47,631</w:t>
            </w:r>
          </w:p>
        </w:tc>
        <w:tc>
          <w:tcPr>
            <w:tcW w:w="3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42,212</w:t>
            </w:r>
          </w:p>
        </w:tc>
      </w:tr>
      <w:tr>
        <w:trPr>
          <w:trHeight w:val="257"/>
        </w:trPr>
        <w:tc>
          <w:tcPr>
            <w:tcW w:w="7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99,719</w:t>
            </w:r>
          </w:p>
        </w:tc>
        <w:tc>
          <w:tcPr>
            <w:tcW w:w="3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70,354</w:t>
            </w:r>
          </w:p>
        </w:tc>
      </w:tr>
      <w:tr>
        <w:trPr>
          <w:trHeight w:val="257"/>
        </w:trPr>
        <w:tc>
          <w:tcPr>
            <w:tcW w:w="7960" w:type="dxa"/>
            <w:vAlign w:val="bottom"/>
          </w:tcPr>
          <w:p>
            <w:pPr>
              <w:ind w:left="40"/>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7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Unrecognized tax benefits</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3,024</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3,988</w:t>
            </w:r>
          </w:p>
        </w:tc>
      </w:tr>
      <w:tr>
        <w:trPr>
          <w:trHeight w:val="264"/>
        </w:trPr>
        <w:tc>
          <w:tcPr>
            <w:tcW w:w="79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62,811</w:t>
            </w:r>
          </w:p>
        </w:tc>
        <w:tc>
          <w:tcPr>
            <w:tcW w:w="3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64,074</w:t>
            </w:r>
          </w:p>
        </w:tc>
      </w:tr>
      <w:tr>
        <w:trPr>
          <w:trHeight w:val="257"/>
        </w:trPr>
        <w:tc>
          <w:tcPr>
            <w:tcW w:w="7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65,835</w:t>
            </w:r>
          </w:p>
        </w:tc>
        <w:tc>
          <w:tcPr>
            <w:tcW w:w="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68,062</w:t>
            </w:r>
          </w:p>
        </w:tc>
      </w:tr>
      <w:tr>
        <w:trPr>
          <w:trHeight w:val="264"/>
        </w:trPr>
        <w:tc>
          <w:tcPr>
            <w:tcW w:w="7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192,748</w:t>
            </w:r>
          </w:p>
        </w:tc>
        <w:tc>
          <w:tcPr>
            <w:tcW w:w="3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170,729</w:t>
            </w:r>
          </w:p>
        </w:tc>
      </w:tr>
      <w:tr>
        <w:trPr>
          <w:trHeight w:val="257"/>
        </w:trPr>
        <w:tc>
          <w:tcPr>
            <w:tcW w:w="7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358,302</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309,145</w:t>
            </w:r>
          </w:p>
        </w:tc>
      </w:tr>
      <w:tr>
        <w:trPr>
          <w:trHeight w:val="20"/>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6"/>
                <w:szCs w:val="16"/>
                <w:b w:val="1"/>
                <w:bCs w:val="1"/>
                <w:color w:val="auto"/>
              </w:rPr>
              <w:t>Year</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Ended</w:t>
            </w:r>
          </w:p>
        </w:tc>
      </w:tr>
      <w:tr>
        <w:trPr>
          <w:trHeight w:val="191"/>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30,</w:t>
            </w:r>
          </w:p>
        </w:tc>
        <w:tc>
          <w:tcPr>
            <w:tcW w:w="300" w:type="dxa"/>
            <w:vAlign w:val="bottom"/>
          </w:tcPr>
          <w:p>
            <w:pPr>
              <w:spacing w:after="0"/>
              <w:rPr>
                <w:sz w:val="16"/>
                <w:szCs w:val="16"/>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8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3"/>
        </w:trPr>
        <w:tc>
          <w:tcPr>
            <w:tcW w:w="832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45,053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31,953</w:t>
            </w:r>
          </w:p>
        </w:tc>
      </w:tr>
      <w:tr>
        <w:trPr>
          <w:trHeight w:val="28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3"/>
        </w:trPr>
        <w:tc>
          <w:tcPr>
            <w:tcW w:w="83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3,997</w:t>
            </w:r>
          </w:p>
        </w:tc>
        <w:tc>
          <w:tcPr>
            <w:tcW w:w="300" w:type="dxa"/>
            <w:vAlign w:val="bottom"/>
          </w:tcPr>
          <w:p>
            <w:pPr>
              <w:spacing w:after="0"/>
              <w:rPr>
                <w:sz w:val="20"/>
                <w:szCs w:val="20"/>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4,764</w:t>
            </w:r>
          </w:p>
        </w:tc>
      </w:tr>
      <w:tr>
        <w:trPr>
          <w:trHeight w:val="253"/>
        </w:trPr>
        <w:tc>
          <w:tcPr>
            <w:tcW w:w="8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expense (income)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1,456</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(1,180)</w:t>
            </w:r>
          </w:p>
        </w:tc>
      </w:tr>
      <w:tr>
        <w:trPr>
          <w:trHeight w:val="233"/>
        </w:trPr>
        <w:tc>
          <w:tcPr>
            <w:tcW w:w="8320" w:type="dxa"/>
            <w:vAlign w:val="bottom"/>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(979)</w:t>
            </w:r>
          </w:p>
        </w:tc>
        <w:tc>
          <w:tcPr>
            <w:tcW w:w="300" w:type="dxa"/>
            <w:vAlign w:val="bottom"/>
          </w:tcPr>
          <w:p>
            <w:pPr>
              <w:spacing w:after="0"/>
              <w:rPr>
                <w:sz w:val="20"/>
                <w:szCs w:val="20"/>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245</w:t>
            </w:r>
          </w:p>
        </w:tc>
      </w:tr>
      <w:tr>
        <w:trPr>
          <w:trHeight w:val="253"/>
        </w:trPr>
        <w:tc>
          <w:tcPr>
            <w:tcW w:w="8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3,386</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3,009</w:t>
            </w:r>
          </w:p>
        </w:tc>
      </w:tr>
      <w:tr>
        <w:trPr>
          <w:trHeight w:val="233"/>
        </w:trPr>
        <w:tc>
          <w:tcPr>
            <w:tcW w:w="832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20"/>
                <w:szCs w:val="20"/>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25</w:t>
            </w:r>
          </w:p>
        </w:tc>
      </w:tr>
      <w:tr>
        <w:trPr>
          <w:trHeight w:val="253"/>
        </w:trPr>
        <w:tc>
          <w:tcPr>
            <w:tcW w:w="8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1,790</w:t>
            </w:r>
          </w:p>
        </w:tc>
      </w:tr>
      <w:tr>
        <w:trPr>
          <w:trHeight w:val="233"/>
        </w:trPr>
        <w:tc>
          <w:tcPr>
            <w:tcW w:w="8320" w:type="dxa"/>
            <w:vAlign w:val="bottom"/>
          </w:tcPr>
          <w:p>
            <w:pPr>
              <w:ind w:left="280"/>
              <w:spacing w:after="0"/>
              <w:rPr>
                <w:sz w:val="20"/>
                <w:szCs w:val="20"/>
                <w:color w:val="auto"/>
              </w:rPr>
            </w:pPr>
            <w:r>
              <w:rPr>
                <w:rFonts w:ascii="Arial" w:cs="Arial" w:eastAsia="Arial" w:hAnsi="Arial"/>
                <w:sz w:val="16"/>
                <w:szCs w:val="16"/>
                <w:color w:val="auto"/>
              </w:rPr>
              <w:t>Gain on life insurance</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(726)</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(536)</w:t>
            </w:r>
          </w:p>
        </w:tc>
      </w:tr>
      <w:tr>
        <w:trPr>
          <w:trHeight w:val="253"/>
        </w:trPr>
        <w:tc>
          <w:tcPr>
            <w:tcW w:w="8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on sale of investment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w:t>
            </w:r>
          </w:p>
        </w:tc>
      </w:tr>
      <w:tr>
        <w:trPr>
          <w:trHeight w:val="233"/>
        </w:trPr>
        <w:tc>
          <w:tcPr>
            <w:tcW w:w="8320" w:type="dxa"/>
            <w:vAlign w:val="bottom"/>
          </w:tcPr>
          <w:p>
            <w:pPr>
              <w:ind w:left="220"/>
              <w:spacing w:after="0"/>
              <w:rPr>
                <w:sz w:val="20"/>
                <w:szCs w:val="20"/>
                <w:color w:val="auto"/>
              </w:rPr>
            </w:pPr>
            <w:r>
              <w:rPr>
                <w:rFonts w:ascii="Arial" w:cs="Arial" w:eastAsia="Arial" w:hAnsi="Arial"/>
                <w:sz w:val="16"/>
                <w:szCs w:val="16"/>
                <w:color w:val="auto"/>
              </w:rPr>
              <w:t>Increase in cash surrender value of life insurance policies</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(805)</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(1,030)</w:t>
            </w:r>
          </w:p>
        </w:tc>
      </w:tr>
      <w:tr>
        <w:trPr>
          <w:trHeight w:val="253"/>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disposal of property</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(691)</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(95)</w:t>
            </w: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Change in assets and liabilities:</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3"/>
        </w:trPr>
        <w:tc>
          <w:tcPr>
            <w:tcW w:w="8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(1,763)</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(24,267)</w:t>
            </w:r>
          </w:p>
        </w:tc>
      </w:tr>
      <w:tr>
        <w:trPr>
          <w:trHeight w:val="233"/>
        </w:trPr>
        <w:tc>
          <w:tcPr>
            <w:tcW w:w="8320" w:type="dxa"/>
            <w:vAlign w:val="bottom"/>
          </w:tcPr>
          <w:p>
            <w:pPr>
              <w:ind w:left="280"/>
              <w:spacing w:after="0"/>
              <w:rPr>
                <w:sz w:val="20"/>
                <w:szCs w:val="20"/>
                <w:color w:val="auto"/>
              </w:rPr>
            </w:pPr>
            <w:r>
              <w:rPr>
                <w:rFonts w:ascii="Arial" w:cs="Arial" w:eastAsia="Arial" w:hAnsi="Arial"/>
                <w:sz w:val="16"/>
                <w:szCs w:val="16"/>
                <w:color w:val="auto"/>
              </w:rPr>
              <w:t>Receivables, prepaid and other assets</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(38,233)</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(8,908)</w:t>
            </w:r>
          </w:p>
        </w:tc>
      </w:tr>
      <w:tr>
        <w:trPr>
          <w:trHeight w:val="253"/>
        </w:trPr>
        <w:tc>
          <w:tcPr>
            <w:tcW w:w="8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Investment in operating leases, net of repurchase obligations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33"/>
        </w:trPr>
        <w:tc>
          <w:tcPr>
            <w:tcW w:w="8320" w:type="dxa"/>
            <w:vAlign w:val="bottom"/>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2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5,625</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(194)</w:t>
            </w:r>
          </w:p>
        </w:tc>
      </w:tr>
      <w:tr>
        <w:trPr>
          <w:trHeight w:val="253"/>
        </w:trPr>
        <w:tc>
          <w:tcPr>
            <w:tcW w:w="8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10,919</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8,939</w:t>
            </w:r>
          </w:p>
        </w:tc>
      </w:tr>
      <w:tr>
        <w:trPr>
          <w:trHeight w:val="237"/>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(4,008)</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(4,322)</w:t>
            </w:r>
          </w:p>
        </w:tc>
      </w:tr>
      <w:tr>
        <w:trPr>
          <w:trHeight w:val="237"/>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23,236</w:t>
            </w: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10,238</w:t>
            </w:r>
          </w:p>
        </w:tc>
      </w:tr>
      <w:tr>
        <w:trPr>
          <w:trHeight w:val="162"/>
        </w:trPr>
        <w:tc>
          <w:tcPr>
            <w:tcW w:w="8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3"/>
        </w:trPr>
        <w:tc>
          <w:tcPr>
            <w:tcW w:w="8320" w:type="dxa"/>
            <w:vAlign w:val="bottom"/>
          </w:tcPr>
          <w:p>
            <w:pPr>
              <w:ind w:left="280"/>
              <w:spacing w:after="0"/>
              <w:rPr>
                <w:sz w:val="20"/>
                <w:szCs w:val="20"/>
                <w:color w:val="auto"/>
              </w:rPr>
            </w:pPr>
            <w:r>
              <w:rPr>
                <w:rFonts w:ascii="Arial" w:cs="Arial" w:eastAsia="Arial" w:hAnsi="Arial"/>
                <w:sz w:val="16"/>
                <w:szCs w:val="16"/>
                <w:color w:val="auto"/>
              </w:rPr>
              <w:t>Proceeds from the sale of investments</w:t>
            </w:r>
          </w:p>
        </w:tc>
        <w:tc>
          <w:tcPr>
            <w:tcW w:w="2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2,350</w:t>
            </w:r>
          </w:p>
        </w:tc>
        <w:tc>
          <w:tcPr>
            <w:tcW w:w="300" w:type="dxa"/>
            <w:vAlign w:val="bottom"/>
          </w:tcPr>
          <w:p>
            <w:pPr>
              <w:spacing w:after="0"/>
              <w:rPr>
                <w:sz w:val="20"/>
                <w:szCs w:val="20"/>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7,300</w:t>
            </w:r>
          </w:p>
        </w:tc>
      </w:tr>
      <w:tr>
        <w:trPr>
          <w:trHeight w:val="253"/>
        </w:trPr>
        <w:tc>
          <w:tcPr>
            <w:tcW w:w="8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life insurance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1,737</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1,004</w:t>
            </w:r>
          </w:p>
        </w:tc>
      </w:tr>
      <w:tr>
        <w:trPr>
          <w:trHeight w:val="233"/>
        </w:trPr>
        <w:tc>
          <w:tcPr>
            <w:tcW w:w="8320" w:type="dxa"/>
            <w:vAlign w:val="bottom"/>
          </w:tcPr>
          <w:p>
            <w:pPr>
              <w:ind w:left="28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(10,476)</w:t>
            </w:r>
          </w:p>
        </w:tc>
        <w:tc>
          <w:tcPr>
            <w:tcW w:w="30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(4,422)</w:t>
            </w:r>
          </w:p>
        </w:tc>
      </w:tr>
      <w:tr>
        <w:trPr>
          <w:trHeight w:val="253"/>
        </w:trPr>
        <w:tc>
          <w:tcPr>
            <w:tcW w:w="8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2,423</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734</w:t>
            </w:r>
          </w:p>
        </w:tc>
      </w:tr>
      <w:tr>
        <w:trPr>
          <w:trHeight w:val="250"/>
        </w:trPr>
        <w:tc>
          <w:tcPr>
            <w:tcW w:w="8320" w:type="dxa"/>
            <w:vAlign w:val="bottom"/>
          </w:tcPr>
          <w:p>
            <w:pPr>
              <w:ind w:left="280"/>
              <w:spacing w:after="0"/>
              <w:rPr>
                <w:sz w:val="20"/>
                <w:szCs w:val="20"/>
                <w:color w:val="auto"/>
              </w:rPr>
            </w:pPr>
            <w:r>
              <w:rPr>
                <w:rFonts w:ascii="Arial" w:cs="Arial" w:eastAsia="Arial" w:hAnsi="Arial"/>
                <w:sz w:val="16"/>
                <w:szCs w:val="16"/>
                <w:color w:val="auto"/>
              </w:rPr>
              <w:t>Payments of COLI borrowings</w:t>
            </w:r>
          </w:p>
        </w:tc>
        <w:tc>
          <w:tcPr>
            <w:tcW w:w="220" w:type="dxa"/>
            <w:vAlign w:val="bottom"/>
          </w:tcPr>
          <w:p>
            <w:pPr>
              <w:spacing w:after="0"/>
              <w:rPr>
                <w:sz w:val="21"/>
                <w:szCs w:val="21"/>
                <w:color w:val="auto"/>
              </w:rPr>
            </w:pPr>
          </w:p>
        </w:tc>
        <w:tc>
          <w:tcPr>
            <w:tcW w:w="12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(1,371)</w:t>
            </w:r>
          </w:p>
        </w:tc>
      </w:tr>
      <w:tr>
        <w:trPr>
          <w:trHeight w:val="243"/>
        </w:trPr>
        <w:tc>
          <w:tcPr>
            <w:tcW w:w="8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(1,402)</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822</w:t>
            </w:r>
          </w:p>
        </w:tc>
      </w:tr>
      <w:tr>
        <w:trPr>
          <w:trHeight w:val="237"/>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(5,368)</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4,067</w:t>
            </w:r>
          </w:p>
        </w:tc>
      </w:tr>
      <w:tr>
        <w:trPr>
          <w:trHeight w:val="162"/>
        </w:trPr>
        <w:tc>
          <w:tcPr>
            <w:tcW w:w="8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3"/>
        </w:trPr>
        <w:tc>
          <w:tcPr>
            <w:tcW w:w="8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for purchase of common stock</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(26,340)</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(12,718)</w:t>
            </w:r>
          </w:p>
        </w:tc>
      </w:tr>
      <w:tr>
        <w:trPr>
          <w:trHeight w:val="233"/>
        </w:trPr>
        <w:tc>
          <w:tcPr>
            <w:tcW w:w="8320" w:type="dxa"/>
            <w:vAlign w:val="bottom"/>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2,080</w:t>
            </w:r>
          </w:p>
        </w:tc>
        <w:tc>
          <w:tcPr>
            <w:tcW w:w="300" w:type="dxa"/>
            <w:vAlign w:val="bottom"/>
          </w:tcPr>
          <w:p>
            <w:pPr>
              <w:spacing w:after="0"/>
              <w:rPr>
                <w:sz w:val="20"/>
                <w:szCs w:val="20"/>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75</w:t>
            </w:r>
          </w:p>
        </w:tc>
      </w:tr>
      <w:tr>
        <w:trPr>
          <w:trHeight w:val="246"/>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(68)</w:t>
            </w:r>
          </w:p>
        </w:tc>
      </w:tr>
      <w:tr>
        <w:trPr>
          <w:trHeight w:val="237"/>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(24,341)</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(12,711)</w:t>
            </w:r>
          </w:p>
        </w:tc>
      </w:tr>
      <w:tr>
        <w:trPr>
          <w:trHeight w:val="162"/>
        </w:trPr>
        <w:tc>
          <w:tcPr>
            <w:tcW w:w="8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33"/>
        </w:trPr>
        <w:tc>
          <w:tcPr>
            <w:tcW w:w="832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(6,473)</w:t>
            </w:r>
          </w:p>
        </w:tc>
        <w:tc>
          <w:tcPr>
            <w:tcW w:w="300" w:type="dxa"/>
            <w:vAlign w:val="bottom"/>
          </w:tcPr>
          <w:p>
            <w:pPr>
              <w:spacing w:after="0"/>
              <w:rPr>
                <w:sz w:val="20"/>
                <w:szCs w:val="20"/>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1,594</w:t>
            </w:r>
          </w:p>
        </w:tc>
      </w:tr>
      <w:tr>
        <w:trPr>
          <w:trHeight w:val="246"/>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64,277</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62,683</w:t>
            </w:r>
          </w:p>
        </w:tc>
      </w:tr>
      <w:tr>
        <w:trPr>
          <w:trHeight w:val="280"/>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57,804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64,277</w:t>
            </w:r>
          </w:p>
        </w:tc>
      </w:tr>
      <w:tr>
        <w:trPr>
          <w:trHeight w:val="146"/>
        </w:trPr>
        <w:tc>
          <w:tcPr>
            <w:tcW w:w="8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Supplemental cash flow disclosure:</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3"/>
        </w:trPr>
        <w:tc>
          <w:tcPr>
            <w:tcW w:w="8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paid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14,061</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11,500</w:t>
            </w:r>
          </w:p>
        </w:tc>
      </w:tr>
    </w:tbl>
    <w:p>
      <w:pPr>
        <w:spacing w:after="0" w:line="171"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The fiscal year ended August 30, 2014 and August 31, 2013 contained 52 weeks and 53 weeks, respectively.</w:t>
      </w:r>
    </w:p>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Deliveries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00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8"/>
                <w:szCs w:val="18"/>
                <w:b w:val="1"/>
                <w:bCs w:val="1"/>
                <w:color w:val="auto"/>
              </w:rPr>
              <w:t>Quarter Ended</w:t>
            </w:r>
          </w:p>
        </w:tc>
        <w:tc>
          <w:tcPr>
            <w:tcW w:w="1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1040" w:type="dxa"/>
            <w:vAlign w:val="bottom"/>
            <w:tcBorders>
              <w:bottom w:val="single" w:sz="8" w:color="auto"/>
            </w:tcBorders>
          </w:tcPr>
          <w:p>
            <w:pPr>
              <w:spacing w:after="0"/>
              <w:rPr>
                <w:sz w:val="21"/>
                <w:szCs w:val="21"/>
                <w:color w:val="auto"/>
              </w:rPr>
            </w:pPr>
          </w:p>
        </w:tc>
      </w:tr>
      <w:tr>
        <w:trPr>
          <w:trHeight w:val="198"/>
        </w:trPr>
        <w:tc>
          <w:tcPr>
            <w:tcW w:w="3000" w:type="dxa"/>
            <w:vAlign w:val="bottom"/>
          </w:tcPr>
          <w:p>
            <w:pPr>
              <w:spacing w:after="0"/>
              <w:rPr>
                <w:sz w:val="17"/>
                <w:szCs w:val="17"/>
                <w:color w:val="auto"/>
              </w:rPr>
            </w:pPr>
          </w:p>
        </w:tc>
        <w:tc>
          <w:tcPr>
            <w:tcW w:w="1380" w:type="dxa"/>
            <w:vAlign w:val="bottom"/>
          </w:tcPr>
          <w:p>
            <w:pPr>
              <w:jc w:val="center"/>
              <w:ind w:right="119"/>
              <w:spacing w:after="0"/>
              <w:rPr>
                <w:sz w:val="20"/>
                <w:szCs w:val="20"/>
                <w:color w:val="auto"/>
              </w:rPr>
            </w:pPr>
            <w:r>
              <w:rPr>
                <w:rFonts w:ascii="Arial" w:cs="Arial" w:eastAsia="Arial" w:hAnsi="Arial"/>
                <w:sz w:val="16"/>
                <w:szCs w:val="16"/>
                <w:b w:val="1"/>
                <w:bCs w:val="1"/>
                <w:color w:val="auto"/>
              </w:rPr>
              <w:t>August 30,</w:t>
            </w: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w:t>
            </w:r>
          </w:p>
        </w:tc>
        <w:tc>
          <w:tcPr>
            <w:tcW w:w="144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1760" w:type="dxa"/>
            <w:vAlign w:val="bottom"/>
          </w:tcPr>
          <w:p>
            <w:pPr>
              <w:spacing w:after="0"/>
              <w:rPr>
                <w:sz w:val="17"/>
                <w:szCs w:val="17"/>
                <w:color w:val="auto"/>
              </w:rPr>
            </w:pPr>
          </w:p>
        </w:tc>
        <w:tc>
          <w:tcPr>
            <w:tcW w:w="1040" w:type="dxa"/>
            <w:vAlign w:val="bottom"/>
          </w:tcPr>
          <w:p>
            <w:pPr>
              <w:jc w:val="center"/>
              <w:ind w:right="29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00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2014</w:t>
            </w:r>
          </w:p>
        </w:tc>
        <w:tc>
          <w:tcPr>
            <w:tcW w:w="142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380" w:type="dxa"/>
            <w:vAlign w:val="bottom"/>
          </w:tcPr>
          <w:p>
            <w:pPr>
              <w:jc w:val="center"/>
              <w:ind w:right="59"/>
              <w:spacing w:after="0"/>
              <w:rPr>
                <w:sz w:val="20"/>
                <w:szCs w:val="20"/>
                <w:color w:val="auto"/>
              </w:rPr>
            </w:pPr>
            <w:r>
              <w:rPr>
                <w:rFonts w:ascii="Arial" w:cs="Arial" w:eastAsia="Arial" w:hAnsi="Arial"/>
                <w:sz w:val="16"/>
                <w:szCs w:val="16"/>
                <w:b w:val="1"/>
                <w:bCs w:val="1"/>
                <w:color w:val="auto"/>
              </w:rPr>
              <w:t>2013</w:t>
            </w:r>
          </w:p>
        </w:tc>
        <w:tc>
          <w:tcPr>
            <w:tcW w:w="144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760" w:type="dxa"/>
            <w:vAlign w:val="bottom"/>
          </w:tcPr>
          <w:p>
            <w:pPr>
              <w:jc w:val="right"/>
              <w:ind w:right="799"/>
              <w:spacing w:after="0"/>
              <w:rPr>
                <w:sz w:val="20"/>
                <w:szCs w:val="20"/>
                <w:color w:val="auto"/>
              </w:rPr>
            </w:pPr>
            <w:r>
              <w:rPr>
                <w:rFonts w:ascii="Arial" w:cs="Arial" w:eastAsia="Arial" w:hAnsi="Arial"/>
                <w:sz w:val="16"/>
                <w:szCs w:val="16"/>
                <w:b w:val="1"/>
                <w:bCs w:val="1"/>
                <w:color w:val="auto"/>
              </w:rPr>
              <w:t>Units</w:t>
            </w:r>
          </w:p>
        </w:tc>
        <w:tc>
          <w:tcPr>
            <w:tcW w:w="1040" w:type="dxa"/>
            <w:vAlign w:val="bottom"/>
          </w:tcPr>
          <w:p>
            <w:pPr>
              <w:jc w:val="center"/>
              <w:ind w:right="3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0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971</w:t>
            </w:r>
          </w:p>
        </w:tc>
        <w:tc>
          <w:tcPr>
            <w:tcW w:w="13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41.1%</w:t>
            </w:r>
          </w:p>
        </w:tc>
        <w:tc>
          <w:tcPr>
            <w:tcW w:w="10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667</w:t>
            </w:r>
          </w:p>
        </w:tc>
        <w:tc>
          <w:tcPr>
            <w:tcW w:w="13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35.3%</w:t>
            </w:r>
          </w:p>
        </w:tc>
        <w:tc>
          <w:tcPr>
            <w:tcW w:w="120" w:type="dxa"/>
            <w:vAlign w:val="bottom"/>
            <w:tcBorders>
              <w:top w:val="single" w:sz="8" w:color="CCEEFF"/>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304</w:t>
            </w:r>
          </w:p>
        </w:tc>
        <w:tc>
          <w:tcPr>
            <w:tcW w:w="10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45.6 %</w:t>
            </w:r>
          </w:p>
        </w:tc>
      </w:tr>
      <w:tr>
        <w:trPr>
          <w:trHeight w:val="264"/>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277</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326</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(49)</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(15.0)%</w:t>
            </w:r>
          </w:p>
        </w:tc>
      </w:tr>
      <w:tr>
        <w:trPr>
          <w:trHeight w:val="257"/>
        </w:trPr>
        <w:tc>
          <w:tcPr>
            <w:tcW w:w="3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1,248</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993</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255</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25.7 %</w:t>
            </w:r>
          </w:p>
        </w:tc>
      </w:tr>
      <w:tr>
        <w:trPr>
          <w:trHeight w:val="260"/>
        </w:trPr>
        <w:tc>
          <w:tcPr>
            <w:tcW w:w="3000" w:type="dxa"/>
            <w:vAlign w:val="bottom"/>
          </w:tcPr>
          <w:p>
            <w:pPr>
              <w:ind w:left="40"/>
              <w:spacing w:after="0"/>
              <w:rPr>
                <w:sz w:val="20"/>
                <w:szCs w:val="20"/>
                <w:color w:val="auto"/>
              </w:rPr>
            </w:pPr>
            <w:r>
              <w:rPr>
                <w:rFonts w:ascii="Arial" w:cs="Arial" w:eastAsia="Arial" w:hAnsi="Arial"/>
                <w:sz w:val="16"/>
                <w:szCs w:val="16"/>
                <w:color w:val="auto"/>
              </w:rPr>
              <w:t>Class B</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227</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2"/>
                <w:szCs w:val="22"/>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109</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2"/>
                <w:szCs w:val="22"/>
                <w:color w:val="auto"/>
              </w:rPr>
            </w:pPr>
          </w:p>
        </w:tc>
        <w:tc>
          <w:tcPr>
            <w:tcW w:w="1760" w:type="dxa"/>
            <w:vAlign w:val="bottom"/>
          </w:tcPr>
          <w:p>
            <w:pPr>
              <w:jc w:val="right"/>
              <w:ind w:right="639"/>
              <w:spacing w:after="0"/>
              <w:rPr>
                <w:sz w:val="20"/>
                <w:szCs w:val="20"/>
                <w:color w:val="auto"/>
              </w:rPr>
            </w:pPr>
            <w:r>
              <w:rPr>
                <w:rFonts w:ascii="Arial" w:cs="Arial" w:eastAsia="Arial" w:hAnsi="Arial"/>
                <w:sz w:val="16"/>
                <w:szCs w:val="16"/>
                <w:color w:val="auto"/>
              </w:rPr>
              <w:t>118</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108.3 %</w:t>
            </w:r>
          </w:p>
        </w:tc>
      </w:tr>
      <w:tr>
        <w:trPr>
          <w:trHeight w:val="273"/>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889</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788</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41.7%</w:t>
            </w:r>
          </w:p>
        </w:tc>
        <w:tc>
          <w:tcPr>
            <w:tcW w:w="12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101</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12.8 %</w:t>
            </w:r>
          </w:p>
        </w:tc>
      </w:tr>
      <w:tr>
        <w:trPr>
          <w:trHeight w:val="280"/>
        </w:trPr>
        <w:tc>
          <w:tcPr>
            <w:tcW w:w="30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 homes</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2,364</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1,890</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474</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25.1 %</w:t>
            </w:r>
          </w:p>
        </w:tc>
      </w:tr>
      <w:tr>
        <w:trPr>
          <w:trHeight w:val="146"/>
        </w:trPr>
        <w:tc>
          <w:tcPr>
            <w:tcW w:w="30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60"/>
        </w:trPr>
        <w:tc>
          <w:tcPr>
            <w:tcW w:w="300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584</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22"/>
                <w:szCs w:val="22"/>
                <w:color w:val="auto"/>
              </w:rPr>
            </w:pPr>
          </w:p>
        </w:tc>
        <w:tc>
          <w:tcPr>
            <w:tcW w:w="1380" w:type="dxa"/>
            <w:vAlign w:val="bottom"/>
          </w:tcPr>
          <w:p>
            <w:pPr>
              <w:jc w:val="center"/>
              <w:ind w:right="59"/>
              <w:spacing w:after="0"/>
              <w:rPr>
                <w:sz w:val="20"/>
                <w:szCs w:val="20"/>
                <w:color w:val="auto"/>
              </w:rPr>
            </w:pPr>
            <w:r>
              <w:rPr>
                <w:rFonts w:ascii="Arial" w:cs="Arial" w:eastAsia="Arial" w:hAnsi="Arial"/>
                <w:sz w:val="16"/>
                <w:szCs w:val="16"/>
                <w:color w:val="auto"/>
              </w:rPr>
              <w:t>605</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22"/>
                <w:szCs w:val="22"/>
                <w:color w:val="auto"/>
              </w:rPr>
            </w:pPr>
          </w:p>
        </w:tc>
        <w:tc>
          <w:tcPr>
            <w:tcW w:w="1760" w:type="dxa"/>
            <w:vAlign w:val="bottom"/>
          </w:tcPr>
          <w:p>
            <w:pPr>
              <w:jc w:val="right"/>
              <w:ind w:right="579"/>
              <w:spacing w:after="0"/>
              <w:rPr>
                <w:sz w:val="20"/>
                <w:szCs w:val="20"/>
                <w:color w:val="auto"/>
              </w:rPr>
            </w:pPr>
            <w:r>
              <w:rPr>
                <w:rFonts w:ascii="Arial" w:cs="Arial" w:eastAsia="Arial" w:hAnsi="Arial"/>
                <w:sz w:val="16"/>
                <w:szCs w:val="16"/>
                <w:color w:val="auto"/>
              </w:rPr>
              <w:t>(21)</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(3.5)%</w:t>
            </w:r>
          </w:p>
        </w:tc>
      </w:tr>
      <w:tr>
        <w:trPr>
          <w:trHeight w:val="273"/>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139</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color w:val="auto"/>
              </w:rPr>
              <w:t>112</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27</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24.1 %</w:t>
            </w:r>
          </w:p>
        </w:tc>
      </w:tr>
      <w:tr>
        <w:trPr>
          <w:trHeight w:val="240"/>
        </w:trPr>
        <w:tc>
          <w:tcPr>
            <w:tcW w:w="3000" w:type="dxa"/>
            <w:vAlign w:val="bottom"/>
          </w:tcPr>
          <w:p>
            <w:pPr>
              <w:ind w:left="220"/>
              <w:spacing w:after="0"/>
              <w:rPr>
                <w:sz w:val="20"/>
                <w:szCs w:val="20"/>
                <w:color w:val="auto"/>
              </w:rPr>
            </w:pPr>
            <w:r>
              <w:rPr>
                <w:rFonts w:ascii="Arial" w:cs="Arial" w:eastAsia="Arial" w:hAnsi="Arial"/>
                <w:sz w:val="16"/>
                <w:szCs w:val="16"/>
                <w:color w:val="auto"/>
              </w:rPr>
              <w:t>Total towables</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723</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3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717</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7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6</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0.8 %</w:t>
            </w:r>
          </w:p>
        </w:tc>
      </w:tr>
      <w:tr>
        <w:trPr>
          <w:trHeight w:val="20"/>
        </w:trPr>
        <w:tc>
          <w:tcPr>
            <w:tcW w:w="30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16"/>
        </w:trPr>
        <w:tc>
          <w:tcPr>
            <w:tcW w:w="30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6"/>
                <w:szCs w:val="16"/>
                <w:b w:val="1"/>
                <w:bCs w:val="1"/>
                <w:color w:val="auto"/>
              </w:rPr>
              <w:t>Year</w:t>
            </w:r>
            <w:r>
              <w:rPr>
                <w:rFonts w:ascii="Arial" w:cs="Arial" w:eastAsia="Arial" w:hAnsi="Arial"/>
                <w:sz w:val="21"/>
                <w:szCs w:val="21"/>
                <w:b w:val="1"/>
                <w:bCs w:val="1"/>
                <w:color w:val="auto"/>
                <w:vertAlign w:val="superscript"/>
              </w:rPr>
              <w:t>(3)</w:t>
            </w:r>
            <w:r>
              <w:rPr>
                <w:rFonts w:ascii="Arial" w:cs="Arial" w:eastAsia="Arial" w:hAnsi="Arial"/>
                <w:sz w:val="16"/>
                <w:szCs w:val="16"/>
                <w:b w:val="1"/>
                <w:bCs w:val="1"/>
                <w:color w:val="auto"/>
              </w:rPr>
              <w:t xml:space="preserve"> Ended</w:t>
            </w: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191"/>
        </w:trPr>
        <w:tc>
          <w:tcPr>
            <w:tcW w:w="3000" w:type="dxa"/>
            <w:vAlign w:val="bottom"/>
          </w:tcPr>
          <w:p>
            <w:pPr>
              <w:spacing w:after="0"/>
              <w:rPr>
                <w:sz w:val="16"/>
                <w:szCs w:val="16"/>
                <w:color w:val="auto"/>
              </w:rPr>
            </w:pPr>
          </w:p>
        </w:tc>
        <w:tc>
          <w:tcPr>
            <w:tcW w:w="1380" w:type="dxa"/>
            <w:vAlign w:val="bottom"/>
          </w:tcPr>
          <w:p>
            <w:pPr>
              <w:jc w:val="center"/>
              <w:ind w:right="119"/>
              <w:spacing w:after="0"/>
              <w:rPr>
                <w:sz w:val="20"/>
                <w:szCs w:val="20"/>
                <w:color w:val="auto"/>
              </w:rPr>
            </w:pPr>
            <w:r>
              <w:rPr>
                <w:rFonts w:ascii="Arial" w:cs="Arial" w:eastAsia="Arial" w:hAnsi="Arial"/>
                <w:sz w:val="16"/>
                <w:szCs w:val="16"/>
                <w:b w:val="1"/>
                <w:bCs w:val="1"/>
                <w:color w:val="auto"/>
              </w:rPr>
              <w:t>August 30,</w:t>
            </w: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w:t>
            </w:r>
          </w:p>
        </w:tc>
        <w:tc>
          <w:tcPr>
            <w:tcW w:w="144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1760" w:type="dxa"/>
            <w:vAlign w:val="bottom"/>
          </w:tcPr>
          <w:p>
            <w:pPr>
              <w:spacing w:after="0"/>
              <w:rPr>
                <w:sz w:val="16"/>
                <w:szCs w:val="16"/>
                <w:color w:val="auto"/>
              </w:rPr>
            </w:pPr>
          </w:p>
        </w:tc>
        <w:tc>
          <w:tcPr>
            <w:tcW w:w="1040" w:type="dxa"/>
            <w:vAlign w:val="bottom"/>
          </w:tcPr>
          <w:p>
            <w:pPr>
              <w:jc w:val="center"/>
              <w:ind w:right="29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00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2014</w:t>
            </w:r>
          </w:p>
        </w:tc>
        <w:tc>
          <w:tcPr>
            <w:tcW w:w="142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380" w:type="dxa"/>
            <w:vAlign w:val="bottom"/>
          </w:tcPr>
          <w:p>
            <w:pPr>
              <w:jc w:val="center"/>
              <w:ind w:right="59"/>
              <w:spacing w:after="0"/>
              <w:rPr>
                <w:sz w:val="20"/>
                <w:szCs w:val="20"/>
                <w:color w:val="auto"/>
              </w:rPr>
            </w:pPr>
            <w:r>
              <w:rPr>
                <w:rFonts w:ascii="Arial" w:cs="Arial" w:eastAsia="Arial" w:hAnsi="Arial"/>
                <w:sz w:val="16"/>
                <w:szCs w:val="16"/>
                <w:b w:val="1"/>
                <w:bCs w:val="1"/>
                <w:color w:val="auto"/>
              </w:rPr>
              <w:t>2013</w:t>
            </w:r>
          </w:p>
        </w:tc>
        <w:tc>
          <w:tcPr>
            <w:tcW w:w="144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760" w:type="dxa"/>
            <w:vAlign w:val="bottom"/>
          </w:tcPr>
          <w:p>
            <w:pPr>
              <w:jc w:val="right"/>
              <w:ind w:right="799"/>
              <w:spacing w:after="0"/>
              <w:rPr>
                <w:sz w:val="20"/>
                <w:szCs w:val="20"/>
                <w:color w:val="auto"/>
              </w:rPr>
            </w:pPr>
            <w:r>
              <w:rPr>
                <w:rFonts w:ascii="Arial" w:cs="Arial" w:eastAsia="Arial" w:hAnsi="Arial"/>
                <w:sz w:val="16"/>
                <w:szCs w:val="16"/>
                <w:b w:val="1"/>
                <w:bCs w:val="1"/>
                <w:color w:val="auto"/>
              </w:rPr>
              <w:t>Units</w:t>
            </w:r>
          </w:p>
        </w:tc>
        <w:tc>
          <w:tcPr>
            <w:tcW w:w="1040" w:type="dxa"/>
            <w:vAlign w:val="bottom"/>
          </w:tcPr>
          <w:p>
            <w:pPr>
              <w:jc w:val="center"/>
              <w:ind w:right="3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0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3,056</w:t>
            </w:r>
          </w:p>
        </w:tc>
        <w:tc>
          <w:tcPr>
            <w:tcW w:w="13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34.9%</w:t>
            </w:r>
          </w:p>
        </w:tc>
        <w:tc>
          <w:tcPr>
            <w:tcW w:w="10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2,446</w:t>
            </w:r>
          </w:p>
        </w:tc>
        <w:tc>
          <w:tcPr>
            <w:tcW w:w="13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35.9%</w:t>
            </w:r>
          </w:p>
        </w:tc>
        <w:tc>
          <w:tcPr>
            <w:tcW w:w="120" w:type="dxa"/>
            <w:vAlign w:val="bottom"/>
            <w:tcBorders>
              <w:top w:val="single" w:sz="8" w:color="CCEEFF"/>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610</w:t>
            </w:r>
          </w:p>
        </w:tc>
        <w:tc>
          <w:tcPr>
            <w:tcW w:w="10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24.9 %</w:t>
            </w:r>
          </w:p>
        </w:tc>
      </w:tr>
      <w:tr>
        <w:trPr>
          <w:trHeight w:val="264"/>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1,410</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1,315</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95</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7.2 %</w:t>
            </w:r>
          </w:p>
        </w:tc>
      </w:tr>
      <w:tr>
        <w:trPr>
          <w:trHeight w:val="257"/>
        </w:trPr>
        <w:tc>
          <w:tcPr>
            <w:tcW w:w="3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4,466</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3,761</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705</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18.7 %</w:t>
            </w:r>
          </w:p>
        </w:tc>
      </w:tr>
      <w:tr>
        <w:trPr>
          <w:trHeight w:val="260"/>
        </w:trPr>
        <w:tc>
          <w:tcPr>
            <w:tcW w:w="3000" w:type="dxa"/>
            <w:vAlign w:val="bottom"/>
          </w:tcPr>
          <w:p>
            <w:pPr>
              <w:ind w:left="40"/>
              <w:spacing w:after="0"/>
              <w:rPr>
                <w:sz w:val="20"/>
                <w:szCs w:val="20"/>
                <w:color w:val="auto"/>
              </w:rPr>
            </w:pPr>
            <w:r>
              <w:rPr>
                <w:rFonts w:ascii="Arial" w:cs="Arial" w:eastAsia="Arial" w:hAnsi="Arial"/>
                <w:sz w:val="16"/>
                <w:szCs w:val="16"/>
                <w:color w:val="auto"/>
              </w:rPr>
              <w:t>Class B</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751</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372</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2"/>
                <w:szCs w:val="22"/>
                <w:color w:val="auto"/>
              </w:rPr>
            </w:pPr>
          </w:p>
        </w:tc>
        <w:tc>
          <w:tcPr>
            <w:tcW w:w="1760" w:type="dxa"/>
            <w:vAlign w:val="bottom"/>
          </w:tcPr>
          <w:p>
            <w:pPr>
              <w:jc w:val="right"/>
              <w:ind w:right="639"/>
              <w:spacing w:after="0"/>
              <w:rPr>
                <w:sz w:val="20"/>
                <w:szCs w:val="20"/>
                <w:color w:val="auto"/>
              </w:rPr>
            </w:pPr>
            <w:r>
              <w:rPr>
                <w:rFonts w:ascii="Arial" w:cs="Arial" w:eastAsia="Arial" w:hAnsi="Arial"/>
                <w:sz w:val="16"/>
                <w:szCs w:val="16"/>
                <w:color w:val="auto"/>
              </w:rPr>
              <w:t>379</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101.9 %</w:t>
            </w:r>
          </w:p>
        </w:tc>
      </w:tr>
      <w:tr>
        <w:trPr>
          <w:trHeight w:val="273"/>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3,538</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2,688</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850</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31.6 %</w:t>
            </w:r>
          </w:p>
        </w:tc>
      </w:tr>
      <w:tr>
        <w:trPr>
          <w:trHeight w:val="283"/>
        </w:trPr>
        <w:tc>
          <w:tcPr>
            <w:tcW w:w="30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 xml:space="preserve">Total motor homes </w:t>
            </w:r>
            <w:r>
              <w:rPr>
                <w:rFonts w:ascii="Arial" w:cs="Arial" w:eastAsia="Arial" w:hAnsi="Arial"/>
                <w:sz w:val="21"/>
                <w:szCs w:val="21"/>
                <w:color w:val="auto"/>
                <w:vertAlign w:val="superscript"/>
              </w:rPr>
              <w:t>(2)</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8,755</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6,821</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1,934</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28.4 %</w:t>
            </w:r>
          </w:p>
        </w:tc>
      </w:tr>
      <w:tr>
        <w:trPr>
          <w:trHeight w:val="143"/>
        </w:trPr>
        <w:tc>
          <w:tcPr>
            <w:tcW w:w="30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60"/>
        </w:trPr>
        <w:tc>
          <w:tcPr>
            <w:tcW w:w="300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2,052</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2"/>
                <w:szCs w:val="22"/>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2,038</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22"/>
                <w:szCs w:val="22"/>
                <w:color w:val="auto"/>
              </w:rPr>
            </w:pPr>
          </w:p>
        </w:tc>
        <w:tc>
          <w:tcPr>
            <w:tcW w:w="1760" w:type="dxa"/>
            <w:vAlign w:val="bottom"/>
          </w:tcPr>
          <w:p>
            <w:pPr>
              <w:jc w:val="right"/>
              <w:ind w:right="639"/>
              <w:spacing w:after="0"/>
              <w:rPr>
                <w:sz w:val="20"/>
                <w:szCs w:val="20"/>
                <w:color w:val="auto"/>
              </w:rPr>
            </w:pPr>
            <w:r>
              <w:rPr>
                <w:rFonts w:ascii="Arial" w:cs="Arial" w:eastAsia="Arial" w:hAnsi="Arial"/>
                <w:sz w:val="16"/>
                <w:szCs w:val="16"/>
                <w:color w:val="auto"/>
              </w:rPr>
              <w:t>14</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0.7 %</w:t>
            </w:r>
          </w:p>
        </w:tc>
      </w:tr>
      <w:tr>
        <w:trPr>
          <w:trHeight w:val="273"/>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457</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497</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(40)</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w:t>
            </w:r>
          </w:p>
        </w:tc>
      </w:tr>
      <w:tr>
        <w:trPr>
          <w:trHeight w:val="237"/>
        </w:trPr>
        <w:tc>
          <w:tcPr>
            <w:tcW w:w="3000" w:type="dxa"/>
            <w:vAlign w:val="bottom"/>
          </w:tcPr>
          <w:p>
            <w:pPr>
              <w:ind w:left="280"/>
              <w:spacing w:after="0"/>
              <w:rPr>
                <w:sz w:val="20"/>
                <w:szCs w:val="20"/>
                <w:color w:val="auto"/>
              </w:rPr>
            </w:pPr>
            <w:r>
              <w:rPr>
                <w:rFonts w:ascii="Arial" w:cs="Arial" w:eastAsia="Arial" w:hAnsi="Arial"/>
                <w:sz w:val="16"/>
                <w:szCs w:val="16"/>
                <w:color w:val="auto"/>
              </w:rPr>
              <w:t>Total towables</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2,509</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2,535</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760" w:type="dxa"/>
            <w:vAlign w:val="bottom"/>
          </w:tcPr>
          <w:p>
            <w:pPr>
              <w:jc w:val="right"/>
              <w:ind w:right="579"/>
              <w:spacing w:after="0"/>
              <w:rPr>
                <w:sz w:val="20"/>
                <w:szCs w:val="20"/>
                <w:color w:val="auto"/>
              </w:rPr>
            </w:pPr>
            <w:r>
              <w:rPr>
                <w:rFonts w:ascii="Arial" w:cs="Arial" w:eastAsia="Arial" w:hAnsi="Arial"/>
                <w:sz w:val="16"/>
                <w:szCs w:val="16"/>
                <w:color w:val="auto"/>
              </w:rPr>
              <w:t>(26)</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3810</wp:posOffset>
            </wp:positionV>
            <wp:extent cx="535114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51145" cy="26035"/>
                    </a:xfrm>
                    <a:prstGeom prst="rect">
                      <a:avLst/>
                    </a:prstGeom>
                    <a:noFill/>
                  </pic:spPr>
                </pic:pic>
              </a:graphicData>
            </a:graphic>
          </wp:anchor>
        </w:drawing>
      </w:r>
    </w:p>
    <w:p>
      <w:pPr>
        <w:spacing w:after="0" w:line="9"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ind w:left="260" w:right="320" w:hanging="252"/>
        <w:spacing w:after="0" w:line="218" w:lineRule="auto"/>
        <w:tabs>
          <w:tab w:leader="none" w:pos="152" w:val="left"/>
        </w:tabs>
        <w:numPr>
          <w:ilvl w:val="0"/>
          <w:numId w:val="5"/>
        </w:numPr>
        <w:rPr>
          <w:rFonts w:ascii="Arial" w:cs="Arial" w:eastAsia="Arial" w:hAnsi="Arial"/>
          <w:sz w:val="17"/>
          <w:szCs w:val="17"/>
          <w:color w:val="auto"/>
          <w:vertAlign w:val="superscript"/>
        </w:rPr>
      </w:pPr>
      <w:r>
        <w:rPr>
          <w:rFonts w:ascii="Arial" w:cs="Arial" w:eastAsia="Arial" w:hAnsi="Arial"/>
          <w:sz w:val="14"/>
          <w:szCs w:val="14"/>
          <w:color w:val="auto"/>
        </w:rPr>
        <w:t>An additional 343 motorhomes were delivered in Fiscal 2014 but not included in wholesale deliveries as presented in the tables above as the units are subject to repurchase option.</w:t>
      </w:r>
    </w:p>
    <w:p>
      <w:pPr>
        <w:ind w:left="160" w:hanging="152"/>
        <w:spacing w:after="0" w:line="199" w:lineRule="auto"/>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30, 2014 and August 31, 2013 contained 52 and 53 weeks, respectively.</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Backlog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As Of</w:t>
            </w:r>
          </w:p>
        </w:tc>
        <w:tc>
          <w:tcPr>
            <w:tcW w:w="1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spacing w:after="0"/>
              <w:rPr>
                <w:sz w:val="19"/>
                <w:szCs w:val="19"/>
                <w:color w:val="auto"/>
              </w:rPr>
            </w:pPr>
          </w:p>
        </w:tc>
      </w:tr>
      <w:tr>
        <w:trPr>
          <w:trHeight w:val="264"/>
        </w:trPr>
        <w:tc>
          <w:tcPr>
            <w:tcW w:w="3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80" w:type="dxa"/>
            <w:vAlign w:val="bottom"/>
            <w:gridSpan w:val="2"/>
          </w:tcPr>
          <w:p>
            <w:pPr>
              <w:jc w:val="right"/>
              <w:ind w:right="402"/>
              <w:spacing w:after="0"/>
              <w:rPr>
                <w:sz w:val="20"/>
                <w:szCs w:val="20"/>
                <w:color w:val="auto"/>
              </w:rPr>
            </w:pPr>
            <w:r>
              <w:rPr>
                <w:rFonts w:ascii="Arial" w:cs="Arial" w:eastAsia="Arial" w:hAnsi="Arial"/>
                <w:sz w:val="16"/>
                <w:szCs w:val="16"/>
                <w:b w:val="1"/>
                <w:bCs w:val="1"/>
                <w:color w:val="auto"/>
              </w:rPr>
              <w:t>August 30, 2014</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80" w:type="dxa"/>
            <w:vAlign w:val="bottom"/>
            <w:gridSpan w:val="3"/>
          </w:tcPr>
          <w:p>
            <w:pPr>
              <w:ind w:left="440"/>
              <w:spacing w:after="0"/>
              <w:rPr>
                <w:sz w:val="20"/>
                <w:szCs w:val="20"/>
                <w:color w:val="auto"/>
              </w:rPr>
            </w:pPr>
            <w:r>
              <w:rPr>
                <w:rFonts w:ascii="Arial" w:cs="Arial" w:eastAsia="Arial" w:hAnsi="Arial"/>
                <w:sz w:val="16"/>
                <w:szCs w:val="16"/>
                <w:b w:val="1"/>
                <w:bCs w:val="1"/>
                <w:color w:val="auto"/>
              </w:rPr>
              <w:t>August 31, 2013</w:t>
            </w: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70"/>
        </w:trPr>
        <w:tc>
          <w:tcPr>
            <w:tcW w:w="3060" w:type="dxa"/>
            <w:vAlign w:val="bottom"/>
            <w:tcBorders>
              <w:bottom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Units</w:t>
            </w:r>
          </w:p>
        </w:tc>
        <w:tc>
          <w:tcPr>
            <w:tcW w:w="1020" w:type="dxa"/>
            <w:vAlign w:val="bottom"/>
            <w:tcBorders>
              <w:top w:val="single" w:sz="8" w:color="auto"/>
              <w:bottom w:val="single" w:sz="8" w:color="auto"/>
            </w:tcBorders>
          </w:tcPr>
          <w:p>
            <w:pPr>
              <w:jc w:val="right"/>
              <w:ind w:right="282"/>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20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Units</w:t>
            </w:r>
          </w:p>
        </w:tc>
        <w:tc>
          <w:tcPr>
            <w:tcW w:w="1240" w:type="dxa"/>
            <w:vAlign w:val="bottom"/>
            <w:tcBorders>
              <w:top w:val="single" w:sz="8" w:color="auto"/>
              <w:bottom w:val="single" w:sz="8" w:color="auto"/>
            </w:tcBorders>
          </w:tcPr>
          <w:p>
            <w:pPr>
              <w:jc w:val="right"/>
              <w:ind w:right="502"/>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Units</w:t>
            </w: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338</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1,405</w:t>
            </w:r>
          </w:p>
        </w:tc>
        <w:tc>
          <w:tcPr>
            <w:tcW w:w="124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(1,067)</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(75.9)%</w:t>
            </w:r>
          </w:p>
        </w:tc>
      </w:tr>
      <w:tr>
        <w:trPr>
          <w:trHeight w:val="264"/>
        </w:trPr>
        <w:tc>
          <w:tcPr>
            <w:tcW w:w="3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302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607</w:t>
            </w:r>
          </w:p>
        </w:tc>
        <w:tc>
          <w:tcPr>
            <w:tcW w:w="12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(305)</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(50.2)%</w:t>
            </w:r>
          </w:p>
        </w:tc>
      </w:tr>
      <w:tr>
        <w:trPr>
          <w:trHeight w:val="257"/>
        </w:trPr>
        <w:tc>
          <w:tcPr>
            <w:tcW w:w="3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640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2,012</w:t>
            </w:r>
          </w:p>
        </w:tc>
        <w:tc>
          <w:tcPr>
            <w:tcW w:w="124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(1,372)</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(68.2)%</w:t>
            </w:r>
          </w:p>
        </w:tc>
      </w:tr>
      <w:tr>
        <w:trPr>
          <w:trHeight w:val="260"/>
        </w:trPr>
        <w:tc>
          <w:tcPr>
            <w:tcW w:w="3060" w:type="dxa"/>
            <w:vAlign w:val="bottom"/>
          </w:tcPr>
          <w:p>
            <w:pPr>
              <w:ind w:left="40"/>
              <w:spacing w:after="0"/>
              <w:rPr>
                <w:sz w:val="20"/>
                <w:szCs w:val="20"/>
                <w:color w:val="auto"/>
              </w:rPr>
            </w:pPr>
            <w:r>
              <w:rPr>
                <w:rFonts w:ascii="Arial" w:cs="Arial" w:eastAsia="Arial" w:hAnsi="Arial"/>
                <w:sz w:val="16"/>
                <w:szCs w:val="16"/>
                <w:color w:val="auto"/>
              </w:rPr>
              <w:t>Class B</w:t>
            </w:r>
          </w:p>
        </w:tc>
        <w:tc>
          <w:tcPr>
            <w:tcW w:w="260" w:type="dxa"/>
            <w:vAlign w:val="bottom"/>
          </w:tcPr>
          <w:p>
            <w:pPr>
              <w:spacing w:after="0"/>
              <w:rPr>
                <w:sz w:val="22"/>
                <w:szCs w:val="22"/>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323</w:t>
            </w:r>
          </w:p>
        </w:tc>
        <w:tc>
          <w:tcPr>
            <w:tcW w:w="1020" w:type="dxa"/>
            <w:vAlign w:val="bottom"/>
          </w:tcPr>
          <w:p>
            <w:pPr>
              <w:jc w:val="right"/>
              <w:spacing w:after="0"/>
              <w:rPr>
                <w:sz w:val="20"/>
                <w:szCs w:val="20"/>
                <w:color w:val="auto"/>
              </w:rPr>
            </w:pPr>
            <w:r>
              <w:rPr>
                <w:rFonts w:ascii="Arial" w:cs="Arial" w:eastAsia="Arial" w:hAnsi="Arial"/>
                <w:sz w:val="16"/>
                <w:szCs w:val="16"/>
                <w:color w:val="auto"/>
              </w:rPr>
              <w:t>17.0%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300</w:t>
            </w: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ind w:right="579"/>
              <w:spacing w:after="0"/>
              <w:rPr>
                <w:sz w:val="20"/>
                <w:szCs w:val="20"/>
                <w:color w:val="auto"/>
              </w:rPr>
            </w:pPr>
            <w:r>
              <w:rPr>
                <w:rFonts w:ascii="Arial" w:cs="Arial" w:eastAsia="Arial" w:hAnsi="Arial"/>
                <w:sz w:val="16"/>
                <w:szCs w:val="16"/>
                <w:color w:val="auto"/>
              </w:rPr>
              <w:t>23</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7.7 %</w:t>
            </w:r>
          </w:p>
        </w:tc>
      </w:tr>
      <w:tr>
        <w:trPr>
          <w:trHeight w:val="27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936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2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1,068</w:t>
            </w:r>
          </w:p>
        </w:tc>
        <w:tc>
          <w:tcPr>
            <w:tcW w:w="12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(132)</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(12.4)%</w:t>
            </w:r>
          </w:p>
        </w:tc>
      </w:tr>
      <w:tr>
        <w:trPr>
          <w:trHeight w:val="283"/>
        </w:trPr>
        <w:tc>
          <w:tcPr>
            <w:tcW w:w="306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Total motor home backlog</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1,899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3,380</w:t>
            </w:r>
          </w:p>
        </w:tc>
        <w:tc>
          <w:tcPr>
            <w:tcW w:w="12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(1,481)</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(43.8)%</w:t>
            </w:r>
          </w:p>
        </w:tc>
      </w:tr>
      <w:tr>
        <w:trPr>
          <w:trHeight w:val="170"/>
        </w:trPr>
        <w:tc>
          <w:tcPr>
            <w:tcW w:w="3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60"/>
        </w:trPr>
        <w:tc>
          <w:tcPr>
            <w:tcW w:w="306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260" w:type="dxa"/>
            <w:vAlign w:val="bottom"/>
          </w:tcPr>
          <w:p>
            <w:pPr>
              <w:spacing w:after="0"/>
              <w:rPr>
                <w:sz w:val="22"/>
                <w:szCs w:val="22"/>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134</w:t>
            </w:r>
          </w:p>
        </w:tc>
        <w:tc>
          <w:tcPr>
            <w:tcW w:w="1020" w:type="dxa"/>
            <w:vAlign w:val="bottom"/>
          </w:tcPr>
          <w:p>
            <w:pPr>
              <w:jc w:val="right"/>
              <w:spacing w:after="0"/>
              <w:rPr>
                <w:sz w:val="20"/>
                <w:szCs w:val="20"/>
                <w:color w:val="auto"/>
              </w:rPr>
            </w:pPr>
            <w:r>
              <w:rPr>
                <w:rFonts w:ascii="Arial" w:cs="Arial" w:eastAsia="Arial" w:hAnsi="Arial"/>
                <w:sz w:val="16"/>
                <w:szCs w:val="16"/>
                <w:color w:val="auto"/>
              </w:rPr>
              <w:t>82.2%</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180</w:t>
            </w: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jc w:val="right"/>
              <w:ind w:right="539"/>
              <w:spacing w:after="0"/>
              <w:rPr>
                <w:sz w:val="20"/>
                <w:szCs w:val="20"/>
                <w:color w:val="auto"/>
              </w:rPr>
            </w:pPr>
            <w:r>
              <w:rPr>
                <w:rFonts w:ascii="Arial" w:cs="Arial" w:eastAsia="Arial" w:hAnsi="Arial"/>
                <w:sz w:val="16"/>
                <w:szCs w:val="16"/>
                <w:color w:val="auto"/>
              </w:rPr>
              <w:t>(46)</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(25.6)%</w:t>
            </w:r>
          </w:p>
        </w:tc>
      </w:tr>
      <w:tr>
        <w:trPr>
          <w:trHeight w:val="27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2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41</w:t>
            </w:r>
          </w:p>
        </w:tc>
        <w:tc>
          <w:tcPr>
            <w:tcW w:w="12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(12)</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(29.3)%</w:t>
            </w:r>
          </w:p>
        </w:tc>
      </w:tr>
      <w:tr>
        <w:trPr>
          <w:trHeight w:val="283"/>
        </w:trPr>
        <w:tc>
          <w:tcPr>
            <w:tcW w:w="3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 xml:space="preserve">Total towable backlog </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163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221</w:t>
            </w:r>
          </w:p>
        </w:tc>
        <w:tc>
          <w:tcPr>
            <w:tcW w:w="12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(58)</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(26.2)%</w:t>
            </w:r>
          </w:p>
        </w:tc>
      </w:tr>
      <w:tr>
        <w:trPr>
          <w:trHeight w:val="143"/>
        </w:trPr>
        <w:tc>
          <w:tcPr>
            <w:tcW w:w="3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260"/>
        </w:trPr>
        <w:tc>
          <w:tcPr>
            <w:tcW w:w="4480" w:type="dxa"/>
            <w:vAlign w:val="bottom"/>
            <w:gridSpan w:val="3"/>
          </w:tcPr>
          <w:p>
            <w:pPr>
              <w:ind w:left="40"/>
              <w:spacing w:after="0"/>
              <w:rPr>
                <w:sz w:val="20"/>
                <w:szCs w:val="20"/>
                <w:color w:val="auto"/>
              </w:rPr>
            </w:pPr>
            <w:r>
              <w:rPr>
                <w:rFonts w:ascii="Arial" w:cs="Arial" w:eastAsia="Arial" w:hAnsi="Arial"/>
                <w:sz w:val="16"/>
                <w:szCs w:val="16"/>
                <w:color w:val="auto"/>
              </w:rPr>
              <w:t>Total approximate backlog revenue dollars (in 000's):</w:t>
            </w: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172,575</w:t>
            </w:r>
          </w:p>
        </w:tc>
        <w:tc>
          <w:tcPr>
            <w:tcW w:w="102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346,665</w:t>
            </w: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(174,090)</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(50.2)%</w:t>
            </w:r>
          </w:p>
        </w:tc>
      </w:tr>
      <w:tr>
        <w:trPr>
          <w:trHeight w:val="251"/>
        </w:trPr>
        <w:tc>
          <w:tcPr>
            <w:tcW w:w="3060" w:type="dxa"/>
            <w:vAlign w:val="bottom"/>
          </w:tcPr>
          <w:p>
            <w:pPr>
              <w:ind w:left="40"/>
              <w:spacing w:after="0"/>
              <w:rPr>
                <w:sz w:val="20"/>
                <w:szCs w:val="20"/>
                <w:color w:val="auto"/>
              </w:rPr>
            </w:pPr>
            <w:r>
              <w:rPr>
                <w:rFonts w:ascii="Arial" w:cs="Arial" w:eastAsia="Arial" w:hAnsi="Arial"/>
                <w:sz w:val="16"/>
                <w:szCs w:val="16"/>
                <w:color w:val="auto"/>
              </w:rPr>
              <w:t>Towable</w:t>
            </w:r>
          </w:p>
        </w:tc>
        <w:tc>
          <w:tcPr>
            <w:tcW w:w="260" w:type="dxa"/>
            <w:vAlign w:val="bottom"/>
          </w:tcPr>
          <w:p>
            <w:pPr>
              <w:spacing w:after="0"/>
              <w:rPr>
                <w:sz w:val="21"/>
                <w:szCs w:val="21"/>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3,750</w:t>
            </w: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4,744</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ind w:right="539"/>
              <w:spacing w:after="0"/>
              <w:rPr>
                <w:sz w:val="20"/>
                <w:szCs w:val="20"/>
                <w:color w:val="auto"/>
              </w:rPr>
            </w:pPr>
            <w:r>
              <w:rPr>
                <w:rFonts w:ascii="Arial" w:cs="Arial" w:eastAsia="Arial" w:hAnsi="Arial"/>
                <w:sz w:val="16"/>
                <w:szCs w:val="16"/>
                <w:color w:val="auto"/>
              </w:rPr>
              <w:t>(994)</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(21.0)%</w:t>
            </w:r>
          </w:p>
        </w:tc>
      </w:tr>
    </w:tbl>
    <w:p>
      <w:pPr>
        <w:ind w:left="340" w:hanging="332"/>
        <w:spacing w:after="0" w:line="216"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ind w:left="340" w:right="640" w:hanging="332"/>
        <w:spacing w:after="0" w:line="207"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Our backlog includes all accepted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Dealer Inventory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40" w:type="dxa"/>
            <w:vAlign w:val="bottom"/>
          </w:tcPr>
          <w:p>
            <w:pPr>
              <w:spacing w:after="0"/>
              <w:rPr>
                <w:sz w:val="19"/>
                <w:szCs w:val="19"/>
                <w:color w:val="auto"/>
              </w:rPr>
            </w:pPr>
          </w:p>
        </w:tc>
        <w:tc>
          <w:tcPr>
            <w:tcW w:w="304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6"/>
                <w:szCs w:val="16"/>
                <w:b w:val="1"/>
                <w:bCs w:val="1"/>
                <w:color w:val="auto"/>
              </w:rPr>
              <w:t>Units As Of</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98"/>
        </w:trPr>
        <w:tc>
          <w:tcPr>
            <w:tcW w:w="5940" w:type="dxa"/>
            <w:vAlign w:val="bottom"/>
          </w:tcPr>
          <w:p>
            <w:pPr>
              <w:spacing w:after="0"/>
              <w:rPr>
                <w:sz w:val="17"/>
                <w:szCs w:val="17"/>
                <w:color w:val="auto"/>
              </w:rPr>
            </w:pPr>
          </w:p>
        </w:tc>
        <w:tc>
          <w:tcPr>
            <w:tcW w:w="1540" w:type="dxa"/>
            <w:vAlign w:val="bottom"/>
            <w:gridSpan w:val="2"/>
          </w:tcPr>
          <w:p>
            <w:pPr>
              <w:ind w:left="280"/>
              <w:spacing w:after="0"/>
              <w:rPr>
                <w:sz w:val="20"/>
                <w:szCs w:val="20"/>
                <w:color w:val="auto"/>
              </w:rPr>
            </w:pPr>
            <w:r>
              <w:rPr>
                <w:rFonts w:ascii="Arial" w:cs="Arial" w:eastAsia="Arial" w:hAnsi="Arial"/>
                <w:sz w:val="16"/>
                <w:szCs w:val="16"/>
                <w:b w:val="1"/>
                <w:bCs w:val="1"/>
                <w:color w:val="auto"/>
              </w:rPr>
              <w:t>August 30,</w:t>
            </w:r>
          </w:p>
        </w:tc>
        <w:tc>
          <w:tcPr>
            <w:tcW w:w="1600" w:type="dxa"/>
            <w:vAlign w:val="bottom"/>
            <w:gridSpan w:val="2"/>
          </w:tcPr>
          <w:p>
            <w:pPr>
              <w:ind w:left="320"/>
              <w:spacing w:after="0"/>
              <w:rPr>
                <w:sz w:val="20"/>
                <w:szCs w:val="20"/>
                <w:color w:val="auto"/>
              </w:rPr>
            </w:pPr>
            <w:r>
              <w:rPr>
                <w:rFonts w:ascii="Arial" w:cs="Arial" w:eastAsia="Arial" w:hAnsi="Arial"/>
                <w:sz w:val="16"/>
                <w:szCs w:val="16"/>
                <w:b w:val="1"/>
                <w:bCs w:val="1"/>
                <w:color w:val="auto"/>
              </w:rPr>
              <w:t>August 31,</w:t>
            </w:r>
          </w:p>
        </w:tc>
        <w:tc>
          <w:tcPr>
            <w:tcW w:w="16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8"/>
        </w:trPr>
        <w:tc>
          <w:tcPr>
            <w:tcW w:w="59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19"/>
                <w:szCs w:val="19"/>
                <w:color w:val="auto"/>
              </w:rPr>
            </w:pPr>
          </w:p>
        </w:tc>
      </w:tr>
      <w:tr>
        <w:trPr>
          <w:trHeight w:val="257"/>
        </w:trPr>
        <w:tc>
          <w:tcPr>
            <w:tcW w:w="5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3,979</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2,654</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1,325</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49.9%</w:t>
            </w:r>
          </w:p>
        </w:tc>
      </w:tr>
      <w:tr>
        <w:trPr>
          <w:trHeight w:val="251"/>
        </w:trPr>
        <w:tc>
          <w:tcPr>
            <w:tcW w:w="5940" w:type="dxa"/>
            <w:vAlign w:val="bottom"/>
          </w:tcPr>
          <w:p>
            <w:pPr>
              <w:ind w:left="40"/>
              <w:spacing w:after="0"/>
              <w:rPr>
                <w:sz w:val="20"/>
                <w:szCs w:val="20"/>
                <w:color w:val="auto"/>
              </w:rPr>
            </w:pPr>
            <w:r>
              <w:rPr>
                <w:rFonts w:ascii="Arial" w:cs="Arial" w:eastAsia="Arial" w:hAnsi="Arial"/>
                <w:sz w:val="16"/>
                <w:szCs w:val="16"/>
                <w:color w:val="auto"/>
              </w:rPr>
              <w:t>Towables</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1,611</w:t>
            </w:r>
          </w:p>
        </w:tc>
        <w:tc>
          <w:tcPr>
            <w:tcW w:w="100" w:type="dxa"/>
            <w:vAlign w:val="bottom"/>
          </w:tcPr>
          <w:p>
            <w:pPr>
              <w:spacing w:after="0"/>
              <w:rPr>
                <w:sz w:val="21"/>
                <w:szCs w:val="21"/>
                <w:color w:val="auto"/>
              </w:rPr>
            </w:pPr>
          </w:p>
        </w:tc>
        <w:tc>
          <w:tcPr>
            <w:tcW w:w="1600" w:type="dxa"/>
            <w:vAlign w:val="bottom"/>
          </w:tcPr>
          <w:p>
            <w:pPr>
              <w:jc w:val="right"/>
              <w:ind w:right="859"/>
              <w:spacing w:after="0"/>
              <w:rPr>
                <w:sz w:val="20"/>
                <w:szCs w:val="20"/>
                <w:color w:val="auto"/>
              </w:rPr>
            </w:pPr>
            <w:r>
              <w:rPr>
                <w:rFonts w:ascii="Arial" w:cs="Arial" w:eastAsia="Arial" w:hAnsi="Arial"/>
                <w:sz w:val="16"/>
                <w:szCs w:val="16"/>
                <w:color w:val="auto"/>
              </w:rPr>
              <w:t>110</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6.8%</w:t>
            </w:r>
          </w:p>
        </w:tc>
      </w:tr>
    </w:tbl>
    <w:p>
      <w:pPr>
        <w:spacing w:after="0" w:line="1" w:lineRule="exact"/>
        <w:rPr>
          <w:sz w:val="20"/>
          <w:szCs w:val="20"/>
          <w:color w:val="auto"/>
        </w:rPr>
      </w:pPr>
    </w:p>
    <w:sectPr>
      <w:pgSz w:w="11900" w:h="16838" w:orient="portrait"/>
      <w:cols w:equalWidth="0" w:num="1">
        <w:col w:w="11420"/>
      </w:cols>
      <w:pgMar w:left="240" w:top="576" w:right="239" w:bottom="5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2019-12-05T16:34:38Z</dcterms:created>
  <dcterms:modified xsi:type="dcterms:W3CDTF">2019-12-05T16:34:38Z</dcterms:modified>
</cp:coreProperties>
</file>