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67"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FORM 10-Q/A</w:t>
      </w:r>
    </w:p>
    <w:p>
      <w:pPr>
        <w:spacing w:after="0" w:line="14"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(Amendment No. 1)</w:t>
      </w:r>
    </w:p>
    <w:p>
      <w:pPr>
        <w:spacing w:after="0" w:line="28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2" w:lineRule="exact"/>
        <w:rPr>
          <w:sz w:val="24"/>
          <w:szCs w:val="24"/>
          <w:color w:val="auto"/>
        </w:rPr>
      </w:pPr>
    </w:p>
    <w:p>
      <w:pPr>
        <w:ind w:left="200" w:hanging="192"/>
        <w:spacing w:after="0"/>
        <w:tabs>
          <w:tab w:leader="none" w:pos="200" w:val="left"/>
        </w:tabs>
        <w:numPr>
          <w:ilvl w:val="0"/>
          <w:numId w:val="1"/>
        </w:numPr>
        <w:rPr>
          <w:rFonts w:ascii="Arial" w:cs="Arial" w:eastAsia="Arial" w:hAnsi="Arial"/>
          <w:sz w:val="22"/>
          <w:szCs w:val="22"/>
          <w:color w:val="auto"/>
        </w:rPr>
      </w:pPr>
      <w:r>
        <w:rPr>
          <w:rFonts w:ascii="Arial" w:cs="Arial" w:eastAsia="Arial" w:hAnsi="Arial"/>
          <w:sz w:val="18"/>
          <w:szCs w:val="18"/>
          <w:color w:val="auto"/>
        </w:rPr>
        <w:t>QUARTERLY REPORT PURSUANT TO SECTION 13 OR 15(d) OF THE SECURITIES EXCHANGE ACT OF 1934</w:t>
      </w:r>
    </w:p>
    <w:p>
      <w:pPr>
        <w:spacing w:after="0" w:line="210" w:lineRule="exact"/>
        <w:rPr>
          <w:sz w:val="24"/>
          <w:szCs w:val="24"/>
          <w:color w:val="auto"/>
        </w:rPr>
      </w:pPr>
    </w:p>
    <w:p>
      <w:pPr>
        <w:spacing w:after="0"/>
        <w:tabs>
          <w:tab w:leader="none" w:pos="3080" w:val="left"/>
        </w:tabs>
        <w:rPr>
          <w:sz w:val="20"/>
          <w:szCs w:val="20"/>
          <w:color w:val="auto"/>
        </w:rPr>
      </w:pPr>
      <w:r>
        <w:rPr>
          <w:rFonts w:ascii="Arial" w:cs="Arial" w:eastAsia="Arial" w:hAnsi="Arial"/>
          <w:sz w:val="18"/>
          <w:szCs w:val="18"/>
          <w:color w:val="auto"/>
        </w:rPr>
        <w:t>For the quarterly period ended</w:t>
      </w:r>
      <w:r>
        <w:rPr>
          <w:sz w:val="20"/>
          <w:szCs w:val="20"/>
          <w:color w:val="auto"/>
        </w:rPr>
        <w:tab/>
      </w:r>
      <w:r>
        <w:rPr>
          <w:rFonts w:ascii="Arial" w:cs="Arial" w:eastAsia="Arial" w:hAnsi="Arial"/>
          <w:sz w:val="15"/>
          <w:szCs w:val="15"/>
          <w:color w:val="auto"/>
        </w:rPr>
        <w:t>February 26,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1388745</wp:posOffset>
            </wp:positionH>
            <wp:positionV relativeFrom="paragraph">
              <wp:posOffset>-13970</wp:posOffset>
            </wp:positionV>
            <wp:extent cx="19913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91360" cy="8890"/>
                    </a:xfrm>
                    <a:prstGeom prst="rect">
                      <a:avLst/>
                    </a:prstGeom>
                    <a:noFill/>
                  </pic:spPr>
                </pic:pic>
              </a:graphicData>
            </a:graphic>
          </wp:anchor>
        </w:drawing>
      </w:r>
    </w:p>
    <w:p>
      <w:pPr>
        <w:spacing w:after="0" w:line="205"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right="2540" w:firstLine="8"/>
        <w:spacing w:after="0" w:line="451" w:lineRule="auto"/>
        <w:tabs>
          <w:tab w:leader="none" w:pos="193" w:val="left"/>
        </w:tabs>
        <w:numPr>
          <w:ilvl w:val="0"/>
          <w:numId w:val="2"/>
        </w:numPr>
        <w:rPr>
          <w:rFonts w:ascii="Arial" w:cs="Arial" w:eastAsia="Arial" w:hAnsi="Arial"/>
          <w:sz w:val="22"/>
          <w:szCs w:val="22"/>
          <w:color w:val="auto"/>
        </w:rPr>
      </w:pPr>
      <w:r>
        <w:rPr>
          <w:rFonts w:ascii="Arial" w:cs="Arial" w:eastAsia="Arial" w:hAnsi="Arial"/>
          <w:sz w:val="18"/>
          <w:szCs w:val="18"/>
          <w:color w:val="auto"/>
        </w:rPr>
        <w:t>TRANSITION REPORT PURSUANT TO SECTION 13 OR 15(d) OF THE SECURITIES EXCHANGE ACT OF 1934 For the transition period from _______________________ to _____________________</w:t>
      </w:r>
    </w:p>
    <w:p>
      <w:pPr>
        <w:spacing w:after="0"/>
        <w:rPr>
          <w:rFonts w:ascii="Arial" w:cs="Arial" w:eastAsia="Arial" w:hAnsi="Arial"/>
          <w:sz w:val="22"/>
          <w:szCs w:val="22"/>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001-06403</w:t>
      </w:r>
    </w:p>
    <w:p>
      <w:pPr>
        <w:spacing w:after="0" w:line="200" w:lineRule="exact"/>
        <w:rPr>
          <w:sz w:val="24"/>
          <w:szCs w:val="24"/>
          <w:color w:val="auto"/>
        </w:rPr>
      </w:pPr>
    </w:p>
    <w:p>
      <w:pPr>
        <w:spacing w:after="0" w:line="24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2089150</wp:posOffset>
            </wp:positionH>
            <wp:positionV relativeFrom="paragraph">
              <wp:posOffset>80010</wp:posOffset>
            </wp:positionV>
            <wp:extent cx="29584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1720" w:type="dxa"/>
        <w:tblCellMar>
          <w:top w:w="0" w:type="dxa"/>
          <w:left w:w="0" w:type="dxa"/>
          <w:bottom w:w="0" w:type="dxa"/>
          <w:right w:w="0" w:type="dxa"/>
        </w:tblCellMar>
      </w:tblPr>
      <w:tr>
        <w:trPr>
          <w:trHeight w:val="228"/>
        </w:trPr>
        <w:tc>
          <w:tcPr>
            <w:tcW w:w="320" w:type="dxa"/>
            <w:vAlign w:val="bottom"/>
          </w:tcPr>
          <w:p>
            <w:pPr>
              <w:spacing w:after="0"/>
              <w:rPr>
                <w:sz w:val="19"/>
                <w:szCs w:val="19"/>
                <w:color w:val="auto"/>
              </w:rPr>
            </w:pPr>
          </w:p>
        </w:tc>
        <w:tc>
          <w:tcPr>
            <w:tcW w:w="5000" w:type="dxa"/>
            <w:vAlign w:val="bottom"/>
            <w:gridSpan w:val="2"/>
          </w:tcPr>
          <w:p>
            <w:pPr>
              <w:jc w:val="center"/>
              <w:ind w:right="2840"/>
              <w:spacing w:after="0"/>
              <w:rPr>
                <w:sz w:val="20"/>
                <w:szCs w:val="20"/>
                <w:color w:val="auto"/>
              </w:rPr>
            </w:pPr>
            <w:r>
              <w:rPr>
                <w:rFonts w:ascii="Arial" w:cs="Arial" w:eastAsia="Arial" w:hAnsi="Arial"/>
                <w:sz w:val="18"/>
                <w:szCs w:val="18"/>
                <w:b w:val="1"/>
                <w:bCs w:val="1"/>
                <w:color w:val="auto"/>
                <w:w w:val="97"/>
              </w:rPr>
              <w:t>IOWA</w:t>
            </w:r>
          </w:p>
        </w:tc>
        <w:tc>
          <w:tcPr>
            <w:tcW w:w="2160" w:type="dxa"/>
            <w:vAlign w:val="bottom"/>
          </w:tcPr>
          <w:p>
            <w:pPr>
              <w:jc w:val="right"/>
              <w:ind w:right="572"/>
              <w:spacing w:after="0"/>
              <w:rPr>
                <w:sz w:val="20"/>
                <w:szCs w:val="20"/>
                <w:color w:val="auto"/>
              </w:rPr>
            </w:pPr>
            <w:r>
              <w:rPr>
                <w:rFonts w:ascii="Arial" w:cs="Arial" w:eastAsia="Arial" w:hAnsi="Arial"/>
                <w:sz w:val="18"/>
                <w:szCs w:val="18"/>
                <w:b w:val="1"/>
                <w:bCs w:val="1"/>
                <w:color w:val="auto"/>
              </w:rPr>
              <w:t>42-0802678</w:t>
            </w:r>
          </w:p>
        </w:tc>
      </w:tr>
      <w:tr>
        <w:trPr>
          <w:trHeight w:val="110"/>
        </w:trPr>
        <w:tc>
          <w:tcPr>
            <w:tcW w:w="3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r>
      <w:tr>
        <w:trPr>
          <w:trHeight w:val="309"/>
        </w:trPr>
        <w:tc>
          <w:tcPr>
            <w:tcW w:w="320" w:type="dxa"/>
            <w:vAlign w:val="bottom"/>
          </w:tcPr>
          <w:p>
            <w:pPr>
              <w:spacing w:after="0"/>
              <w:rPr>
                <w:sz w:val="24"/>
                <w:szCs w:val="24"/>
                <w:color w:val="auto"/>
              </w:rPr>
            </w:pPr>
          </w:p>
        </w:tc>
        <w:tc>
          <w:tcPr>
            <w:tcW w:w="5000" w:type="dxa"/>
            <w:vAlign w:val="bottom"/>
            <w:gridSpan w:val="2"/>
          </w:tcPr>
          <w:p>
            <w:pPr>
              <w:jc w:val="center"/>
              <w:ind w:right="2840"/>
              <w:spacing w:after="0"/>
              <w:rPr>
                <w:sz w:val="20"/>
                <w:szCs w:val="20"/>
                <w:color w:val="auto"/>
              </w:rPr>
            </w:pPr>
            <w:r>
              <w:rPr>
                <w:rFonts w:ascii="Arial" w:cs="Arial" w:eastAsia="Arial" w:hAnsi="Arial"/>
                <w:sz w:val="18"/>
                <w:szCs w:val="18"/>
                <w:color w:val="auto"/>
                <w:w w:val="90"/>
              </w:rPr>
              <w:t>(State or other jurisdiction of</w:t>
            </w: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2"/>
        </w:trPr>
        <w:tc>
          <w:tcPr>
            <w:tcW w:w="320" w:type="dxa"/>
            <w:vAlign w:val="bottom"/>
          </w:tcPr>
          <w:p>
            <w:pPr>
              <w:spacing w:after="0"/>
              <w:rPr>
                <w:sz w:val="19"/>
                <w:szCs w:val="19"/>
                <w:color w:val="auto"/>
              </w:rPr>
            </w:pPr>
          </w:p>
        </w:tc>
        <w:tc>
          <w:tcPr>
            <w:tcW w:w="5000" w:type="dxa"/>
            <w:vAlign w:val="bottom"/>
            <w:gridSpan w:val="2"/>
          </w:tcPr>
          <w:p>
            <w:pPr>
              <w:jc w:val="center"/>
              <w:ind w:right="2840"/>
              <w:spacing w:after="0"/>
              <w:rPr>
                <w:sz w:val="20"/>
                <w:szCs w:val="20"/>
                <w:color w:val="auto"/>
              </w:rPr>
            </w:pPr>
            <w:r>
              <w:rPr>
                <w:rFonts w:ascii="Arial" w:cs="Arial" w:eastAsia="Arial" w:hAnsi="Arial"/>
                <w:sz w:val="18"/>
                <w:szCs w:val="18"/>
                <w:color w:val="auto"/>
                <w:w w:val="90"/>
              </w:rPr>
              <w:t>incorporation or organization)</w:t>
            </w:r>
          </w:p>
        </w:tc>
        <w:tc>
          <w:tcPr>
            <w:tcW w:w="216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r>
      <w:tr>
        <w:trPr>
          <w:trHeight w:val="459"/>
        </w:trPr>
        <w:tc>
          <w:tcPr>
            <w:tcW w:w="5320" w:type="dxa"/>
            <w:vAlign w:val="bottom"/>
            <w:gridSpan w:val="3"/>
          </w:tcPr>
          <w:p>
            <w:pPr>
              <w:jc w:val="center"/>
              <w:ind w:right="2540"/>
              <w:spacing w:after="0"/>
              <w:rPr>
                <w:sz w:val="20"/>
                <w:szCs w:val="20"/>
                <w:color w:val="auto"/>
              </w:rPr>
            </w:pPr>
            <w:r>
              <w:rPr>
                <w:rFonts w:ascii="Arial" w:cs="Arial" w:eastAsia="Arial" w:hAnsi="Arial"/>
                <w:sz w:val="18"/>
                <w:szCs w:val="18"/>
                <w:b w:val="1"/>
                <w:bCs w:val="1"/>
                <w:color w:val="auto"/>
                <w:w w:val="88"/>
              </w:rPr>
              <w:t>P. O. Box 152, Forest City, Iowa</w:t>
            </w:r>
          </w:p>
        </w:tc>
        <w:tc>
          <w:tcPr>
            <w:tcW w:w="2160" w:type="dxa"/>
            <w:vAlign w:val="bottom"/>
          </w:tcPr>
          <w:p>
            <w:pPr>
              <w:jc w:val="right"/>
              <w:ind w:right="772"/>
              <w:spacing w:after="0"/>
              <w:rPr>
                <w:sz w:val="20"/>
                <w:szCs w:val="20"/>
                <w:color w:val="auto"/>
              </w:rPr>
            </w:pPr>
            <w:r>
              <w:rPr>
                <w:rFonts w:ascii="Arial" w:cs="Arial" w:eastAsia="Arial" w:hAnsi="Arial"/>
                <w:sz w:val="18"/>
                <w:szCs w:val="18"/>
                <w:b w:val="1"/>
                <w:bCs w:val="1"/>
                <w:color w:val="auto"/>
              </w:rPr>
              <w:t>50436</w:t>
            </w:r>
          </w:p>
        </w:tc>
      </w:tr>
      <w:tr>
        <w:trPr>
          <w:trHeight w:val="110"/>
        </w:trPr>
        <w:tc>
          <w:tcPr>
            <w:tcW w:w="32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c>
          <w:tcPr>
            <w:tcW w:w="2840" w:type="dxa"/>
            <w:vAlign w:val="bottom"/>
          </w:tcPr>
          <w:p>
            <w:pPr>
              <w:spacing w:after="0"/>
              <w:rPr>
                <w:sz w:val="9"/>
                <w:szCs w:val="9"/>
                <w:color w:val="auto"/>
              </w:rPr>
            </w:pPr>
          </w:p>
        </w:tc>
        <w:tc>
          <w:tcPr>
            <w:tcW w:w="2160" w:type="dxa"/>
            <w:vAlign w:val="bottom"/>
            <w:tcBorders>
              <w:bottom w:val="single" w:sz="8" w:color="auto"/>
            </w:tcBorders>
          </w:tcPr>
          <w:p>
            <w:pPr>
              <w:spacing w:after="0"/>
              <w:rPr>
                <w:sz w:val="9"/>
                <w:szCs w:val="9"/>
                <w:color w:val="auto"/>
              </w:rPr>
            </w:pPr>
          </w:p>
        </w:tc>
      </w:tr>
      <w:tr>
        <w:trPr>
          <w:trHeight w:val="316"/>
        </w:trPr>
        <w:tc>
          <w:tcPr>
            <w:tcW w:w="5320" w:type="dxa"/>
            <w:vAlign w:val="bottom"/>
            <w:gridSpan w:val="3"/>
          </w:tcPr>
          <w:p>
            <w:pPr>
              <w:jc w:val="center"/>
              <w:ind w:right="2540"/>
              <w:spacing w:after="0"/>
              <w:rPr>
                <w:sz w:val="20"/>
                <w:szCs w:val="20"/>
                <w:color w:val="auto"/>
              </w:rPr>
            </w:pPr>
            <w:r>
              <w:rPr>
                <w:rFonts w:ascii="Arial" w:cs="Arial" w:eastAsia="Arial" w:hAnsi="Arial"/>
                <w:sz w:val="18"/>
                <w:szCs w:val="18"/>
                <w:color w:val="auto"/>
                <w:w w:val="90"/>
              </w:rPr>
              <w:t>(Address of principal executive offices)</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Arial" w:cs="Arial" w:eastAsia="Arial" w:hAnsi="Arial"/>
          <w:sz w:val="18"/>
          <w:szCs w:val="18"/>
          <w:color w:val="auto"/>
        </w:rPr>
        <w:t>Registrant’s telephone number, including area code: (641) 585-3535</w:t>
      </w:r>
    </w:p>
    <w:p>
      <w:pPr>
        <w:spacing w:after="0" w:line="225" w:lineRule="exact"/>
        <w:rPr>
          <w:sz w:val="24"/>
          <w:szCs w:val="24"/>
          <w:color w:val="auto"/>
        </w:rPr>
      </w:pPr>
    </w:p>
    <w:p>
      <w:pPr>
        <w:spacing w:after="0" w:line="305"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tabs>
          <w:tab w:leader="none" w:pos="1680" w:val="left"/>
          <w:tab w:leader="none" w:pos="2060" w:val="left"/>
          <w:tab w:leader="none" w:pos="2720" w:val="left"/>
        </w:tabs>
        <w:rPr>
          <w:sz w:val="20"/>
          <w:szCs w:val="20"/>
          <w:color w:val="auto"/>
        </w:rPr>
      </w:pPr>
      <w:r>
        <w:rPr>
          <w:rFonts w:ascii="Arial" w:cs="Arial" w:eastAsia="Arial" w:hAnsi="Arial"/>
          <w:sz w:val="18"/>
          <w:szCs w:val="18"/>
          <w:color w:val="auto"/>
        </w:rPr>
        <w:t>the past 90 days. Yes</w:t>
        <w:tab/>
        <w:t>X</w:t>
        <w:tab/>
        <w:t>No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993775</wp:posOffset>
            </wp:positionH>
            <wp:positionV relativeFrom="paragraph">
              <wp:posOffset>-17780</wp:posOffset>
            </wp:positionV>
            <wp:extent cx="24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1517015</wp:posOffset>
            </wp:positionH>
            <wp:positionV relativeFrom="paragraph">
              <wp:posOffset>-17780</wp:posOffset>
            </wp:positionV>
            <wp:extent cx="222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4"/>
          <w:szCs w:val="24"/>
          <w:color w:val="auto"/>
        </w:rPr>
      </w:pPr>
    </w:p>
    <w:p>
      <w:pPr>
        <w:spacing w:after="0"/>
        <w:tabs>
          <w:tab w:leader="none" w:pos="460" w:val="left"/>
          <w:tab w:leader="none" w:pos="860" w:val="left"/>
          <w:tab w:leader="none" w:pos="1500" w:val="left"/>
        </w:tabs>
        <w:rPr>
          <w:sz w:val="20"/>
          <w:szCs w:val="20"/>
          <w:color w:val="auto"/>
        </w:rPr>
      </w:pPr>
      <w:r>
        <w:rPr>
          <w:rFonts w:ascii="Arial" w:cs="Arial" w:eastAsia="Arial" w:hAnsi="Arial"/>
          <w:sz w:val="18"/>
          <w:szCs w:val="18"/>
          <w:color w:val="auto"/>
        </w:rPr>
        <w:t>Yes</w:t>
        <w:tab/>
        <w:t>X</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222885</wp:posOffset>
            </wp:positionH>
            <wp:positionV relativeFrom="paragraph">
              <wp:posOffset>-17780</wp:posOffset>
            </wp:positionV>
            <wp:extent cx="24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7650" cy="8890"/>
                    </a:xfrm>
                    <a:prstGeom prst="rect">
                      <a:avLst/>
                    </a:prstGeom>
                    <a:noFill/>
                  </pic:spPr>
                </pic:pic>
              </a:graphicData>
            </a:graphic>
          </wp:anchor>
        </w:drawing>
        <w:drawing>
          <wp:anchor simplePos="0" relativeHeight="251657728" behindDoc="1" locked="0" layoutInCell="0" allowOverlap="1">
            <wp:simplePos x="0" y="0"/>
            <wp:positionH relativeFrom="column">
              <wp:posOffset>746125</wp:posOffset>
            </wp:positionH>
            <wp:positionV relativeFrom="paragraph">
              <wp:posOffset>-17780</wp:posOffset>
            </wp:positionV>
            <wp:extent cx="2228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99" w:lineRule="exact"/>
        <w:rPr>
          <w:sz w:val="24"/>
          <w:szCs w:val="24"/>
          <w:color w:val="auto"/>
        </w:rPr>
      </w:pPr>
    </w:p>
    <w:p>
      <w:pPr>
        <w:spacing w:after="0"/>
        <w:rPr>
          <w:sz w:val="20"/>
          <w:szCs w:val="20"/>
          <w:color w:val="auto"/>
        </w:rPr>
      </w:pPr>
      <w:r>
        <w:rPr>
          <w:rFonts w:ascii="Arial" w:cs="Arial" w:eastAsia="Arial" w:hAnsi="Arial"/>
          <w:sz w:val="18"/>
          <w:szCs w:val="18"/>
          <w:color w:val="auto"/>
        </w:rPr>
        <w:t>There were 33,379,859 shares of $0.50 par value common stock outstanding on April 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368935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Explanatory Note</w:t>
      </w:r>
    </w:p>
    <w:p>
      <w:pPr>
        <w:spacing w:after="0" w:line="306" w:lineRule="exact"/>
        <w:rPr>
          <w:sz w:val="24"/>
          <w:szCs w:val="24"/>
          <w:color w:val="auto"/>
        </w:rPr>
      </w:pPr>
    </w:p>
    <w:p>
      <w:pPr>
        <w:ind w:right="40"/>
        <w:spacing w:after="0" w:line="294" w:lineRule="auto"/>
        <w:rPr>
          <w:sz w:val="20"/>
          <w:szCs w:val="20"/>
          <w:color w:val="auto"/>
        </w:rPr>
      </w:pPr>
      <w:r>
        <w:rPr>
          <w:rFonts w:ascii="Arial" w:cs="Arial" w:eastAsia="Arial" w:hAnsi="Arial"/>
          <w:sz w:val="16"/>
          <w:szCs w:val="16"/>
          <w:color w:val="auto"/>
        </w:rPr>
        <w:t>This amendment No. 1 on Form 10-Q/A to Form 10-Q of Winnebago Industries, Inc. for the quarter ended February 26, 2005 is being filed to restate the condensed consolidated financial statements as of and for the 13 and 26 week periods ended February 26, 2005, but is not intended to update other information presented in this report as originally filed. The restatement updates or amends Part I Items 1, 2 and 4. See the Note 12 labeled “Restatement” to our Condensed Consolidated Financial Statements for further discussion of this matter. We are not required to and we have not updated any forward-looking statements previously included in the Quarterly Report on Form 10-Q filed on April 5,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1259840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30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INDEX TO REPORT ON FORM 10-Q/A</w:t>
      </w:r>
    </w:p>
    <w:p>
      <w:pPr>
        <w:sectPr>
          <w:pgSz w:w="11900" w:h="16838" w:orient="portrait"/>
          <w:cols w:equalWidth="0" w:num="1">
            <w:col w:w="11220"/>
          </w:cols>
          <w:pgMar w:left="240" w:top="233" w:right="439" w:bottom="0" w:gutter="0" w:footer="0" w:header="0"/>
        </w:sectPr>
      </w:pPr>
    </w:p>
    <w:p>
      <w:pPr>
        <w:spacing w:after="0" w:line="294" w:lineRule="exact"/>
        <w:rPr>
          <w:sz w:val="24"/>
          <w:szCs w:val="24"/>
          <w:color w:val="auto"/>
        </w:rPr>
      </w:pPr>
    </w:p>
    <w:p>
      <w:pPr>
        <w:ind w:left="8840"/>
        <w:spacing w:after="0"/>
        <w:rPr>
          <w:sz w:val="20"/>
          <w:szCs w:val="20"/>
          <w:color w:val="auto"/>
        </w:rPr>
      </w:pPr>
      <w:r>
        <w:rPr>
          <w:rFonts w:ascii="Arial" w:cs="Arial" w:eastAsia="Arial" w:hAnsi="Arial"/>
          <w:sz w:val="12"/>
          <w:szCs w:val="12"/>
          <w:b w:val="1"/>
          <w:bCs w:val="1"/>
          <w:color w:val="auto"/>
        </w:rPr>
        <w:t>Page Number</w:t>
      </w:r>
    </w:p>
    <w:p>
      <w:pPr>
        <w:sectPr>
          <w:pgSz w:w="11900" w:h="16838" w:orient="portrait"/>
          <w:cols w:equalWidth="0" w:num="1">
            <w:col w:w="11220"/>
          </w:cols>
          <w:pgMar w:left="240" w:top="233" w:right="439" w:bottom="0" w:gutter="0" w:footer="0" w:header="0"/>
          <w:type w:val="continuous"/>
        </w:sectPr>
      </w:pPr>
    </w:p>
    <w:bookmarkStart w:id="1" w:name="page2"/>
    <w:bookmarkEnd w:id="1"/>
    <w:tbl>
      <w:tblPr>
        <w:tblLayout w:type="fixed"/>
        <w:tblInd w:w="1660" w:type="dxa"/>
        <w:tblCellMar>
          <w:top w:w="0" w:type="dxa"/>
          <w:left w:w="0" w:type="dxa"/>
          <w:bottom w:w="0" w:type="dxa"/>
          <w:right w:w="0" w:type="dxa"/>
        </w:tblCellMar>
      </w:tblPr>
      <w:tr>
        <w:trPr>
          <w:trHeight w:val="207"/>
        </w:trPr>
        <w:tc>
          <w:tcPr>
            <w:tcW w:w="5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PART I.</w:t>
              </w:r>
            </w:hyperlink>
          </w:p>
        </w:tc>
        <w:tc>
          <w:tcPr>
            <w:tcW w:w="360" w:type="dxa"/>
            <w:vAlign w:val="bottom"/>
          </w:tcPr>
          <w:p>
            <w:pPr>
              <w:spacing w:after="0"/>
              <w:rPr>
                <w:sz w:val="17"/>
                <w:szCs w:val="17"/>
                <w:color w:val="auto"/>
              </w:rPr>
            </w:pPr>
          </w:p>
        </w:tc>
        <w:tc>
          <w:tcPr>
            <w:tcW w:w="2260" w:type="dxa"/>
            <w:vAlign w:val="bottom"/>
            <w:tcBorders>
              <w:bottom w:val="single" w:sz="8" w:color="0000EE"/>
            </w:tcBorders>
            <w:gridSpan w:val="6"/>
          </w:tcPr>
          <w:p>
            <w:pPr>
              <w:spacing w:after="0"/>
              <w:rPr>
                <w:rFonts w:ascii="Arial" w:cs="Arial" w:eastAsia="Arial" w:hAnsi="Arial"/>
                <w:sz w:val="18"/>
                <w:szCs w:val="18"/>
                <w:color w:val="0000EE"/>
                <w:w w:val="97"/>
              </w:rPr>
            </w:pPr>
            <w:hyperlink w:anchor="page2">
              <w:r>
                <w:rPr>
                  <w:rFonts w:ascii="Arial" w:cs="Arial" w:eastAsia="Arial" w:hAnsi="Arial"/>
                  <w:sz w:val="18"/>
                  <w:szCs w:val="18"/>
                  <w:color w:val="0000EE"/>
                  <w:w w:val="97"/>
                </w:rPr>
                <w:t>FINANCIAL INFORMATION:</w:t>
              </w:r>
            </w:hyperlink>
          </w:p>
        </w:tc>
        <w:tc>
          <w:tcPr>
            <w:tcW w:w="3680" w:type="dxa"/>
            <w:vAlign w:val="bottom"/>
            <w:gridSpan w:val="11"/>
          </w:tcPr>
          <w:p>
            <w:pPr>
              <w:spacing w:after="0"/>
              <w:rPr>
                <w:sz w:val="17"/>
                <w:szCs w:val="17"/>
                <w:color w:val="auto"/>
              </w:rPr>
            </w:pPr>
          </w:p>
        </w:tc>
        <w:tc>
          <w:tcPr>
            <w:tcW w:w="960" w:type="dxa"/>
            <w:vAlign w:val="bottom"/>
          </w:tcPr>
          <w:p>
            <w:pPr>
              <w:spacing w:after="0"/>
              <w:rPr>
                <w:sz w:val="17"/>
                <w:szCs w:val="17"/>
                <w:color w:val="auto"/>
              </w:rPr>
            </w:pPr>
          </w:p>
        </w:tc>
      </w:tr>
      <w:tr>
        <w:trPr>
          <w:trHeight w:val="439"/>
        </w:trPr>
        <w:tc>
          <w:tcPr>
            <w:tcW w:w="500" w:type="dxa"/>
            <w:vAlign w:val="bottom"/>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Item 1.</w:t>
              </w:r>
            </w:hyperlink>
          </w:p>
        </w:tc>
        <w:tc>
          <w:tcPr>
            <w:tcW w:w="440" w:type="dxa"/>
            <w:vAlign w:val="bottom"/>
            <w:gridSpan w:val="2"/>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Unaudited Consolidated Balance Sheets</w:t>
              </w:r>
            </w:hyperlink>
          </w:p>
        </w:tc>
        <w:tc>
          <w:tcPr>
            <w:tcW w:w="960" w:type="dxa"/>
            <w:vAlign w:val="bottom"/>
          </w:tcPr>
          <w:p>
            <w:pPr>
              <w:jc w:val="center"/>
              <w:ind w:left="352"/>
              <w:spacing w:after="0"/>
              <w:rPr>
                <w:sz w:val="20"/>
                <w:szCs w:val="20"/>
                <w:color w:val="auto"/>
              </w:rPr>
            </w:pPr>
            <w:r>
              <w:rPr>
                <w:rFonts w:ascii="Arial" w:cs="Arial" w:eastAsia="Arial" w:hAnsi="Arial"/>
                <w:sz w:val="18"/>
                <w:szCs w:val="18"/>
                <w:color w:val="auto"/>
                <w:w w:val="95"/>
              </w:rPr>
              <w:t>1 &amp; 2</w:t>
            </w: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Statements of Income</w:t>
              </w:r>
            </w:hyperlink>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99"/>
              </w:rPr>
              <w:t>3</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Cash Flows</w:t>
              </w:r>
            </w:hyperlink>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99"/>
              </w:rPr>
              <w:t>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Unaudited Condensed Notes to Condensed Consolidated Financial Statements</w:t>
              </w:r>
            </w:hyperlink>
          </w:p>
        </w:tc>
        <w:tc>
          <w:tcPr>
            <w:tcW w:w="960" w:type="dxa"/>
            <w:vAlign w:val="bottom"/>
          </w:tcPr>
          <w:p>
            <w:pPr>
              <w:jc w:val="center"/>
              <w:ind w:left="352"/>
              <w:spacing w:after="0"/>
              <w:rPr>
                <w:sz w:val="20"/>
                <w:szCs w:val="20"/>
                <w:color w:val="auto"/>
              </w:rPr>
            </w:pPr>
            <w:r>
              <w:rPr>
                <w:rFonts w:ascii="Arial" w:cs="Arial" w:eastAsia="Arial" w:hAnsi="Arial"/>
                <w:sz w:val="18"/>
                <w:szCs w:val="18"/>
                <w:color w:val="auto"/>
                <w:w w:val="87"/>
              </w:rPr>
              <w:t>5 – 12</w:t>
            </w:r>
          </w:p>
        </w:tc>
      </w:tr>
      <w:tr>
        <w:trPr>
          <w:trHeight w:val="439"/>
        </w:trPr>
        <w:tc>
          <w:tcPr>
            <w:tcW w:w="500" w:type="dxa"/>
            <w:vAlign w:val="bottom"/>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Item 2.</w:t>
              </w:r>
            </w:hyperlink>
          </w:p>
        </w:tc>
        <w:tc>
          <w:tcPr>
            <w:tcW w:w="440" w:type="dxa"/>
            <w:vAlign w:val="bottom"/>
            <w:gridSpan w:val="2"/>
          </w:tcPr>
          <w:p>
            <w:pPr>
              <w:spacing w:after="0"/>
              <w:rPr>
                <w:sz w:val="24"/>
                <w:szCs w:val="24"/>
                <w:color w:val="auto"/>
              </w:rPr>
            </w:pPr>
          </w:p>
        </w:tc>
        <w:tc>
          <w:tcPr>
            <w:tcW w:w="5500" w:type="dxa"/>
            <w:vAlign w:val="bottom"/>
            <w:tcBorders>
              <w:top w:val="single" w:sz="8" w:color="0000EE"/>
            </w:tcBorders>
            <w:gridSpan w:val="16"/>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Management’s Discussion and Analysis of Financial Condition</w:t>
              </w:r>
            </w:hyperlink>
          </w:p>
        </w:tc>
        <w:tc>
          <w:tcPr>
            <w:tcW w:w="440" w:type="dxa"/>
            <w:vAlign w:val="bottom"/>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13 – 19</w:t>
            </w:r>
          </w:p>
        </w:tc>
      </w:tr>
      <w:tr>
        <w:trPr>
          <w:trHeight w:val="439"/>
        </w:trPr>
        <w:tc>
          <w:tcPr>
            <w:tcW w:w="50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Item 3.</w:t>
              </w:r>
            </w:hyperlink>
          </w:p>
        </w:tc>
        <w:tc>
          <w:tcPr>
            <w:tcW w:w="440" w:type="dxa"/>
            <w:vAlign w:val="bottom"/>
            <w:gridSpan w:val="2"/>
          </w:tcPr>
          <w:p>
            <w:pPr>
              <w:spacing w:after="0"/>
              <w:rPr>
                <w:sz w:val="24"/>
                <w:szCs w:val="24"/>
                <w:color w:val="auto"/>
              </w:rPr>
            </w:pPr>
          </w:p>
        </w:tc>
        <w:tc>
          <w:tcPr>
            <w:tcW w:w="42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Quantitative and Qualitative Disclosures About Market Risk</w:t>
              </w:r>
            </w:hyperlink>
          </w:p>
        </w:tc>
        <w:tc>
          <w:tcPr>
            <w:tcW w:w="180" w:type="dxa"/>
            <w:vAlign w:val="bottom"/>
            <w:tcBorders>
              <w:top w:val="single" w:sz="8" w:color="0000EE"/>
            </w:tcBorders>
            <w:gridSpan w:val="2"/>
          </w:tcPr>
          <w:p>
            <w:pPr>
              <w:spacing w:after="0"/>
              <w:rPr>
                <w:sz w:val="24"/>
                <w:szCs w:val="24"/>
                <w:color w:val="auto"/>
              </w:rPr>
            </w:pPr>
          </w:p>
        </w:tc>
        <w:tc>
          <w:tcPr>
            <w:tcW w:w="1500" w:type="dxa"/>
            <w:vAlign w:val="bottom"/>
            <w:gridSpan w:val="2"/>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19</w:t>
            </w:r>
          </w:p>
        </w:tc>
      </w:tr>
      <w:tr>
        <w:trPr>
          <w:trHeight w:val="439"/>
        </w:trPr>
        <w:tc>
          <w:tcPr>
            <w:tcW w:w="500" w:type="dxa"/>
            <w:vAlign w:val="bottom"/>
            <w:tcBorders>
              <w:bottom w:val="single" w:sz="8" w:color="0000EE"/>
            </w:tcBorders>
          </w:tcPr>
          <w:p>
            <w:pPr>
              <w:spacing w:after="0"/>
              <w:rPr>
                <w:rFonts w:ascii="Arial" w:cs="Arial" w:eastAsia="Arial" w:hAnsi="Arial"/>
                <w:sz w:val="18"/>
                <w:szCs w:val="18"/>
                <w:color w:val="0000EE"/>
                <w:w w:val="87"/>
              </w:rPr>
            </w:pPr>
            <w:hyperlink w:anchor="page15">
              <w:r>
                <w:rPr>
                  <w:rFonts w:ascii="Arial" w:cs="Arial" w:eastAsia="Arial" w:hAnsi="Arial"/>
                  <w:sz w:val="18"/>
                  <w:szCs w:val="18"/>
                  <w:color w:val="0000EE"/>
                  <w:w w:val="87"/>
                </w:rPr>
                <w:t>Item 4.</w:t>
              </w:r>
            </w:hyperlink>
          </w:p>
        </w:tc>
        <w:tc>
          <w:tcPr>
            <w:tcW w:w="440" w:type="dxa"/>
            <w:vAlign w:val="bottom"/>
            <w:gridSpan w:val="2"/>
          </w:tcPr>
          <w:p>
            <w:pPr>
              <w:spacing w:after="0"/>
              <w:rPr>
                <w:sz w:val="24"/>
                <w:szCs w:val="24"/>
                <w:color w:val="auto"/>
              </w:rPr>
            </w:pPr>
          </w:p>
        </w:tc>
        <w:tc>
          <w:tcPr>
            <w:tcW w:w="174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5">
              <w:r>
                <w:rPr>
                  <w:rFonts w:ascii="Arial" w:cs="Arial" w:eastAsia="Arial" w:hAnsi="Arial"/>
                  <w:sz w:val="18"/>
                  <w:szCs w:val="18"/>
                  <w:color w:val="0000EE"/>
                  <w:w w:val="86"/>
                </w:rPr>
                <w:t>Controls and Procedures</w:t>
              </w:r>
            </w:hyperlink>
          </w:p>
        </w:tc>
        <w:tc>
          <w:tcPr>
            <w:tcW w:w="4200" w:type="dxa"/>
            <w:vAlign w:val="bottom"/>
            <w:gridSpan w:val="13"/>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20</w:t>
            </w: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Report of Independent Registered Public Accounting Firm</w:t>
              </w:r>
            </w:hyperlink>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21</w:t>
            </w:r>
          </w:p>
        </w:tc>
      </w:tr>
      <w:tr>
        <w:trPr>
          <w:trHeight w:val="439"/>
        </w:trPr>
        <w:tc>
          <w:tcPr>
            <w:tcW w:w="940" w:type="dxa"/>
            <w:vAlign w:val="bottom"/>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4120" w:type="dxa"/>
            <w:vAlign w:val="bottom"/>
            <w:tcBorders>
              <w:top w:val="single" w:sz="8" w:color="0000EE"/>
            </w:tcBorders>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1820" w:type="dxa"/>
            <w:vAlign w:val="bottom"/>
            <w:gridSpan w:val="6"/>
          </w:tcPr>
          <w:p>
            <w:pPr>
              <w:spacing w:after="0"/>
              <w:rPr>
                <w:sz w:val="24"/>
                <w:szCs w:val="24"/>
                <w:color w:val="auto"/>
              </w:rPr>
            </w:pPr>
          </w:p>
        </w:tc>
        <w:tc>
          <w:tcPr>
            <w:tcW w:w="960" w:type="dxa"/>
            <w:vAlign w:val="bottom"/>
          </w:tcPr>
          <w:p>
            <w:pPr>
              <w:spacing w:after="0"/>
              <w:rPr>
                <w:sz w:val="24"/>
                <w:szCs w:val="24"/>
                <w:color w:val="auto"/>
              </w:rPr>
            </w:pPr>
          </w:p>
        </w:tc>
      </w:tr>
      <w:tr>
        <w:trPr>
          <w:trHeight w:val="439"/>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1.</w:t>
              </w:r>
            </w:hyperlink>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tcBorders>
              <w:top w:val="single" w:sz="8" w:color="0000EE"/>
            </w:tcBorders>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Legal Proceedings</w:t>
              </w:r>
            </w:hyperlink>
          </w:p>
        </w:tc>
        <w:tc>
          <w:tcPr>
            <w:tcW w:w="4100" w:type="dxa"/>
            <w:vAlign w:val="bottom"/>
            <w:gridSpan w:val="12"/>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22</w:t>
            </w:r>
          </w:p>
        </w:tc>
      </w:tr>
      <w:tr>
        <w:trPr>
          <w:trHeight w:val="20"/>
        </w:trPr>
        <w:tc>
          <w:tcPr>
            <w:tcW w:w="50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500" w:type="dxa"/>
            <w:vAlign w:val="bottom"/>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Item 2.</w:t>
              </w:r>
            </w:hyperlink>
          </w:p>
        </w:tc>
        <w:tc>
          <w:tcPr>
            <w:tcW w:w="440" w:type="dxa"/>
            <w:vAlign w:val="bottom"/>
            <w:gridSpan w:val="2"/>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22</w:t>
            </w:r>
          </w:p>
        </w:tc>
      </w:tr>
      <w:tr>
        <w:trPr>
          <w:trHeight w:val="439"/>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4.</w:t>
              </w:r>
            </w:hyperlink>
          </w:p>
        </w:tc>
        <w:tc>
          <w:tcPr>
            <w:tcW w:w="440" w:type="dxa"/>
            <w:vAlign w:val="bottom"/>
            <w:gridSpan w:val="2"/>
          </w:tcPr>
          <w:p>
            <w:pPr>
              <w:spacing w:after="0"/>
              <w:rPr>
                <w:sz w:val="24"/>
                <w:szCs w:val="24"/>
                <w:color w:val="auto"/>
              </w:rPr>
            </w:pPr>
          </w:p>
        </w:tc>
        <w:tc>
          <w:tcPr>
            <w:tcW w:w="4240" w:type="dxa"/>
            <w:vAlign w:val="bottom"/>
            <w:tcBorders>
              <w:top w:val="single" w:sz="8" w:color="0000EE"/>
            </w:tcBorders>
            <w:gridSpan w:val="12"/>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Submission of Matters to a Vote of Security Holders</w:t>
              </w:r>
            </w:hyperlink>
          </w:p>
        </w:tc>
        <w:tc>
          <w:tcPr>
            <w:tcW w:w="1700" w:type="dxa"/>
            <w:vAlign w:val="bottom"/>
            <w:gridSpan w:val="5"/>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23</w:t>
            </w:r>
          </w:p>
        </w:tc>
      </w:tr>
      <w:tr>
        <w:trPr>
          <w:trHeight w:val="439"/>
        </w:trPr>
        <w:tc>
          <w:tcPr>
            <w:tcW w:w="500" w:type="dxa"/>
            <w:vAlign w:val="bottom"/>
            <w:tcBorders>
              <w:top w:val="single" w:sz="8" w:color="0000EE"/>
            </w:tcBorders>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Item 6.</w:t>
              </w:r>
            </w:hyperlink>
          </w:p>
        </w:tc>
        <w:tc>
          <w:tcPr>
            <w:tcW w:w="440" w:type="dxa"/>
            <w:vAlign w:val="bottom"/>
            <w:gridSpan w:val="2"/>
          </w:tcPr>
          <w:p>
            <w:pPr>
              <w:spacing w:after="0"/>
              <w:rPr>
                <w:sz w:val="24"/>
                <w:szCs w:val="24"/>
                <w:color w:val="auto"/>
              </w:rPr>
            </w:pPr>
          </w:p>
        </w:tc>
        <w:tc>
          <w:tcPr>
            <w:tcW w:w="3680" w:type="dxa"/>
            <w:vAlign w:val="bottom"/>
            <w:tcBorders>
              <w:top w:val="single" w:sz="8" w:color="0000EE"/>
            </w:tcBorders>
            <w:gridSpan w:val="1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Exhibits and Reports on Form 8-K</w:t>
              </w:r>
            </w:hyperlink>
          </w:p>
        </w:tc>
        <w:tc>
          <w:tcPr>
            <w:tcW w:w="2260" w:type="dxa"/>
            <w:vAlign w:val="bottom"/>
            <w:gridSpan w:val="7"/>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23</w:t>
            </w:r>
          </w:p>
        </w:tc>
      </w:tr>
      <w:tr>
        <w:trPr>
          <w:trHeight w:val="439"/>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40" w:type="dxa"/>
            <w:vAlign w:val="bottom"/>
            <w:tcBorders>
              <w:top w:val="single" w:sz="8" w:color="0000EE"/>
            </w:tcBorders>
            <w:gridSpan w:val="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Signatures</w:t>
              </w:r>
            </w:hyperlink>
          </w:p>
        </w:tc>
        <w:tc>
          <w:tcPr>
            <w:tcW w:w="3500" w:type="dxa"/>
            <w:vAlign w:val="bottom"/>
            <w:gridSpan w:val="10"/>
          </w:tcPr>
          <w:p>
            <w:pPr>
              <w:spacing w:after="0"/>
              <w:rPr>
                <w:sz w:val="24"/>
                <w:szCs w:val="24"/>
                <w:color w:val="auto"/>
              </w:rPr>
            </w:pPr>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24</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gridSpan w:val="1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439"/>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940" w:type="dxa"/>
            <w:vAlign w:val="bottom"/>
            <w:gridSpan w:val="1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 Index</w:t>
              </w:r>
            </w:hyperlink>
          </w:p>
        </w:tc>
        <w:tc>
          <w:tcPr>
            <w:tcW w:w="960" w:type="dxa"/>
            <w:vAlign w:val="bottom"/>
          </w:tcPr>
          <w:p>
            <w:pPr>
              <w:jc w:val="center"/>
              <w:ind w:left="332"/>
              <w:spacing w:after="0"/>
              <w:rPr>
                <w:sz w:val="20"/>
                <w:szCs w:val="20"/>
                <w:color w:val="auto"/>
              </w:rPr>
            </w:pPr>
            <w:r>
              <w:rPr>
                <w:rFonts w:ascii="Arial" w:cs="Arial" w:eastAsia="Arial" w:hAnsi="Arial"/>
                <w:sz w:val="18"/>
                <w:szCs w:val="18"/>
                <w:color w:val="auto"/>
                <w:w w:val="89"/>
              </w:rPr>
              <w:t>25</w:t>
            </w: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5740400</wp:posOffset>
            </wp:positionH>
            <wp:positionV relativeFrom="page">
              <wp:posOffset>88900</wp:posOffset>
            </wp:positionV>
            <wp:extent cx="5746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701040</wp:posOffset>
            </wp:positionV>
            <wp:extent cx="725043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93"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00" w:lineRule="exact"/>
        <w:rPr>
          <w:sz w:val="20"/>
          <w:szCs w:val="20"/>
          <w:color w:val="auto"/>
        </w:rPr>
      </w:pPr>
    </w:p>
    <w:p>
      <w:pPr>
        <w:spacing w:after="0" w:line="34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w:t>
      </w:r>
    </w:p>
    <w:p>
      <w:pPr>
        <w:spacing w:after="0" w:line="248"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80" w:type="dxa"/>
            <w:vAlign w:val="bottom"/>
          </w:tcPr>
          <w:p>
            <w:pPr>
              <w:jc w:val="right"/>
              <w:ind w:right="1833"/>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February 26, 2005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As Restated - Note 12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16,107</w:t>
            </w:r>
          </w:p>
        </w:tc>
        <w:tc>
          <w:tcPr>
            <w:tcW w:w="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24,445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97,479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Receivables, less allowance for doubtful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80" w:type="dxa"/>
            <w:vAlign w:val="bottom"/>
          </w:tcPr>
          <w:p>
            <w:pPr>
              <w:jc w:val="right"/>
              <w:ind w:right="1333"/>
              <w:spacing w:after="0"/>
              <w:rPr>
                <w:sz w:val="20"/>
                <w:szCs w:val="20"/>
                <w:color w:val="auto"/>
              </w:rPr>
            </w:pPr>
            <w:r>
              <w:rPr>
                <w:rFonts w:ascii="Arial" w:cs="Arial" w:eastAsia="Arial" w:hAnsi="Arial"/>
                <w:sz w:val="18"/>
                <w:szCs w:val="18"/>
                <w:color w:val="auto"/>
                <w:w w:val="90"/>
              </w:rPr>
              <w:t>accounts ($137 and $161, respectively)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27,677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46,112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4,814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4280" w:type="dxa"/>
            <w:vAlign w:val="bottom"/>
          </w:tcPr>
          <w:p>
            <w:pPr>
              <w:jc w:val="right"/>
              <w:ind w:right="2633"/>
              <w:spacing w:after="0"/>
              <w:rPr>
                <w:sz w:val="20"/>
                <w:szCs w:val="20"/>
                <w:color w:val="auto"/>
              </w:rPr>
            </w:pPr>
            <w:r>
              <w:rPr>
                <w:rFonts w:ascii="Arial" w:cs="Arial" w:eastAsia="Arial" w:hAnsi="Arial"/>
                <w:sz w:val="18"/>
                <w:szCs w:val="18"/>
                <w:color w:val="auto"/>
                <w:w w:val="97"/>
              </w:rPr>
              <w:t>Total current assets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302,763</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270,069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at cost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Land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99,775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99,511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equipment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168,670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166,889</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80" w:type="dxa"/>
            <w:vAlign w:val="bottom"/>
            <w:shd w:val="clear" w:color="auto" w:fill="CCEEFF"/>
          </w:tcPr>
          <w:p>
            <w:pPr>
              <w:jc w:val="right"/>
              <w:ind w:right="1833"/>
              <w:spacing w:after="0"/>
              <w:rPr>
                <w:sz w:val="20"/>
                <w:szCs w:val="20"/>
                <w:color w:val="auto"/>
              </w:rPr>
            </w:pPr>
            <w:r>
              <w:rPr>
                <w:rFonts w:ascii="Arial" w:cs="Arial" w:eastAsia="Arial" w:hAnsi="Arial"/>
                <w:sz w:val="18"/>
                <w:szCs w:val="18"/>
                <w:color w:val="auto"/>
                <w:w w:val="94"/>
              </w:rPr>
              <w:t>Less accumulated depreciation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102,894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30" w:right="1440" w:bottom="0" w:gutter="0" w:footer="0" w:header="0"/>
        </w:sectPr>
      </w:pPr>
    </w:p>
    <w:bookmarkStart w:id="2" w:name="page3"/>
    <w:bookmarkEnd w:id="2"/>
    <w:p>
      <w:pPr>
        <w:spacing w:after="0" w:line="7"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 property and equipment, net</w:t>
            </w:r>
          </w:p>
        </w:tc>
        <w:tc>
          <w:tcPr>
            <w:tcW w:w="5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63,131</w:t>
            </w:r>
          </w:p>
        </w:tc>
        <w:tc>
          <w:tcPr>
            <w:tcW w:w="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63,995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4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540" w:type="dxa"/>
            <w:vAlign w:val="bottom"/>
            <w:gridSpan w:val="2"/>
          </w:tcPr>
          <w:p>
            <w:pPr>
              <w:spacing w:after="0"/>
              <w:rPr>
                <w:sz w:val="20"/>
                <w:szCs w:val="20"/>
                <w:color w:val="auto"/>
              </w:rPr>
            </w:pPr>
            <w:r>
              <w:rPr>
                <w:rFonts w:ascii="Arial" w:cs="Arial" w:eastAsia="Arial" w:hAnsi="Arial"/>
                <w:sz w:val="18"/>
                <w:szCs w:val="18"/>
                <w:color w:val="auto"/>
              </w:rPr>
              <w:t>INVESTMENT IN LIFE INSURANCE</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21,686</w:t>
            </w: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22,863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4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427,300</w:t>
            </w: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394,556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 except par value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418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February 26, 2005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As Restated - Note 12</w:t>
            </w: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Accounts payable, trade</w:t>
            </w:r>
          </w:p>
        </w:tc>
        <w:tc>
          <w:tcPr>
            <w:tcW w:w="4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40,894</w:t>
            </w:r>
          </w:p>
        </w:tc>
        <w:tc>
          <w:tcPr>
            <w:tcW w:w="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46,659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21,217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Product warranties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13,152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Promotional</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200"/>
              <w:spacing w:after="0"/>
              <w:rPr>
                <w:sz w:val="20"/>
                <w:szCs w:val="20"/>
                <w:color w:val="auto"/>
              </w:rPr>
            </w:pPr>
            <w:r>
              <w:rPr>
                <w:rFonts w:ascii="Arial" w:cs="Arial" w:eastAsia="Arial" w:hAnsi="Arial"/>
                <w:sz w:val="18"/>
                <w:szCs w:val="18"/>
                <w:color w:val="auto"/>
              </w:rPr>
              <w:t>Self-insurance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7,971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6,483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20" w:type="dxa"/>
            <w:vAlign w:val="bottom"/>
          </w:tcPr>
          <w:p>
            <w:pPr>
              <w:spacing w:after="0"/>
              <w:rPr>
                <w:sz w:val="24"/>
                <w:szCs w:val="24"/>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108,177</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105,278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HEALTH CARE AND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COMPENSATION BENEFITS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88,069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1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Capital stock, common, par value $.50; authorized</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60,000,000 shares: issued 51,776,000 shares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15,871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14,570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Reinvested earnings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419,832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461,591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432,888</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Less treasury stock, at cost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230,537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180" w:type="dxa"/>
            <w:vAlign w:val="bottom"/>
            <w:gridSpan w:val="2"/>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1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231,054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201,875</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4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427,300</w:t>
            </w:r>
          </w:p>
        </w:tc>
        <w:tc>
          <w:tcPr>
            <w:tcW w:w="2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394,556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4112260</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5312410</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INCOME</w:t>
      </w:r>
    </w:p>
    <w:p>
      <w:pPr>
        <w:sectPr>
          <w:pgSz w:w="11900" w:h="16846" w:orient="portrait"/>
          <w:cols w:equalWidth="0" w:num="1">
            <w:col w:w="9019"/>
          </w:cols>
          <w:pgMar w:left="1440" w:top="374" w:right="1440" w:bottom="0" w:gutter="0" w:footer="0" w:header="0"/>
        </w:sectPr>
      </w:pPr>
    </w:p>
    <w:bookmarkStart w:id="3" w:name="page4"/>
    <w:bookmarkEnd w:id="3"/>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gridSpan w:val="6"/>
          </w:tcPr>
          <w:p>
            <w:pPr>
              <w:ind w:left="88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80" w:type="dxa"/>
            <w:vAlign w:val="bottom"/>
            <w:gridSpan w:val="7"/>
          </w:tcPr>
          <w:p>
            <w:pPr>
              <w:ind w:left="80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February 26, 2005</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rPr>
              <w:t>February 28, 2004*</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February 26, 2005</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3"/>
          </w:tcPr>
          <w:p>
            <w:pPr>
              <w:ind w:left="40"/>
              <w:spacing w:after="0"/>
              <w:rPr>
                <w:sz w:val="20"/>
                <w:szCs w:val="20"/>
                <w:color w:val="auto"/>
              </w:rPr>
            </w:pPr>
            <w:r>
              <w:rPr>
                <w:rFonts w:ascii="Arial" w:cs="Arial" w:eastAsia="Arial" w:hAnsi="Arial"/>
                <w:sz w:val="14"/>
                <w:szCs w:val="14"/>
                <w:b w:val="1"/>
                <w:bCs w:val="1"/>
                <w:color w:val="auto"/>
              </w:rPr>
              <w:t>February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As Restated - Note 12</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As Restated - Note 12</w:t>
            </w: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239,359</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266,033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505,492</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520,966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210,098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231,004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436,167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446,472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29,261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35,029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4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4,461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5,798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6,039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11,355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11,777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3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18,899</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24,529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48,852</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53,695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3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19,538</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24,812</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49,985</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54,281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36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43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12,571</w:t>
            </w:r>
          </w:p>
        </w:tc>
        <w:tc>
          <w:tcPr>
            <w:tcW w:w="2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15,880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32,115</w:t>
            </w:r>
          </w:p>
        </w:tc>
        <w:tc>
          <w:tcPr>
            <w:tcW w:w="2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33,947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Income per share - basic (Note 11)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4360" w:type="dxa"/>
            <w:vAlign w:val="bottom"/>
            <w:gridSpan w:val="2"/>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2"/>
        </w:trPr>
        <w:tc>
          <w:tcPr>
            <w:tcW w:w="4360" w:type="dxa"/>
            <w:vAlign w:val="bottom"/>
            <w:gridSpan w:val="2"/>
          </w:tcPr>
          <w:p>
            <w:pPr>
              <w:spacing w:after="0"/>
              <w:rPr>
                <w:sz w:val="20"/>
                <w:szCs w:val="20"/>
                <w:color w:val="auto"/>
              </w:rPr>
            </w:pPr>
            <w:r>
              <w:rPr>
                <w:rFonts w:ascii="Arial" w:cs="Arial" w:eastAsia="Arial" w:hAnsi="Arial"/>
                <w:sz w:val="18"/>
                <w:szCs w:val="18"/>
                <w:color w:val="auto"/>
              </w:rPr>
              <w:t>Income per share - diluted (Note 11)</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24"/>
                <w:szCs w:val="24"/>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0.46</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4"/>
                <w:szCs w:val="24"/>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shares of common stock outstanding</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33,672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33,928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33,647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34,613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34,224</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3707765</wp:posOffset>
            </wp:positionH>
            <wp:positionV relativeFrom="paragraph">
              <wp:posOffset>-1781175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-1781175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-1781175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-1781175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-1781175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-1781175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-1781175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-1781175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-1334770</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-1334770</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-1334770</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-1334770</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-1334770</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-1334770</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-1334770</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-1334770</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-889000</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-889000</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-889000</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-889000</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-889000</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-889000</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-889000</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-889000</wp:posOffset>
            </wp:positionV>
            <wp:extent cx="127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-460375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-460375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-460375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-460375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-460375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-460375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-460375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-460375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2764155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See Unaudited Condensed 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*Adjusted for 2-for-1 stock split on March 5, 2004.</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295" w:lineRule="exact"/>
        <w:rPr>
          <w:sz w:val="20"/>
          <w:szCs w:val="20"/>
          <w:color w:val="auto"/>
        </w:rPr>
      </w:pPr>
    </w:p>
    <w:p>
      <w:pPr>
        <w:ind w:left="7480"/>
        <w:spacing w:after="0"/>
        <w:rPr>
          <w:sz w:val="20"/>
          <w:szCs w:val="20"/>
          <w:color w:val="auto"/>
        </w:rPr>
      </w:pPr>
      <w:r>
        <w:rPr>
          <w:rFonts w:ascii="Arial" w:cs="Arial" w:eastAsia="Arial" w:hAnsi="Arial"/>
          <w:sz w:val="14"/>
          <w:szCs w:val="14"/>
          <w:b w:val="1"/>
          <w:bCs w:val="1"/>
          <w:color w:val="auto"/>
        </w:rPr>
        <w:t>Twenty-Six Weeks Ended</w:t>
      </w:r>
    </w:p>
    <w:p>
      <w:pPr>
        <w:spacing w:after="0" w:line="13"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-70485</wp:posOffset>
            </wp:positionV>
            <wp:extent cx="18865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tbl>
      <w:tblPr>
        <w:tblLayout w:type="fixed"/>
        <w:tblInd w:w="1660" w:type="dxa"/>
        <w:tblCellMar>
          <w:top w:w="0" w:type="dxa"/>
          <w:left w:w="0" w:type="dxa"/>
          <w:bottom w:w="0" w:type="dxa"/>
          <w:right w:w="0" w:type="dxa"/>
        </w:tblCellMar>
      </w:tblPr>
      <w:tr>
        <w:trPr>
          <w:trHeight w:val="174"/>
        </w:trPr>
        <w:tc>
          <w:tcPr>
            <w:tcW w:w="4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February 26, 2005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February 28, 2004</w:t>
            </w:r>
          </w:p>
        </w:tc>
      </w:tr>
      <w:tr>
        <w:trPr>
          <w:trHeight w:val="84"/>
        </w:trPr>
        <w:tc>
          <w:tcPr>
            <w:tcW w:w="4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340" w:type="dxa"/>
            <w:vAlign w:val="bottom"/>
            <w:tcBorders>
              <w:bottom w:val="single" w:sz="8" w:color="auto"/>
            </w:tcBorders>
            <w:gridSpan w:val="2"/>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r>
      <w:tr>
        <w:trPr>
          <w:trHeight w:val="250"/>
        </w:trPr>
        <w:tc>
          <w:tcPr>
            <w:tcW w:w="4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7"/>
              </w:rPr>
              <w:t>As Restated - Note 12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32,115</w:t>
            </w:r>
          </w:p>
        </w:tc>
        <w:tc>
          <w:tcPr>
            <w:tcW w:w="16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33,947</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activities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4,759</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Tax benefit of stock options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Change in assets and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Decrease (increase) in receivable and other assets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18,210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(11,446)</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in inventories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(12,926)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(23,101)</w:t>
            </w: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Increase in deferred income taxes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(2,248)</w:t>
            </w: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(Decrease) increase in accounts payable and accrued expenses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10,568</w:t>
            </w:r>
          </w:p>
        </w:tc>
        <w:tc>
          <w:tcPr>
            <w:tcW w:w="60" w:type="dxa"/>
            <w:vAlign w:val="bottom"/>
            <w:shd w:val="clear" w:color="auto" w:fill="CCEEFF"/>
          </w:tcPr>
          <w:p>
            <w:pPr>
              <w:spacing w:after="0"/>
              <w:rPr>
                <w:sz w:val="18"/>
                <w:szCs w:val="18"/>
                <w:color w:val="auto"/>
              </w:rPr>
            </w:pPr>
          </w:p>
        </w:tc>
      </w:tr>
      <w:tr>
        <w:trPr>
          <w:trHeight w:val="216"/>
        </w:trPr>
        <w:tc>
          <w:tcPr>
            <w:tcW w:w="4840" w:type="dxa"/>
            <w:vAlign w:val="bottom"/>
          </w:tcPr>
          <w:p>
            <w:pPr>
              <w:ind w:left="100"/>
              <w:spacing w:after="0"/>
              <w:rPr>
                <w:sz w:val="20"/>
                <w:szCs w:val="20"/>
                <w:color w:val="auto"/>
              </w:rPr>
            </w:pPr>
            <w:r>
              <w:rPr>
                <w:rFonts w:ascii="Arial" w:cs="Arial" w:eastAsia="Arial" w:hAnsi="Arial"/>
                <w:sz w:val="18"/>
                <w:szCs w:val="18"/>
                <w:color w:val="auto"/>
              </w:rPr>
              <w:t>Increase in income taxes payable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7,485</w:t>
            </w:r>
          </w:p>
        </w:tc>
        <w:tc>
          <w:tcPr>
            <w:tcW w:w="60" w:type="dxa"/>
            <w:vAlign w:val="bottom"/>
          </w:tcPr>
          <w:p>
            <w:pPr>
              <w:spacing w:after="0"/>
              <w:rPr>
                <w:sz w:val="18"/>
                <w:szCs w:val="18"/>
                <w:color w:val="auto"/>
              </w:rPr>
            </w:pPr>
          </w:p>
        </w:tc>
      </w:tr>
      <w:tr>
        <w:trPr>
          <w:trHeight w:val="216"/>
        </w:trPr>
        <w:tc>
          <w:tcPr>
            <w:tcW w:w="4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(Decrease) increase in postretirement benefits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60" w:type="dxa"/>
            <w:vAlign w:val="bottom"/>
            <w:shd w:val="clear" w:color="auto" w:fill="CCEEFF"/>
          </w:tcPr>
          <w:p>
            <w:pPr>
              <w:spacing w:after="0"/>
              <w:rPr>
                <w:sz w:val="18"/>
                <w:szCs w:val="18"/>
                <w:color w:val="auto"/>
              </w:rPr>
            </w:pPr>
          </w:p>
        </w:tc>
      </w:tr>
    </w:tbl>
    <w:p>
      <w:pPr>
        <w:sectPr>
          <w:pgSz w:w="11900" w:h="16897" w:orient="portrait"/>
          <w:cols w:equalWidth="0" w:num="1">
            <w:col w:w="11420"/>
          </w:cols>
          <w:pgMar w:left="240" w:top="131" w:right="239" w:bottom="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4436745</wp:posOffset>
            </wp:positionH>
            <wp:positionV relativeFrom="page">
              <wp:posOffset>88900</wp:posOffset>
            </wp:positionV>
            <wp:extent cx="18694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tbl>
      <w:tblPr>
        <w:tblLayout w:type="fixed"/>
        <w:tblInd w:w="1660" w:type="dxa"/>
        <w:tblCellMar>
          <w:top w:w="0" w:type="dxa"/>
          <w:left w:w="0" w:type="dxa"/>
          <w:bottom w:w="0" w:type="dxa"/>
          <w:right w:w="0" w:type="dxa"/>
        </w:tblCellMar>
      </w:tblPr>
      <w:tr>
        <w:trPr>
          <w:trHeight w:val="222"/>
        </w:trPr>
        <w:tc>
          <w:tcPr>
            <w:tcW w:w="50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46,207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25,687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vMerge w:val="restart"/>
          </w:tcPr>
          <w:p>
            <w:pPr>
              <w:spacing w:after="0"/>
              <w:rPr>
                <w:sz w:val="24"/>
                <w:szCs w:val="24"/>
                <w:color w:val="auto"/>
              </w:rPr>
            </w:pP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provided by investing activities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Purchases of property and equipment</w:t>
            </w:r>
          </w:p>
        </w:tc>
        <w:tc>
          <w:tcPr>
            <w:tcW w:w="3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(4,178)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Purchases of short-term investments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(147,473)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Proceeds from the sale of short-term investments</w:t>
            </w: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101,094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103,817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080" w:type="dxa"/>
            <w:vAlign w:val="bottom"/>
            <w:gridSpan w:val="2"/>
          </w:tcPr>
          <w:p>
            <w:pPr>
              <w:spacing w:after="0"/>
              <w:rPr>
                <w:sz w:val="20"/>
                <w:szCs w:val="20"/>
                <w:color w:val="auto"/>
              </w:rPr>
            </w:pPr>
            <w:r>
              <w:rPr>
                <w:rFonts w:ascii="Arial" w:cs="Arial" w:eastAsia="Arial" w:hAnsi="Arial"/>
                <w:sz w:val="18"/>
                <w:szCs w:val="18"/>
                <w:color w:val="auto"/>
              </w:rPr>
              <w:t>Net cash (used in) provided by investing activities</w:t>
            </w:r>
          </w:p>
        </w:tc>
        <w:tc>
          <w:tcPr>
            <w:tcW w:w="3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(50,922)</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35,028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06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used in financing activities and capital transactions</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Payments for purchase of common stock</w:t>
            </w:r>
          </w:p>
        </w:tc>
        <w:tc>
          <w:tcPr>
            <w:tcW w:w="3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(1,787)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(63,979)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Payment of cash dividends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(4,712)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80"/>
              <w:spacing w:after="0"/>
              <w:rPr>
                <w:sz w:val="20"/>
                <w:szCs w:val="20"/>
                <w:color w:val="auto"/>
              </w:rPr>
            </w:pPr>
            <w:r>
              <w:rPr>
                <w:rFonts w:ascii="Arial" w:cs="Arial" w:eastAsia="Arial" w:hAnsi="Arial"/>
                <w:sz w:val="18"/>
                <w:szCs w:val="18"/>
                <w:color w:val="auto"/>
              </w:rPr>
              <w:t>Proceeds from issuance of common and treasury stock</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0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and capital transactions</w:t>
            </w: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(63,270)</w:t>
            </w: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0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380" w:type="dxa"/>
            <w:vAlign w:val="bottom"/>
          </w:tcPr>
          <w:p>
            <w:pPr>
              <w:spacing w:after="0"/>
              <w:rPr>
                <w:sz w:val="24"/>
                <w:szCs w:val="2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(8,338)</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(2,555)</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0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 beginning of period</w:t>
            </w: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080" w:type="dxa"/>
            <w:vAlign w:val="bottom"/>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9"/>
        </w:trPr>
        <w:tc>
          <w:tcPr>
            <w:tcW w:w="5080" w:type="dxa"/>
            <w:vAlign w:val="bottom"/>
            <w:gridSpan w:val="2"/>
          </w:tcPr>
          <w:p>
            <w:pPr>
              <w:spacing w:after="0"/>
              <w:rPr>
                <w:sz w:val="20"/>
                <w:szCs w:val="20"/>
                <w:color w:val="auto"/>
              </w:rPr>
            </w:pPr>
            <w:r>
              <w:rPr>
                <w:rFonts w:ascii="Arial" w:cs="Arial" w:eastAsia="Arial" w:hAnsi="Arial"/>
                <w:sz w:val="18"/>
                <w:szCs w:val="18"/>
                <w:color w:val="auto"/>
              </w:rPr>
              <w:t>Cash and cash equivalents - end of period</w:t>
            </w: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16,107</w:t>
            </w:r>
          </w:p>
        </w:tc>
        <w:tc>
          <w:tcPr>
            <w:tcW w:w="180" w:type="dxa"/>
            <w:vAlign w:val="bottom"/>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6,717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See Unaudited Condensed Notes to Condensed Consolidated Financial Statements.</w:t>
      </w:r>
    </w:p>
    <w:p>
      <w:pPr>
        <w:spacing w:after="0" w:line="15"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Certain prior year information has been reclassified to conform to the current year presentation.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left="260" w:right="2160"/>
        <w:spacing w:after="0" w:line="243" w:lineRule="auto"/>
        <w:rPr>
          <w:sz w:val="20"/>
          <w:szCs w:val="20"/>
          <w:color w:val="auto"/>
        </w:rPr>
      </w:pPr>
      <w:r>
        <w:rPr>
          <w:rFonts w:ascii="Arial" w:cs="Arial" w:eastAsia="Arial" w:hAnsi="Arial"/>
          <w:sz w:val="22"/>
          <w:szCs w:val="22"/>
          <w:b w:val="1"/>
          <w:bCs w:val="1"/>
          <w:color w:val="auto"/>
        </w:rPr>
        <w:t>WINNEBAGO INDUSTRIES, INC. AND SUBSIDIARIES UNAUDITED CONDENSED NOTES TO CONDENSED CONSOLIDATED FINANCIAL STATEMENTS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99" w:lineRule="exact"/>
        <w:rPr>
          <w:sz w:val="20"/>
          <w:szCs w:val="20"/>
          <w:color w:val="auto"/>
        </w:rPr>
      </w:pPr>
    </w:p>
    <w:p>
      <w:pPr>
        <w:ind w:left="580" w:right="20"/>
        <w:spacing w:after="0" w:line="289" w:lineRule="auto"/>
        <w:rPr>
          <w:sz w:val="20"/>
          <w:szCs w:val="20"/>
          <w:color w:val="auto"/>
        </w:rPr>
      </w:pPr>
      <w:r>
        <w:rPr>
          <w:rFonts w:ascii="Arial" w:cs="Arial" w:eastAsia="Arial" w:hAnsi="Arial"/>
          <w:sz w:val="16"/>
          <w:szCs w:val="16"/>
          <w:color w:val="auto"/>
        </w:rPr>
        <w:t>In the opinion of management, the accompanying unaudited condensed consolidated financial statements contain all adjustments, consisting of normal recurring accruals, necessary to present fairly the consolidated financial position as of February 26, 2005, the consolidated results of operations for the 13 and 26 weeks ended February 26, 2005 and February 28, 2004 and the consolidated cash flows for the 26 weeks ended February 26, 2005 and February 28, 2004. The statement of income for the 26 weeks ended February 26, 2005, is not necessarily indicative of the results to be expected for the full year. The balance sheet data as of August 28, 2004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the Company’s Annual Report to Shareholders for the year ended August 28, 2004.</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Cash and Cash Equivalents</w:t>
      </w:r>
      <w:r>
        <w:rPr>
          <w:rFonts w:ascii="Arial" w:cs="Arial" w:eastAsia="Arial" w:hAnsi="Arial"/>
          <w:sz w:val="18"/>
          <w:szCs w:val="18"/>
          <w:color w:val="auto"/>
        </w:rPr>
        <w:t>. The Company maintains cash and money market account balances to meet daily liquidity needs.</w:t>
      </w:r>
    </w:p>
    <w:p>
      <w:pPr>
        <w:spacing w:after="0" w:line="252" w:lineRule="exact"/>
        <w:rPr>
          <w:sz w:val="20"/>
          <w:szCs w:val="20"/>
          <w:color w:val="auto"/>
        </w:rPr>
      </w:pPr>
    </w:p>
    <w:p>
      <w:pPr>
        <w:ind w:left="580"/>
        <w:spacing w:after="0" w:line="296" w:lineRule="auto"/>
        <w:rPr>
          <w:sz w:val="20"/>
          <w:szCs w:val="20"/>
          <w:color w:val="auto"/>
        </w:rPr>
      </w:pPr>
      <w:r>
        <w:rPr>
          <w:rFonts w:ascii="Arial" w:cs="Arial" w:eastAsia="Arial" w:hAnsi="Arial"/>
          <w:sz w:val="16"/>
          <w:szCs w:val="16"/>
          <w:b w:val="1"/>
          <w:bCs w:val="1"/>
          <w:color w:val="auto"/>
        </w:rPr>
        <w:t>Short-Term Investments</w:t>
      </w:r>
      <w:r>
        <w:rPr>
          <w:rFonts w:ascii="Arial" w:cs="Arial" w:eastAsia="Arial" w:hAnsi="Arial"/>
          <w:sz w:val="16"/>
          <w:szCs w:val="16"/>
          <w:color w:val="auto"/>
        </w:rPr>
        <w:t>.As of February 26, 2005, the Company classified its auction rate securities, municipal auction rate notes and other investment-grade marketable debt securities to short-term investments — available-for-sale securities. As a result, the Company reclassified $97.5 million from “cash and cash equivalents” to “short-term investments — available-for-sale-securities” as of February 26, 2005 with a corresponding reclassification of $51.1 million recorded as of August 28, 2004. The Company also made corresponding adjustments to its unaudited condensed consolidated statements of cash flows to reflect the purchases and sales or maturity of these securities as investing cash flows.</w:t>
      </w:r>
    </w:p>
    <w:p>
      <w:pPr>
        <w:spacing w:after="0" w:line="189" w:lineRule="exact"/>
        <w:rPr>
          <w:sz w:val="20"/>
          <w:szCs w:val="20"/>
          <w:color w:val="auto"/>
        </w:rPr>
      </w:pPr>
    </w:p>
    <w:p>
      <w:pPr>
        <w:ind w:left="580"/>
        <w:spacing w:after="0" w:line="291" w:lineRule="auto"/>
        <w:rPr>
          <w:sz w:val="20"/>
          <w:szCs w:val="20"/>
          <w:color w:val="auto"/>
        </w:rPr>
      </w:pPr>
      <w:r>
        <w:rPr>
          <w:rFonts w:ascii="Arial" w:cs="Arial" w:eastAsia="Arial" w:hAnsi="Arial"/>
          <w:sz w:val="16"/>
          <w:szCs w:val="16"/>
          <w:b w:val="1"/>
          <w:bCs w:val="1"/>
          <w:color w:val="auto"/>
        </w:rPr>
        <w:t>Accounting for Stock-Based Compensation</w:t>
      </w:r>
      <w:r>
        <w:rPr>
          <w:rFonts w:ascii="Arial" w:cs="Arial" w:eastAsia="Arial" w:hAnsi="Arial"/>
          <w:sz w:val="16"/>
          <w:szCs w:val="16"/>
          <w:color w:val="auto"/>
        </w:rPr>
        <w:t>. The Company adopted SFAS No. 123,</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Stock-Based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in fiscal 1997.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has elected to continue following the accounting guidance of Accounting Principles Board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for measurement and recognition of stock-based transactions with employees. No compensation cost has been recognized for options issued</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Company’s equity compensation plans because the exercise price of all options granted was not less than 100 percent of fair market value of the common stock on the date of grant. Had compensation cost for the stock options issued been determined based on the fair value at the grant date, consistent with provisions of SFAS No. 123, income and income per share for the 13 and 26 weeks ended February 26, 2005 and February 28, 2004 would have been changed to the proforma amounts as follows:</w:t>
      </w:r>
    </w:p>
    <w:p>
      <w:pPr>
        <w:spacing w:after="0" w:line="196" w:lineRule="exact"/>
        <w:rPr>
          <w:sz w:val="20"/>
          <w:szCs w:val="20"/>
          <w:color w:val="auto"/>
        </w:rPr>
      </w:pPr>
    </w:p>
    <w:tbl>
      <w:tblPr>
        <w:tblLayout w:type="fixed"/>
        <w:tblInd w:w="4940" w:type="dxa"/>
        <w:tblCellMar>
          <w:top w:w="0" w:type="dxa"/>
          <w:left w:w="0" w:type="dxa"/>
          <w:bottom w:w="0" w:type="dxa"/>
          <w:right w:w="0" w:type="dxa"/>
        </w:tblCellMar>
      </w:tblPr>
      <w:tr>
        <w:trPr>
          <w:trHeight w:val="174"/>
        </w:trPr>
        <w:tc>
          <w:tcPr>
            <w:tcW w:w="3020" w:type="dxa"/>
            <w:vAlign w:val="bottom"/>
            <w:gridSpan w:val="3"/>
          </w:tcPr>
          <w:p>
            <w:pPr>
              <w:ind w:left="840"/>
              <w:spacing w:after="0"/>
              <w:rPr>
                <w:sz w:val="20"/>
                <w:szCs w:val="20"/>
                <w:color w:val="auto"/>
              </w:rPr>
            </w:pPr>
            <w:r>
              <w:rPr>
                <w:rFonts w:ascii="Arial" w:cs="Arial" w:eastAsia="Arial" w:hAnsi="Arial"/>
                <w:sz w:val="14"/>
                <w:szCs w:val="14"/>
                <w:b w:val="1"/>
                <w:bCs w:val="1"/>
                <w:color w:val="auto"/>
              </w:rPr>
              <w:t>Thirteen Weeks Ended</w:t>
            </w:r>
          </w:p>
        </w:tc>
        <w:tc>
          <w:tcPr>
            <w:tcW w:w="420" w:type="dxa"/>
            <w:vAlign w:val="bottom"/>
          </w:tcPr>
          <w:p>
            <w:pPr>
              <w:spacing w:after="0"/>
              <w:rPr>
                <w:sz w:val="15"/>
                <w:szCs w:val="15"/>
                <w:color w:val="auto"/>
              </w:rPr>
            </w:pPr>
          </w:p>
        </w:tc>
        <w:tc>
          <w:tcPr>
            <w:tcW w:w="2960" w:type="dxa"/>
            <w:vAlign w:val="bottom"/>
            <w:gridSpan w:val="3"/>
          </w:tcPr>
          <w:p>
            <w:pPr>
              <w:ind w:left="740"/>
              <w:spacing w:after="0"/>
              <w:rPr>
                <w:sz w:val="20"/>
                <w:szCs w:val="20"/>
                <w:color w:val="auto"/>
              </w:rPr>
            </w:pPr>
            <w:r>
              <w:rPr>
                <w:rFonts w:ascii="Arial" w:cs="Arial" w:eastAsia="Arial" w:hAnsi="Arial"/>
                <w:sz w:val="14"/>
                <w:szCs w:val="14"/>
                <w:b w:val="1"/>
                <w:bCs w:val="1"/>
                <w:color w:val="auto"/>
              </w:rPr>
              <w:t>Twenty-Six Weeks Ended</w:t>
            </w:r>
          </w:p>
        </w:tc>
      </w:tr>
      <w:tr>
        <w:trPr>
          <w:trHeight w:val="95"/>
        </w:trPr>
        <w:tc>
          <w:tcPr>
            <w:tcW w:w="1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263"/>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9"/>
              </w:rPr>
              <w:t>February 26, 2005</w:t>
            </w:r>
          </w:p>
        </w:tc>
        <w:tc>
          <w:tcPr>
            <w:tcW w:w="420" w:type="dxa"/>
            <w:vAlign w:val="bottom"/>
          </w:tcPr>
          <w:p>
            <w:pPr>
              <w:spacing w:after="0"/>
              <w:rPr>
                <w:sz w:val="22"/>
                <w:szCs w:val="22"/>
                <w:color w:val="auto"/>
              </w:rPr>
            </w:pPr>
          </w:p>
        </w:tc>
        <w:tc>
          <w:tcPr>
            <w:tcW w:w="1300" w:type="dxa"/>
            <w:vAlign w:val="bottom"/>
          </w:tcPr>
          <w:p>
            <w:pPr>
              <w:ind w:left="120"/>
              <w:spacing w:after="0"/>
              <w:rPr>
                <w:sz w:val="20"/>
                <w:szCs w:val="20"/>
                <w:color w:val="auto"/>
              </w:rPr>
            </w:pPr>
            <w:r>
              <w:rPr>
                <w:rFonts w:ascii="Arial" w:cs="Arial" w:eastAsia="Arial" w:hAnsi="Arial"/>
                <w:sz w:val="14"/>
                <w:szCs w:val="14"/>
                <w:b w:val="1"/>
                <w:bCs w:val="1"/>
                <w:color w:val="auto"/>
                <w:w w:val="98"/>
              </w:rPr>
              <w:t>February 28, 2004</w:t>
            </w:r>
          </w:p>
        </w:tc>
        <w:tc>
          <w:tcPr>
            <w:tcW w:w="4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7"/>
              </w:rPr>
              <w:t>February 26, 2005</w:t>
            </w:r>
          </w:p>
        </w:tc>
        <w:tc>
          <w:tcPr>
            <w:tcW w:w="400" w:type="dxa"/>
            <w:vAlign w:val="bottom"/>
          </w:tcPr>
          <w:p>
            <w:pPr>
              <w:spacing w:after="0"/>
              <w:rPr>
                <w:sz w:val="22"/>
                <w:szCs w:val="22"/>
                <w:color w:val="auto"/>
              </w:rPr>
            </w:pP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w w:val="98"/>
              </w:rPr>
              <w:t>February 28, 2004</w:t>
            </w:r>
          </w:p>
        </w:tc>
      </w:tr>
      <w:tr>
        <w:trPr>
          <w:trHeight w:val="95"/>
        </w:trPr>
        <w:tc>
          <w:tcPr>
            <w:tcW w:w="1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256"/>
        </w:trPr>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6"/>
              </w:rPr>
              <w:t>As Restated - Note 12</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6"/>
              </w:rPr>
              <w:t>As Restated - Note 12</w:t>
            </w: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00"/>
          </w:cols>
          <w:pgMar w:left="240" w:top="253" w:right="259" w:bottom="0" w:gutter="0" w:footer="0" w:header="0"/>
        </w:sectPr>
      </w:pPr>
    </w:p>
    <w:p>
      <w:pPr>
        <w:spacing w:after="0"/>
        <w:rPr>
          <w:sz w:val="20"/>
          <w:szCs w:val="20"/>
          <w:color w:val="auto"/>
        </w:rPr>
      </w:pPr>
      <w:r>
        <w:rPr>
          <w:rFonts w:ascii="Arial" w:cs="Arial" w:eastAsia="Arial" w:hAnsi="Arial"/>
          <w:sz w:val="15"/>
          <w:szCs w:val="15"/>
          <w:color w:val="auto"/>
        </w:rPr>
        <w:t>In thousands, except per-share amounts</w:t>
      </w:r>
    </w:p>
    <w:p>
      <w:pPr>
        <w:sectPr>
          <w:pgSz w:w="11900" w:h="16838" w:orient="portrait"/>
          <w:cols w:equalWidth="0" w:num="1">
            <w:col w:w="11400"/>
          </w:cols>
          <w:pgMar w:left="240" w:top="253" w:right="259"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 as reported</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12,571</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32,115</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Less estimated stock-based employee compensation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determined under fair value based method</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(1,115)</w:t>
            </w:r>
          </w:p>
        </w:tc>
        <w:tc>
          <w:tcPr>
            <w:tcW w:w="46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(808)</w:t>
            </w:r>
          </w:p>
        </w:tc>
        <w:tc>
          <w:tcPr>
            <w:tcW w:w="4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(1,985)</w:t>
            </w: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 proforma</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11,456</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15,072</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30,130</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32,331</w:t>
            </w:r>
          </w:p>
        </w:tc>
        <w:tc>
          <w:tcPr>
            <w:tcW w:w="0" w:type="dxa"/>
            <w:vAlign w:val="bottom"/>
          </w:tcPr>
          <w:p>
            <w:pPr>
              <w:spacing w:after="0"/>
              <w:rPr>
                <w:sz w:val="1"/>
                <w:szCs w:val="1"/>
                <w:color w:val="auto"/>
              </w:rPr>
            </w:pPr>
          </w:p>
        </w:tc>
      </w:tr>
      <w:tr>
        <w:trPr>
          <w:trHeight w:val="118"/>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w:t>
            </w:r>
          </w:p>
        </w:tc>
        <w:tc>
          <w:tcPr>
            <w:tcW w:w="3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45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 as reported</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0.37</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0.95</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Less estimated stock-based employee compensation</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determined under fair value based method</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(0.03)</w:t>
            </w:r>
          </w:p>
        </w:tc>
        <w:tc>
          <w:tcPr>
            <w:tcW w:w="460" w:type="dxa"/>
            <w:vAlign w:val="bottom"/>
          </w:tcPr>
          <w:p>
            <w:pPr>
              <w:spacing w:after="0"/>
              <w:rPr>
                <w:sz w:val="19"/>
                <w:szCs w:val="19"/>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(0.02)</w:t>
            </w:r>
          </w:p>
        </w:tc>
        <w:tc>
          <w:tcPr>
            <w:tcW w:w="440" w:type="dxa"/>
            <w:vAlign w:val="bottom"/>
          </w:tcPr>
          <w:p>
            <w:pPr>
              <w:spacing w:after="0"/>
              <w:rPr>
                <w:sz w:val="19"/>
                <w:szCs w:val="19"/>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(0.06)</w:t>
            </w: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Basic - proforma</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0.34</w:t>
            </w: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0.89</w:t>
            </w:r>
          </w:p>
        </w:tc>
        <w:tc>
          <w:tcPr>
            <w:tcW w:w="4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3"/>
        </w:trPr>
        <w:tc>
          <w:tcPr>
            <w:tcW w:w="2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Diluted - as reported</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0.37</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0.46</w:t>
            </w:r>
          </w:p>
        </w:tc>
        <w:tc>
          <w:tcPr>
            <w:tcW w:w="44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0.94</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Less estimated stock-based employee compensation</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determined under fair value based method</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(0.04)</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(0.06)</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Diluted - proforma</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0.33</w:t>
            </w: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0.44</w:t>
            </w:r>
          </w:p>
        </w:tc>
        <w:tc>
          <w:tcPr>
            <w:tcW w:w="440" w:type="dxa"/>
            <w:vAlign w:val="bottom"/>
          </w:tcPr>
          <w:p>
            <w:pPr>
              <w:spacing w:after="0"/>
              <w:rPr>
                <w:sz w:val="24"/>
                <w:szCs w:val="24"/>
                <w:color w:val="auto"/>
              </w:rPr>
            </w:pPr>
          </w:p>
        </w:tc>
        <w:tc>
          <w:tcPr>
            <w:tcW w:w="440" w:type="dxa"/>
            <w:vAlign w:val="bottom"/>
          </w:tcPr>
          <w:p>
            <w:pPr>
              <w:jc w:val="right"/>
              <w:ind w:right="252"/>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0.88</w:t>
            </w:r>
          </w:p>
        </w:tc>
        <w:tc>
          <w:tcPr>
            <w:tcW w:w="440" w:type="dxa"/>
            <w:vAlign w:val="bottom"/>
          </w:tcPr>
          <w:p>
            <w:pPr>
              <w:jc w:val="right"/>
              <w:ind w:right="232"/>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48"/>
        </w:trPr>
        <w:tc>
          <w:tcPr>
            <w:tcW w:w="20" w:type="dxa"/>
            <w:vAlign w:val="bottom"/>
            <w:vMerge w:val="restart"/>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ind w:left="8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33,672</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33,928</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33,647</w:t>
            </w:r>
          </w:p>
        </w:tc>
        <w:tc>
          <w:tcPr>
            <w:tcW w:w="44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34,613</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34,254</w:t>
            </w: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34,545</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34,224</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35,196</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352"/>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-3372485</wp:posOffset>
            </wp:positionV>
            <wp:extent cx="127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-3372485</wp:posOffset>
            </wp:positionV>
            <wp:extent cx="12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-3372485</wp:posOffset>
            </wp:positionV>
            <wp:extent cx="127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-3372485</wp:posOffset>
            </wp:positionV>
            <wp:extent cx="127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-3372485</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-3372485</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-3372485</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-3372485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-2232025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-2232025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-2232025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-2232025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-2232025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-2232025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-2232025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-2232025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-1228725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-1228725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-1228725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-1228725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-1228725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-1228725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-1228725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-1228725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-645795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-645795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-645795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-645795</wp:posOffset>
            </wp:positionV>
            <wp:extent cx="12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-645795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-645795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-645795</wp:posOffset>
            </wp:positionV>
            <wp:extent cx="127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-645795</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-353695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3133090</wp:posOffset>
            </wp:positionH>
            <wp:positionV relativeFrom="paragraph">
              <wp:posOffset>-353695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-353695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-353695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6100445</wp:posOffset>
            </wp:positionH>
            <wp:positionV relativeFrom="paragraph">
              <wp:posOffset>-353695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-353695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-353695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-353695</wp:posOffset>
            </wp:positionV>
            <wp:extent cx="12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3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Company estimated the fair values using the Black-Scholes option-pricing model, modified for dividends and using the following assumptions:</w:t>
      </w:r>
    </w:p>
    <w:p>
      <w:pPr>
        <w:spacing w:after="0" w:line="271"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860" w:type="dxa"/>
            <w:vAlign w:val="bottom"/>
          </w:tcPr>
          <w:p>
            <w:pPr>
              <w:jc w:val="right"/>
              <w:ind w:right="716"/>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80" w:type="dxa"/>
            <w:vAlign w:val="bottom"/>
          </w:tcPr>
          <w:p>
            <w:pPr>
              <w:jc w:val="right"/>
              <w:ind w:right="716"/>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8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Risk-free rate</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3.25%</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2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46.35 - 46.56%</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48.19 - 48.54%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Expected option term</w:t>
            </w:r>
          </w:p>
        </w:tc>
        <w:tc>
          <w:tcPr>
            <w:tcW w:w="2040" w:type="dxa"/>
            <w:vAlign w:val="bottom"/>
            <w:gridSpan w:val="2"/>
          </w:tcPr>
          <w:p>
            <w:pPr>
              <w:jc w:val="right"/>
              <w:ind w:right="80"/>
              <w:spacing w:after="0"/>
              <w:rPr>
                <w:sz w:val="20"/>
                <w:szCs w:val="20"/>
                <w:color w:val="auto"/>
              </w:rPr>
            </w:pPr>
            <w:r>
              <w:rPr>
                <w:rFonts w:ascii="Arial" w:cs="Arial" w:eastAsia="Arial" w:hAnsi="Arial"/>
                <w:sz w:val="18"/>
                <w:szCs w:val="18"/>
                <w:color w:val="auto"/>
              </w:rPr>
              <w:t>3 years</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4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$ 10.87</w:t>
            </w:r>
          </w:p>
        </w:tc>
        <w:tc>
          <w:tcPr>
            <w:tcW w:w="1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99" w:lineRule="exact"/>
        <w:rPr>
          <w:sz w:val="20"/>
          <w:szCs w:val="20"/>
          <w:color w:val="auto"/>
        </w:rPr>
      </w:pPr>
    </w:p>
    <w:p>
      <w:pPr>
        <w:ind w:left="580" w:right="40"/>
        <w:spacing w:after="0" w:line="289" w:lineRule="auto"/>
        <w:rPr>
          <w:sz w:val="20"/>
          <w:szCs w:val="20"/>
          <w:color w:val="auto"/>
        </w:rPr>
      </w:pPr>
      <w:r>
        <w:rPr>
          <w:rFonts w:ascii="Arial" w:cs="Arial" w:eastAsia="Arial" w:hAnsi="Arial"/>
          <w:sz w:val="16"/>
          <w:szCs w:val="16"/>
          <w:color w:val="auto"/>
        </w:rPr>
        <w:t xml:space="preserve">In January 2004, the FASB issued FASB Staff Position (FSP) FAS 106-1, </w:t>
      </w:r>
      <w:r>
        <w:rPr>
          <w:rFonts w:ascii="Arial" w:cs="Arial" w:eastAsia="Arial" w:hAnsi="Arial"/>
          <w:sz w:val="16"/>
          <w:szCs w:val="16"/>
          <w:i w:val="1"/>
          <w:iCs w:val="1"/>
          <w:color w:val="auto"/>
        </w:rPr>
        <w:t>Accounting and Disclosure Requirements Related to the Medicare Prescription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Drug, Improvement and Modernization Act of 2003 </w:t>
      </w:r>
      <w:r>
        <w:rPr>
          <w:rFonts w:ascii="Arial" w:cs="Arial" w:eastAsia="Arial" w:hAnsi="Arial"/>
          <w:sz w:val="16"/>
          <w:szCs w:val="16"/>
          <w:color w:val="auto"/>
        </w:rPr>
        <w:t>(Act). The Act introduced a prescription drug benefit and federal subsidy to sponsors of retiree health</w:t>
      </w:r>
      <w:r>
        <w:rPr>
          <w:rFonts w:ascii="Arial" w:cs="Arial" w:eastAsia="Arial" w:hAnsi="Arial"/>
          <w:sz w:val="16"/>
          <w:szCs w:val="16"/>
          <w:i w:val="1"/>
          <w:iCs w:val="1"/>
          <w:color w:val="auto"/>
        </w:rPr>
        <w:t xml:space="preserve"> </w:t>
      </w:r>
      <w:r>
        <w:rPr>
          <w:rFonts w:ascii="Arial" w:cs="Arial" w:eastAsia="Arial" w:hAnsi="Arial"/>
          <w:sz w:val="16"/>
          <w:szCs w:val="16"/>
          <w:color w:val="auto"/>
        </w:rPr>
        <w:t>care benefit plans. The FSP permits a sponsor of a postretirement health care plan that provides a prescription drug benefit to make a one-time election to defer recognition of the effects of the Act in accounting for its retiree healthcare benefit plans until authoritative guidance on accounting for subsidies provided by the Act is issued. SFAS No. 106, “Employers’ Accounting for Postretirement Benefits Other Than Pensions,” requires enacted changes in relevant laws to be considered in current period measurements of postretirement benefit costs and accumulated postretirement benefit obligation. The Company provides prescription drug benefits to certain eligible retirees and elected the one-time deferral of accounting for the effects of the Act in the second quarter of fiscal 2004 until authoritative accounting guidance was provided.</w:t>
      </w:r>
    </w:p>
    <w:p>
      <w:pPr>
        <w:spacing w:after="0" w:line="199"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In May 2004, the FASB issued FSP FAS 106-2 to provide guidance on accounting for the effects of the Act and supercedes FSP FAS 106-1. This FSP is effective for the first interim or annual accounting period beginning after June 15, 2004. In addition, this FSP requires employers to provide certain disclosures in their future financial statements regarding the effect of the Act and the related subsidy on postretirement health obligations and net periodic postretirement benefit cost. The Company does not believe the federal subsidy will have a material effect, if any, upon adoption of the FSP in fiscal 2006 due to the September 2004 plan amendment discussed further in Note 6.</w:t>
      </w:r>
    </w:p>
    <w:p>
      <w:pPr>
        <w:spacing w:after="0" w:line="197" w:lineRule="exact"/>
        <w:rPr>
          <w:sz w:val="20"/>
          <w:szCs w:val="20"/>
          <w:color w:val="auto"/>
        </w:rPr>
      </w:pPr>
    </w:p>
    <w:p>
      <w:pPr>
        <w:ind w:left="580" w:right="60"/>
        <w:spacing w:after="0" w:line="294" w:lineRule="auto"/>
        <w:rPr>
          <w:sz w:val="20"/>
          <w:szCs w:val="20"/>
          <w:color w:val="auto"/>
        </w:rPr>
      </w:pPr>
      <w:r>
        <w:rPr>
          <w:rFonts w:ascii="Arial" w:cs="Arial" w:eastAsia="Arial" w:hAnsi="Arial"/>
          <w:sz w:val="16"/>
          <w:szCs w:val="16"/>
          <w:color w:val="auto"/>
        </w:rPr>
        <w:t xml:space="preserve">In December 2004, the FASB issued Statement of Financial Accounting Standards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which amends FASB Statement Nos. 123 and 95. SFAS 123R requires all companies to measure compensation cost for all share-based payments (including employee stock options) at fair value, and will be effective for public companies for interim or annual periods beginning after June 15, 2005. This new standard may be adopted in one of two ways — the modified prospective transition method or the modified retrospective transition method. The Company is currently evaluating the effect that the accounting change will have on its financial position and results of operations.</w:t>
      </w:r>
    </w:p>
    <w:p>
      <w:pPr>
        <w:spacing w:after="0" w:line="197" w:lineRule="exact"/>
        <w:rPr>
          <w:sz w:val="20"/>
          <w:szCs w:val="20"/>
          <w:color w:val="auto"/>
        </w:rPr>
      </w:pPr>
    </w:p>
    <w:p>
      <w:pPr>
        <w:ind w:left="580" w:right="40"/>
        <w:spacing w:after="0" w:line="254" w:lineRule="auto"/>
        <w:rPr>
          <w:sz w:val="20"/>
          <w:szCs w:val="20"/>
          <w:color w:val="auto"/>
        </w:rPr>
      </w:pPr>
      <w:r>
        <w:rPr>
          <w:rFonts w:ascii="Arial" w:cs="Arial" w:eastAsia="Arial" w:hAnsi="Arial"/>
          <w:sz w:val="18"/>
          <w:szCs w:val="18"/>
          <w:color w:val="auto"/>
        </w:rPr>
        <w:t>In November 2004, the FASB issued Statement of Financial Accounting Standards No. 151, Inventory Costs (“SFAS 151”), which amends Accounting Research Bulletin (ARB) No. 43, Chapter 4. SFAS 151 clarifies the accounting for abnormal amounts of idle facility expense, freight, handling costs and wasted material (spoilage) as current-period charges regardless of whether they meet the criteria of “so abnormal.” SFAS 151 also requires the allocation of fixed production overhead to the costs of conversion based on the normal capacity of the production facilities. SFAS 151 will be effective during fiscal years beginning after June 15, 2005. The Company is currently evaluating the effect that the accounting change will have on its financial position and results of operations.</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131" w:right="239" w:bottom="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7940"/>
                    </a:xfrm>
                    <a:prstGeom prst="rect">
                      <a:avLst/>
                    </a:prstGeom>
                    <a:noFill/>
                  </pic:spPr>
                </pic:pic>
              </a:graphicData>
            </a:graphic>
          </wp:anchor>
        </w:drawing>
        <w:t>NOTE 3: Short-Term Investments - Available-For-Sale-Securities</w:t>
      </w:r>
    </w:p>
    <w:p>
      <w:pPr>
        <w:spacing w:after="0" w:line="312" w:lineRule="exact"/>
        <w:rPr>
          <w:sz w:val="20"/>
          <w:szCs w:val="20"/>
          <w:color w:val="auto"/>
        </w:rPr>
      </w:pPr>
    </w:p>
    <w:p>
      <w:pPr>
        <w:ind w:left="580" w:right="20"/>
        <w:spacing w:after="0" w:line="290" w:lineRule="auto"/>
        <w:rPr>
          <w:sz w:val="20"/>
          <w:szCs w:val="20"/>
          <w:color w:val="auto"/>
        </w:rPr>
      </w:pPr>
      <w:r>
        <w:rPr>
          <w:rFonts w:ascii="Arial" w:cs="Arial" w:eastAsia="Arial" w:hAnsi="Arial"/>
          <w:sz w:val="16"/>
          <w:szCs w:val="16"/>
          <w:color w:val="auto"/>
        </w:rPr>
        <w:t>The Company’s short-term investments consist of auction rate preferred securities, municipal auction rate notes and other investment-grade marketable debt securities. The original maturities of these investments may be over one year. However, these securities have certain economic characteristics of short-term investments due to a rate-setting mechanism and the ability to sell them through a Dutch auction process that occurs at pre-determined intervals of less than one year. The Company’s short-term investments are classified as available-for-sale securities due to management’s intent regarding these securities. The carrying value of these securities approximates fair market value due to their liquidity profile. As of February 26, 2005 and August 28, 2004, there were no unrealized gains or losses associated with these investments. The Company had approximately $97.5 million and $51.1 million in short-term investments as of February 26, 2005 and August 28, 2004, respectively.</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312"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21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Inventories consist of the following (dollars in thousands):</w:t>
      </w:r>
    </w:p>
    <w:p>
      <w:pPr>
        <w:spacing w:after="0" w:line="248"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20" w:type="dxa"/>
            <w:vAlign w:val="bottom"/>
            <w:gridSpan w:val="3"/>
          </w:tcPr>
          <w:p>
            <w:pPr>
              <w:jc w:val="right"/>
              <w:ind w:right="1340"/>
              <w:spacing w:after="0"/>
              <w:rPr>
                <w:sz w:val="20"/>
                <w:szCs w:val="20"/>
                <w:color w:val="auto"/>
              </w:rPr>
            </w:pPr>
            <w:r>
              <w:rPr>
                <w:rFonts w:ascii="Arial" w:cs="Arial" w:eastAsia="Arial" w:hAnsi="Arial"/>
                <w:sz w:val="14"/>
                <w:szCs w:val="14"/>
                <w:b w:val="1"/>
                <w:bCs w:val="1"/>
                <w:color w:val="auto"/>
                <w:w w:val="98"/>
              </w:rPr>
              <w:t>February 26, 2005</w:t>
            </w:r>
          </w:p>
        </w:tc>
        <w:tc>
          <w:tcPr>
            <w:tcW w:w="220" w:type="dxa"/>
            <w:vAlign w:val="bottom"/>
          </w:tcPr>
          <w:p>
            <w:pPr>
              <w:spacing w:after="0"/>
              <w:rPr>
                <w:sz w:val="15"/>
                <w:szCs w:val="15"/>
                <w:color w:val="auto"/>
              </w:rPr>
            </w:pPr>
          </w:p>
        </w:tc>
        <w:tc>
          <w:tcPr>
            <w:tcW w:w="160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5"/>
              </w:rPr>
              <w:t>August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86"/>
              </w:rPr>
              <w:t>As Restated - Note 12</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20"/>
                <w:szCs w:val="20"/>
                <w:color w:val="auto"/>
              </w:rPr>
            </w:pPr>
          </w:p>
        </w:tc>
        <w:tc>
          <w:tcPr>
            <w:tcW w:w="3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67,666</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47,987</w:t>
            </w:r>
          </w:p>
        </w:tc>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47,337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56,805</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172,458</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157,925</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LIFO reserve</w:t>
            </w:r>
          </w:p>
        </w:tc>
        <w:tc>
          <w:tcPr>
            <w:tcW w:w="14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(28,799)</w:t>
            </w:r>
          </w:p>
        </w:tc>
        <w:tc>
          <w:tcPr>
            <w:tcW w:w="22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(27,192)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143,659</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130,733</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4359275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3364865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Warranties</w:t>
      </w:r>
    </w:p>
    <w:p>
      <w:pPr>
        <w:spacing w:after="0" w:line="312" w:lineRule="exact"/>
        <w:rPr>
          <w:sz w:val="20"/>
          <w:szCs w:val="20"/>
          <w:color w:val="auto"/>
        </w:rPr>
      </w:pPr>
    </w:p>
    <w:p>
      <w:pPr>
        <w:jc w:val="both"/>
        <w:ind w:left="580" w:right="80"/>
        <w:spacing w:after="0" w:line="259" w:lineRule="auto"/>
        <w:rPr>
          <w:sz w:val="20"/>
          <w:szCs w:val="20"/>
          <w:color w:val="auto"/>
        </w:rPr>
      </w:pPr>
      <w:r>
        <w:rPr>
          <w:rFonts w:ascii="Arial" w:cs="Arial" w:eastAsia="Arial" w:hAnsi="Arial"/>
          <w:sz w:val="18"/>
          <w:szCs w:val="18"/>
          <w:color w:val="auto"/>
        </w:rPr>
        <w:t>Estimated warranty costs are provided at the time of sale of the warranted products. Estimates of future warranty costs are based on prior experience and known current events. The changes in the provision for warranty reserve for the 26 weeks ended February 26, 2005 and February 28, 2004 are as follows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6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98"/>
              </w:rPr>
              <w:t>February 26, 2005</w:t>
            </w:r>
          </w:p>
        </w:tc>
        <w:tc>
          <w:tcPr>
            <w:tcW w:w="220" w:type="dxa"/>
            <w:vAlign w:val="bottom"/>
          </w:tcPr>
          <w:p>
            <w:pPr>
              <w:spacing w:after="0"/>
              <w:rPr>
                <w:sz w:val="15"/>
                <w:szCs w:val="15"/>
                <w:color w:val="auto"/>
              </w:rPr>
            </w:pPr>
          </w:p>
        </w:tc>
        <w:tc>
          <w:tcPr>
            <w:tcW w:w="17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February 28, 2004</w:t>
            </w: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66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6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66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13,356</w:t>
            </w: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Provision</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6,865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8,030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Claims paid</w:t>
            </w:r>
          </w:p>
        </w:tc>
        <w:tc>
          <w:tcPr>
            <w:tcW w:w="220" w:type="dxa"/>
            <w:vAlign w:val="bottom"/>
            <w:shd w:val="clear" w:color="auto" w:fill="CCEEFF"/>
          </w:tcPr>
          <w:p>
            <w:pPr>
              <w:spacing w:after="0"/>
              <w:rPr>
                <w:sz w:val="18"/>
                <w:szCs w:val="18"/>
                <w:color w:val="auto"/>
              </w:rPr>
            </w:pPr>
          </w:p>
        </w:tc>
        <w:tc>
          <w:tcPr>
            <w:tcW w:w="220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(7,069)</w:t>
            </w:r>
          </w:p>
        </w:tc>
        <w:tc>
          <w:tcPr>
            <w:tcW w:w="22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(5,895)</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60" w:type="dxa"/>
            <w:vAlign w:val="bottom"/>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60" w:type="dxa"/>
            <w:vAlign w:val="bottom"/>
            <w:gridSpan w:val="2"/>
          </w:tcPr>
          <w:p>
            <w:pPr>
              <w:ind w:left="1660"/>
              <w:spacing w:after="0"/>
              <w:rPr>
                <w:sz w:val="20"/>
                <w:szCs w:val="20"/>
                <w:color w:val="auto"/>
              </w:rPr>
            </w:pPr>
            <w:r>
              <w:rPr>
                <w:rFonts w:ascii="Arial" w:cs="Arial" w:eastAsia="Arial" w:hAnsi="Arial"/>
                <w:sz w:val="18"/>
                <w:szCs w:val="18"/>
                <w:color w:val="auto"/>
              </w:rPr>
              <w:t>Balance at end of period</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13,152</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11,890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166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16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jc w:val="right"/>
              <w:ind w:right="1276"/>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660" w:type="dxa"/>
            <w:vAlign w:val="bottom"/>
            <w:tcBorders>
              <w:bottom w:val="single" w:sz="8" w:color="808080"/>
            </w:tcBorders>
          </w:tcPr>
          <w:p>
            <w:pPr>
              <w:spacing w:after="0"/>
              <w:rPr>
                <w:sz w:val="21"/>
                <w:szCs w:val="21"/>
                <w:color w:val="auto"/>
              </w:rPr>
            </w:pPr>
          </w:p>
        </w:tc>
        <w:tc>
          <w:tcPr>
            <w:tcW w:w="370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5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54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220" w:type="dxa"/>
            <w:vAlign w:val="bottom"/>
            <w:tcBorders>
              <w:bottom w:val="single" w:sz="8" w:color="808080"/>
            </w:tcBorders>
          </w:tcPr>
          <w:p>
            <w:pPr>
              <w:spacing w:after="0"/>
              <w:rPr>
                <w:sz w:val="21"/>
                <w:szCs w:val="21"/>
                <w:color w:val="auto"/>
              </w:rPr>
            </w:pPr>
          </w:p>
        </w:tc>
        <w:tc>
          <w:tcPr>
            <w:tcW w:w="16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-520065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3407410</wp:posOffset>
            </wp:positionH>
            <wp:positionV relativeFrom="paragraph">
              <wp:posOffset>-520065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-520065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-520065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Employee Retirement Plans</w:t>
      </w:r>
    </w:p>
    <w:p>
      <w:pPr>
        <w:spacing w:after="0" w:line="312" w:lineRule="exact"/>
        <w:rPr>
          <w:sz w:val="20"/>
          <w:szCs w:val="20"/>
          <w:color w:val="auto"/>
        </w:rPr>
      </w:pPr>
    </w:p>
    <w:p>
      <w:pPr>
        <w:ind w:left="580" w:right="120"/>
        <w:spacing w:after="0" w:line="291" w:lineRule="auto"/>
        <w:rPr>
          <w:sz w:val="20"/>
          <w:szCs w:val="20"/>
          <w:color w:val="auto"/>
        </w:rPr>
      </w:pPr>
      <w:r>
        <w:rPr>
          <w:rFonts w:ascii="Arial" w:cs="Arial" w:eastAsia="Arial" w:hAnsi="Arial"/>
          <w:sz w:val="16"/>
          <w:szCs w:val="16"/>
          <w:color w:val="auto"/>
        </w:rPr>
        <w:t>The Company provides certain health care and other benefits for retired employees who have fulfilled eligibility requirements at age 55 with 15 years of continuous service. Retirees are required to pay a monthly premium for medical coverage based on years of service at retirement and their age. Effective September 2004, the Company amended its postretirement health care benefit plan to establish a maximum monthly amount the Company will pay per retiree. The plan amendment will significantly reduce the cost of the plan and resulted in a $40.4 million reduction in the accumulated postretirement benefit obligation as of September 2004 which was required to be deferred and is being amortized over the approximate remaining service period of active participants. Net postretirement benefit expense consisted of the following components (dollars in thousands):</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0" w:type="dxa"/>
            <w:vAlign w:val="bottom"/>
            <w:gridSpan w:val="7"/>
          </w:tcPr>
          <w:p>
            <w:pPr>
              <w:ind w:left="720"/>
              <w:spacing w:after="0"/>
              <w:rPr>
                <w:sz w:val="20"/>
                <w:szCs w:val="20"/>
                <w:color w:val="auto"/>
              </w:rPr>
            </w:pPr>
            <w:r>
              <w:rPr>
                <w:rFonts w:ascii="Arial" w:cs="Arial" w:eastAsia="Arial" w:hAnsi="Arial"/>
                <w:sz w:val="14"/>
                <w:szCs w:val="14"/>
                <w:b w:val="1"/>
                <w:bCs w:val="1"/>
                <w:color w:val="auto"/>
              </w:rPr>
              <w:t>Thirteen Weeks Ended</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8"/>
          </w:tcPr>
          <w:p>
            <w:pPr>
              <w:ind w:left="6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February 26,</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February 28,</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8"/>
              </w:rPr>
              <w:t>February 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6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61"/>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634</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455</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50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500" w:type="dxa"/>
            <w:vAlign w:val="bottom"/>
            <w:gridSpan w:val="2"/>
          </w:tcPr>
          <w:p>
            <w:pPr>
              <w:spacing w:after="0"/>
              <w:rPr>
                <w:sz w:val="20"/>
                <w:szCs w:val="20"/>
                <w:color w:val="auto"/>
              </w:rPr>
            </w:pPr>
            <w:r>
              <w:rPr>
                <w:rFonts w:ascii="Arial" w:cs="Arial" w:eastAsia="Arial" w:hAnsi="Arial"/>
                <w:sz w:val="18"/>
                <w:szCs w:val="18"/>
                <w:color w:val="auto"/>
              </w:rPr>
              <w:t>Net periodic benefit (income) cost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420" w:type="dxa"/>
            <w:vAlign w:val="bottom"/>
            <w:gridSpan w:val="3"/>
          </w:tcPr>
          <w:p>
            <w:pPr>
              <w:jc w:val="right"/>
              <w:ind w:right="240"/>
              <w:spacing w:after="0"/>
              <w:rPr>
                <w:sz w:val="20"/>
                <w:szCs w:val="20"/>
                <w:color w:val="auto"/>
              </w:rPr>
            </w:pPr>
            <w:r>
              <w:rPr>
                <w:rFonts w:ascii="Arial" w:cs="Arial" w:eastAsia="Arial" w:hAnsi="Arial"/>
                <w:sz w:val="18"/>
                <w:szCs w:val="18"/>
                <w:color w:val="auto"/>
              </w:rPr>
              <w:t>(65)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(129)</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3416300</wp:posOffset>
            </wp:positionH>
            <wp:positionV relativeFrom="paragraph">
              <wp:posOffset>-14605</wp:posOffset>
            </wp:positionV>
            <wp:extent cx="1270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2584450</wp:posOffset>
            </wp:positionH>
            <wp:positionV relativeFrom="paragraph">
              <wp:posOffset>-14605</wp:posOffset>
            </wp:positionV>
            <wp:extent cx="127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-14605</wp:posOffset>
            </wp:positionV>
            <wp:extent cx="12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49" w:right="239" w:bottom="276" w:gutter="0" w:footer="0" w:header="0"/>
        </w:sectPr>
      </w:pPr>
    </w:p>
    <w:bookmarkStart w:id="7" w:name="page8"/>
    <w:bookmarkEnd w:id="7"/>
    <w:p>
      <w:pPr>
        <w:ind w:right="200"/>
        <w:spacing w:after="0" w:line="306" w:lineRule="auto"/>
        <w:rPr>
          <w:sz w:val="20"/>
          <w:szCs w:val="20"/>
          <w:color w:val="auto"/>
        </w:rPr>
      </w:pPr>
      <w:r>
        <w:rPr>
          <w:rFonts w:ascii="Arial" w:cs="Arial" w:eastAsia="Arial" w:hAnsi="Arial"/>
          <w:sz w:val="16"/>
          <w:szCs w:val="16"/>
          <w:color w:val="auto"/>
        </w:rPr>
        <w:t>For accounting purposes, the Company is recognizing income from the plan in fiscal 2005 due to the amortization of the cost savings from the September 2004 amendment. However, the Company is still obligated to pay the cost of previously accrued and earned retiree benefits and paid approximately $262,000 and $313,000 of such benefits for the 26 weeks ended February 26, 2005 and February 28, 2004,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Contingent Liabilities and Commitments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Commitments.</w:t>
      </w:r>
    </w:p>
    <w:p>
      <w:pPr>
        <w:spacing w:after="0" w:line="299" w:lineRule="exact"/>
        <w:rPr>
          <w:sz w:val="20"/>
          <w:szCs w:val="20"/>
          <w:color w:val="auto"/>
        </w:rPr>
      </w:pPr>
    </w:p>
    <w:p>
      <w:pPr>
        <w:ind w:left="580" w:right="620"/>
        <w:spacing w:after="0" w:line="268" w:lineRule="auto"/>
        <w:rPr>
          <w:sz w:val="20"/>
          <w:szCs w:val="20"/>
          <w:color w:val="auto"/>
        </w:rPr>
      </w:pPr>
      <w:r>
        <w:rPr>
          <w:rFonts w:ascii="Arial" w:cs="Arial" w:eastAsia="Arial" w:hAnsi="Arial"/>
          <w:sz w:val="18"/>
          <w:szCs w:val="18"/>
          <w:color w:val="auto"/>
        </w:rPr>
        <w:t>It is customary practice for companies in the recreation vehicle industry to enter into repurchase agreements with lending institutions which have provided wholesale floorplan financing to dealers.</w:t>
      </w:r>
    </w:p>
    <w:p>
      <w:pPr>
        <w:spacing w:after="0" w:line="213" w:lineRule="exact"/>
        <w:rPr>
          <w:sz w:val="20"/>
          <w:szCs w:val="20"/>
          <w:color w:val="auto"/>
        </w:rPr>
      </w:pPr>
    </w:p>
    <w:p>
      <w:pPr>
        <w:ind w:left="580"/>
        <w:spacing w:after="0" w:line="287" w:lineRule="auto"/>
        <w:rPr>
          <w:sz w:val="20"/>
          <w:szCs w:val="20"/>
          <w:color w:val="auto"/>
        </w:rPr>
      </w:pPr>
      <w:r>
        <w:rPr>
          <w:rFonts w:ascii="Arial" w:cs="Arial" w:eastAsia="Arial" w:hAnsi="Arial"/>
          <w:sz w:val="16"/>
          <w:szCs w:val="16"/>
          <w:color w:val="auto"/>
        </w:rPr>
        <w:t>Most dealers are financed on a “floorplan” basis under which a bank or finance company lends the dealer all, or substantially all, of the purchase price, collateralized by a security interest in the merchandise purchased. These repurchase agreements provide that, in the event of default by the dealer on the agreement to pay the lending institution, the Company will repurchase the financed merchandise. The agreements provide that the Company’s liability will not exceed 100 percent of the dealer invoice and provide for periodic liability reductions based on the time since the date of the original invoice. These repurchase obligations expire upon the earlier to occur of (i) the dealer’s sale of the financed unit or (ii) one year from the date of the original invoice. The Company’s contingent obligations under these repurchase agreements are reduced by the proceeds received upon the resale of any repurchased unit. The Company’s contingent liability on these repurchase agreements was approximately $401,250,000 and $353,624,000 at February 26, 2005 and August 28, 2004, respectively. The Company’s actual losses under these repurchase agreements were approximately $33,000 and $-0- during the 26 weeks ended February 26, 2005 and February 28, 2004, respectively, and charged against the reserve the Company carries on its balance sheet. The reserve for repurchases at February 26, 2005 and February 28, 2004 was approximately $304,000 and $319,000, respectively.</w:t>
      </w:r>
    </w:p>
    <w:p>
      <w:pPr>
        <w:spacing w:after="0" w:line="204" w:lineRule="exact"/>
        <w:rPr>
          <w:sz w:val="20"/>
          <w:szCs w:val="20"/>
          <w:color w:val="auto"/>
        </w:rPr>
      </w:pPr>
    </w:p>
    <w:p>
      <w:pPr>
        <w:ind w:left="580" w:right="180"/>
        <w:spacing w:after="0" w:line="332" w:lineRule="auto"/>
        <w:rPr>
          <w:sz w:val="20"/>
          <w:szCs w:val="20"/>
          <w:color w:val="auto"/>
        </w:rPr>
      </w:pPr>
      <w:r>
        <w:rPr>
          <w:rFonts w:ascii="Arial" w:cs="Arial" w:eastAsia="Arial" w:hAnsi="Arial"/>
          <w:sz w:val="16"/>
          <w:szCs w:val="16"/>
          <w:color w:val="auto"/>
        </w:rPr>
        <w:t>The Company also entered into a repurchase agreement on February 1, 2002 with a banking institution which calls for a liability reduction of 2% of the original invoice every month for 24 months, at which time the repurchase obligation terminates. The Company’s contingent liability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4" w:lineRule="exact"/>
        <w:rPr>
          <w:sz w:val="20"/>
          <w:szCs w:val="20"/>
          <w:color w:val="auto"/>
        </w:rPr>
      </w:pPr>
    </w:p>
    <w:p>
      <w:pPr>
        <w:ind w:left="580" w:right="100"/>
        <w:spacing w:after="0" w:line="255" w:lineRule="auto"/>
        <w:rPr>
          <w:sz w:val="20"/>
          <w:szCs w:val="20"/>
          <w:color w:val="auto"/>
        </w:rPr>
      </w:pPr>
      <w:r>
        <w:rPr>
          <w:rFonts w:ascii="Arial" w:cs="Arial" w:eastAsia="Arial" w:hAnsi="Arial"/>
          <w:sz w:val="18"/>
          <w:szCs w:val="18"/>
          <w:color w:val="auto"/>
        </w:rPr>
        <w:t>under this agreement was approximately $-0- and $1,772,000 at February 26, 2005 and August 28, 2004, respectively. The Company did not incur any actual losses under this repurchase agreement during the 26 weeks ended February 26, 2005 and February 28, 2004. The initial agreement covered a two year period with the option, subject to annual renewal, at the discretion of the parties thereto. The agreement was renewed as of February 1, 2004. However, during the first quarter of fiscal 2005, the dealer involved transferred its financing to a different banking institution, thus eliminating the Company’s liability under this agreement.</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299" w:lineRule="exact"/>
        <w:rPr>
          <w:sz w:val="20"/>
          <w:szCs w:val="20"/>
          <w:color w:val="auto"/>
        </w:rPr>
      </w:pPr>
    </w:p>
    <w:p>
      <w:pPr>
        <w:ind w:left="580" w:right="140"/>
        <w:spacing w:after="0" w:line="287" w:lineRule="auto"/>
        <w:rPr>
          <w:sz w:val="20"/>
          <w:szCs w:val="20"/>
          <w:color w:val="auto"/>
        </w:rPr>
      </w:pPr>
      <w:r>
        <w:rPr>
          <w:rFonts w:ascii="Arial" w:cs="Arial" w:eastAsia="Arial" w:hAnsi="Arial"/>
          <w:sz w:val="16"/>
          <w:szCs w:val="16"/>
          <w:color w:val="auto"/>
        </w:rPr>
        <w:t>During the second quarter of fiscal 2002, the Company entered into a five year services agreement (the “Agreement”) with one of its suppliers (the “Supplier”) and the Forest City Economic Development, Inc., an Iowa non-profit corporation (the “FCED”), requiring the Supplier to provide RV paint services to the Company. Three of the Company’s officers have board seats on the 20 member FCED board. The FCED constructed and debt financed a paint facility on its land adjoining one of the Company’s manufacturing plants for the Supplier and the Supplier leases the land and facility from the FCED under a lease that expires in August 2012. In the event of termination of the Agreement by any of the parties involved before September 1, 2007, the rights and obligations of the Supplier under the lease would be transferred to the Company. As of February 26, 2005, the Supplier is current with its lease payment obligations to the FCED with approximately $3,630,000 (principal and interest) remaining to be paid through August 2012. Also, under the terms of the Agreement in the event of a default by the Supplier, the Company would be obligated to purchase from the Supplier approximately $750,000 of equipment installed in the paint facility at net book value and is obligated to assume payment obligations for approximately $45,000 in capital equipment leases.</w:t>
      </w:r>
    </w:p>
    <w:p>
      <w:pPr>
        <w:spacing w:after="0" w:line="204" w:lineRule="exact"/>
        <w:rPr>
          <w:sz w:val="20"/>
          <w:szCs w:val="20"/>
          <w:color w:val="auto"/>
        </w:rPr>
      </w:pPr>
    </w:p>
    <w:p>
      <w:pPr>
        <w:ind w:left="580" w:right="100"/>
        <w:spacing w:after="0" w:line="332" w:lineRule="auto"/>
        <w:rPr>
          <w:sz w:val="20"/>
          <w:szCs w:val="20"/>
          <w:color w:val="auto"/>
        </w:rPr>
      </w:pPr>
      <w:r>
        <w:rPr>
          <w:rFonts w:ascii="Arial" w:cs="Arial" w:eastAsia="Arial" w:hAnsi="Arial"/>
          <w:sz w:val="16"/>
          <w:szCs w:val="16"/>
          <w:color w:val="auto"/>
        </w:rPr>
        <w:t>Also in the second quarter of fiscal 2002, the Company guaranteed $700,000 of the FCED $2,200,000 bank debt for the construction of the paint facility leased by the Supplier. The Company also pledged a $500,000 certificate of deposit to the bank to collateralize a portion of its $700,000 guarantee.</w:t>
      </w:r>
    </w:p>
    <w:p>
      <w:pPr>
        <w:spacing w:after="0" w:line="166" w:lineRule="exact"/>
        <w:rPr>
          <w:sz w:val="20"/>
          <w:szCs w:val="20"/>
          <w:color w:val="auto"/>
        </w:rPr>
      </w:pPr>
    </w:p>
    <w:p>
      <w:pPr>
        <w:ind w:left="580" w:right="40"/>
        <w:spacing w:after="0" w:line="291" w:lineRule="auto"/>
        <w:rPr>
          <w:sz w:val="20"/>
          <w:szCs w:val="20"/>
          <w:color w:val="auto"/>
        </w:rPr>
      </w:pPr>
      <w:r>
        <w:rPr>
          <w:rFonts w:ascii="Arial" w:cs="Arial" w:eastAsia="Arial" w:hAnsi="Arial"/>
          <w:sz w:val="16"/>
          <w:szCs w:val="16"/>
          <w:color w:val="auto"/>
        </w:rPr>
        <w:t>During the first quarter of fiscal 2004, the debt obligations for the FCED’s paint facility were renegotiated from $2,200,000 to $2,925,000 and as part of this transaction, the Company executed a new guaranty whereby the amount of the guarantee was reduced from $700,000 to $500,000 with the Company continuing to agree to pledge a $500,000 certificate of deposit to the bank and the prior guarantee was released. The term of the guarantee coincides with the payment of the first $500,000 of lease obligations of the Supplier scheduled to be paid by February 2006. As a result of the new guarantee, the Company recorded a $500,000 liability in the first quarter of fiscal 2004 which will be amortized as the FCED makes its monthly debt payments funded by monthly lease payments from the Supplier. The balance of the guarantee as of February 26, 2005 was approximately $231,000.</w:t>
      </w:r>
    </w:p>
    <w:p>
      <w:pPr>
        <w:spacing w:after="0" w:line="201"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During the second quarter of fiscal 2004, the Company entered into a five-year limited guaranty agreement (“Guarantee Agreement”) with a leasing corporation (“Landlord”) and the Supplier. The Landlord will construct a paint facility for the Supplier through debt financing on land adjoining one of the Company’s manufacturing plants. The Landlord and the Supplier have signed a ten-year lease agreement which commenced on August 1, 2004. The Guarantee Agreement states that the Company will guarantee the first 60 monthly lease payments (totaling approximately $1,559,000 of principal and interest).</w:t>
      </w:r>
    </w:p>
    <w:p>
      <w:pPr>
        <w:spacing w:after="0" w:line="224" w:lineRule="exact"/>
        <w:rPr>
          <w:sz w:val="20"/>
          <w:szCs w:val="20"/>
          <w:color w:val="auto"/>
        </w:rPr>
      </w:pPr>
    </w:p>
    <w:p>
      <w:pPr>
        <w:jc w:val="both"/>
        <w:ind w:left="580" w:right="80"/>
        <w:spacing w:after="0" w:line="256" w:lineRule="auto"/>
        <w:rPr>
          <w:sz w:val="20"/>
          <w:szCs w:val="20"/>
          <w:color w:val="auto"/>
        </w:rPr>
      </w:pPr>
      <w:r>
        <w:rPr>
          <w:rFonts w:ascii="Arial" w:cs="Arial" w:eastAsia="Arial" w:hAnsi="Arial"/>
          <w:sz w:val="18"/>
          <w:szCs w:val="18"/>
          <w:color w:val="auto"/>
        </w:rPr>
        <w:t>In the event of a payment default before August 2009 and the Supplier’s failure to correct the default, the Landlord shall give the Company (Guarantor) written notice of its intent to terminate said lease. At the time of this notification, the Company will have various options that it must exercise in a timely manner. As of February 26, 2005, the Supplier is current with its lease payment obligations to the Landlord. The estimated fair value of the guarantee as of February 26, 2005 was approximately $275,000.</w:t>
      </w:r>
    </w:p>
    <w:p>
      <w:pPr>
        <w:sectPr>
          <w:pgSz w:w="11900" w:h="16838" w:orient="portrait"/>
          <w:cols w:equalWidth="0" w:num="1">
            <w:col w:w="11400"/>
          </w:cols>
          <w:pgMar w:left="240" w:top="131" w:right="259" w:bottom="99"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31" w:right="259" w:bottom="99"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Litigation.</w:t>
      </w:r>
    </w:p>
    <w:p>
      <w:pPr>
        <w:spacing w:after="0" w:line="299" w:lineRule="exact"/>
        <w:rPr>
          <w:sz w:val="20"/>
          <w:szCs w:val="20"/>
          <w:color w:val="auto"/>
        </w:rPr>
      </w:pPr>
    </w:p>
    <w:p>
      <w:pPr>
        <w:ind w:left="580" w:right="80"/>
        <w:spacing w:after="0" w:line="268" w:lineRule="auto"/>
        <w:rPr>
          <w:sz w:val="20"/>
          <w:szCs w:val="20"/>
          <w:color w:val="auto"/>
        </w:rPr>
      </w:pPr>
      <w:r>
        <w:rPr>
          <w:rFonts w:ascii="Arial" w:cs="Arial" w:eastAsia="Arial" w:hAnsi="Arial"/>
          <w:sz w:val="18"/>
          <w:szCs w:val="18"/>
          <w:color w:val="auto"/>
        </w:rPr>
        <w:t>Certain legal proceedings in which the Company is involved are described in the Company’s Annual Report on Form 10-K for the year ended August 28, 2004.</w:t>
      </w:r>
    </w:p>
    <w:p>
      <w:pPr>
        <w:spacing w:after="0" w:line="213" w:lineRule="exact"/>
        <w:rPr>
          <w:sz w:val="20"/>
          <w:szCs w:val="20"/>
          <w:color w:val="auto"/>
        </w:rPr>
      </w:pPr>
    </w:p>
    <w:p>
      <w:pPr>
        <w:ind w:left="580" w:right="6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incident to its business, some of which are covered in whole or in part by insurance. While it is impossible to estimate with certainty the ultimate legal and financial liability which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Supplemental Cash Flow Disclosure</w:t>
      </w:r>
    </w:p>
    <w:p>
      <w:pPr>
        <w:spacing w:after="0" w:line="2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periods indicated, the Company paid cash for the following (dollars in thousands):</w:t>
      </w:r>
    </w:p>
    <w:p>
      <w:pPr>
        <w:spacing w:after="0" w:line="248" w:lineRule="exact"/>
        <w:rPr>
          <w:sz w:val="20"/>
          <w:szCs w:val="20"/>
          <w:color w:val="auto"/>
        </w:rPr>
      </w:pPr>
    </w:p>
    <w:tbl>
      <w:tblPr>
        <w:tblLayout w:type="fixed"/>
        <w:tblInd w:w="2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5"/>
          </w:tcPr>
          <w:p>
            <w:pPr>
              <w:ind w:left="5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204"/>
              <w:spacing w:after="0"/>
              <w:rPr>
                <w:sz w:val="20"/>
                <w:szCs w:val="20"/>
                <w:color w:val="auto"/>
              </w:rPr>
            </w:pPr>
            <w:r>
              <w:rPr>
                <w:rFonts w:ascii="Arial" w:cs="Arial" w:eastAsia="Arial" w:hAnsi="Arial"/>
                <w:sz w:val="14"/>
                <w:szCs w:val="14"/>
                <w:b w:val="1"/>
                <w:bCs w:val="1"/>
                <w:color w:val="auto"/>
                <w:w w:val="96"/>
              </w:rPr>
              <w:t>February 26,</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February 28,</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44"/>
              <w:spacing w:after="0"/>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22"/>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780" w:type="dxa"/>
            <w:vAlign w:val="bottom"/>
          </w:tcPr>
          <w:p>
            <w:pPr>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11,058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Dividends Declared</w:t>
      </w:r>
    </w:p>
    <w:p>
      <w:pPr>
        <w:spacing w:after="0" w:line="299" w:lineRule="exact"/>
        <w:rPr>
          <w:sz w:val="20"/>
          <w:szCs w:val="20"/>
          <w:color w:val="auto"/>
        </w:rPr>
      </w:pPr>
    </w:p>
    <w:p>
      <w:pPr>
        <w:ind w:left="580"/>
        <w:spacing w:after="0" w:line="332" w:lineRule="auto"/>
        <w:rPr>
          <w:sz w:val="20"/>
          <w:szCs w:val="20"/>
          <w:color w:val="auto"/>
        </w:rPr>
      </w:pPr>
      <w:r>
        <w:rPr>
          <w:rFonts w:ascii="Arial" w:cs="Arial" w:eastAsia="Arial" w:hAnsi="Arial"/>
          <w:sz w:val="16"/>
          <w:szCs w:val="16"/>
          <w:color w:val="auto"/>
        </w:rPr>
        <w:t>On January 12, 2005, the Board of Directors declared a quarterly cash dividend of $.07 per common share payable April 4, 2005 to shareholders of record on March 4, 2005 which has been recorded as an accrued liability in the accompanying February 26, 2005 balance sheet.</w:t>
      </w:r>
    </w:p>
    <w:p>
      <w:pPr>
        <w:spacing w:after="0" w:line="166"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On March 16, 2005, the Board of Directors declared a quarterly cash dividend of $.07 per common share, payable July 6, 2005 to shareholders of record on June 3, 2005.</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Repurchase of Outstanding Stock</w:t>
      </w:r>
    </w:p>
    <w:p>
      <w:pPr>
        <w:spacing w:after="0" w:line="299" w:lineRule="exact"/>
        <w:rPr>
          <w:sz w:val="20"/>
          <w:szCs w:val="20"/>
          <w:color w:val="auto"/>
        </w:rPr>
      </w:pPr>
    </w:p>
    <w:p>
      <w:pPr>
        <w:ind w:left="580" w:right="20"/>
        <w:spacing w:after="0" w:line="294" w:lineRule="auto"/>
        <w:rPr>
          <w:sz w:val="20"/>
          <w:szCs w:val="20"/>
          <w:color w:val="auto"/>
        </w:rPr>
      </w:pPr>
      <w:r>
        <w:rPr>
          <w:rFonts w:ascii="Arial" w:cs="Arial" w:eastAsia="Arial" w:hAnsi="Arial"/>
          <w:sz w:val="16"/>
          <w:szCs w:val="16"/>
          <w:color w:val="auto"/>
        </w:rPr>
        <w:t>On June 16, 2004, the Board of Directors authorized the repurchase of outstanding shares of the Company’s common stock, at the discretion of management, for an aggregate consideration of up to $30 million. As of February 26, 2005, 163,610 shares had been repurchased for an aggregate consideration of approximately $5.0 million under this authorization. Also, during the second quarter of fiscal 2005, 5,790 shares for an aggregate consideration of approximately $196,000 was repurchased terminating the prior authorizations of up to $15 million accounced on June 19, 2002 and up to $20 million announced on March 19, 2003. (See Part II, Item 2. Unregistered Sales of Equity Securities and Use of Proceeds.)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Per Share</w:t>
      </w:r>
    </w:p>
    <w:p>
      <w:pPr>
        <w:spacing w:after="0" w:line="299" w:lineRule="exact"/>
        <w:rPr>
          <w:sz w:val="20"/>
          <w:szCs w:val="20"/>
          <w:color w:val="auto"/>
        </w:rPr>
      </w:pPr>
    </w:p>
    <w:p>
      <w:pPr>
        <w:ind w:left="580" w:right="300"/>
        <w:spacing w:after="0" w:line="268" w:lineRule="auto"/>
        <w:rPr>
          <w:sz w:val="20"/>
          <w:szCs w:val="20"/>
          <w:color w:val="auto"/>
        </w:rPr>
      </w:pPr>
      <w:r>
        <w:rPr>
          <w:rFonts w:ascii="Arial" w:cs="Arial" w:eastAsia="Arial" w:hAnsi="Arial"/>
          <w:sz w:val="18"/>
          <w:szCs w:val="18"/>
          <w:color w:val="auto"/>
        </w:rPr>
        <w:t>The following table reflects the calculation of basic and diluted earnings per share for the 13 and 26 weeks ended February 26, 2005 and February 28, 2004.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Thirteen Weeks Ended</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40" w:type="dxa"/>
            <w:vAlign w:val="bottom"/>
            <w:gridSpan w:val="7"/>
          </w:tcPr>
          <w:p>
            <w:pPr>
              <w:ind w:left="62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4700" w:type="dxa"/>
            <w:vAlign w:val="bottom"/>
            <w:gridSpan w:val="4"/>
            <w:vMerge w:val="restart"/>
          </w:tcPr>
          <w:p>
            <w:pPr>
              <w:spacing w:after="0"/>
              <w:rPr>
                <w:sz w:val="20"/>
                <w:szCs w:val="20"/>
                <w:color w:val="auto"/>
              </w:rPr>
            </w:pPr>
            <w:r>
              <w:rPr>
                <w:rFonts w:ascii="Arial" w:cs="Arial" w:eastAsia="Arial" w:hAnsi="Arial"/>
                <w:sz w:val="18"/>
                <w:szCs w:val="18"/>
                <w:color w:val="auto"/>
              </w:rPr>
              <w:t>In thousands except per share data</w:t>
            </w: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700" w:type="dxa"/>
            <w:vAlign w:val="bottom"/>
            <w:gridSpan w:val="4"/>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99"/>
              </w:rPr>
              <w:t>February 26, 2005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February 28, 2004</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6"/>
              </w:rPr>
              <w:t>February 26, 2005</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8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As Restated - Note 12</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As Restated - Note 12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Earnings per share - basic</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880" w:type="dxa"/>
            <w:vAlign w:val="bottom"/>
            <w:tcBorders>
              <w:top w:val="single" w:sz="8" w:color="CCEEFF"/>
            </w:tcBorders>
            <w:gridSpan w:val="2"/>
          </w:tcPr>
          <w:p>
            <w:pPr>
              <w:spacing w:after="0"/>
              <w:rPr>
                <w:sz w:val="19"/>
                <w:szCs w:val="19"/>
                <w:color w:val="auto"/>
              </w:rPr>
            </w:pPr>
          </w:p>
        </w:tc>
        <w:tc>
          <w:tcPr>
            <w:tcW w:w="420" w:type="dxa"/>
            <w:vAlign w:val="bottom"/>
            <w:tcBorders>
              <w:top w:val="single" w:sz="8" w:color="CCEEFF"/>
            </w:tcBorders>
            <w:gridSpan w:val="2"/>
          </w:tcPr>
          <w:p>
            <w:pPr>
              <w:ind w:left="3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12,571</w:t>
            </w:r>
          </w:p>
        </w:tc>
        <w:tc>
          <w:tcPr>
            <w:tcW w:w="4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15,880</w:t>
            </w:r>
          </w:p>
        </w:tc>
        <w:tc>
          <w:tcPr>
            <w:tcW w:w="44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32,115</w:t>
            </w:r>
          </w:p>
        </w:tc>
        <w:tc>
          <w:tcPr>
            <w:tcW w:w="4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33,947</w:t>
            </w:r>
          </w:p>
        </w:tc>
        <w:tc>
          <w:tcPr>
            <w:tcW w:w="2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4"/>
          </w:tcPr>
          <w:p>
            <w:pPr>
              <w:spacing w:after="0"/>
              <w:rPr>
                <w:sz w:val="20"/>
                <w:szCs w:val="20"/>
                <w:color w:val="auto"/>
              </w:rPr>
            </w:pPr>
            <w:r>
              <w:rPr>
                <w:rFonts w:ascii="Arial" w:cs="Arial" w:eastAsia="Arial" w:hAnsi="Arial"/>
                <w:sz w:val="18"/>
                <w:szCs w:val="18"/>
                <w:color w:val="auto"/>
              </w:rPr>
              <w:t>Earnings per share - basic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0.47</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7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Earnings per share - assuming dilution</w:t>
            </w:r>
          </w:p>
        </w:tc>
        <w:tc>
          <w:tcPr>
            <w:tcW w:w="19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12,571</w:t>
            </w:r>
          </w:p>
        </w:tc>
        <w:tc>
          <w:tcPr>
            <w:tcW w:w="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15,880</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32,115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33,947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33,672</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33,928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34,613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Arial" w:cs="Arial" w:eastAsia="Arial" w:hAnsi="Arial"/>
                <w:sz w:val="18"/>
                <w:szCs w:val="18"/>
                <w:color w:val="auto"/>
              </w:rPr>
              <w:t>Dilutive impact of options outstanding</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582</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617</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583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&amp; potential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dilutive shares outstanding</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34,254</w:t>
            </w: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34,545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34,224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20" w:type="dxa"/>
            <w:vAlign w:val="bottom"/>
            <w:gridSpan w:val="2"/>
          </w:tcPr>
          <w:p>
            <w:pPr>
              <w:spacing w:after="0"/>
              <w:rPr>
                <w:sz w:val="9"/>
                <w:szCs w:val="9"/>
                <w:color w:val="auto"/>
              </w:rPr>
            </w:pPr>
          </w:p>
        </w:tc>
        <w:tc>
          <w:tcPr>
            <w:tcW w:w="9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700" w:type="dxa"/>
            <w:vAlign w:val="bottom"/>
            <w:gridSpan w:val="4"/>
          </w:tcPr>
          <w:p>
            <w:pPr>
              <w:spacing w:after="0"/>
              <w:rPr>
                <w:sz w:val="20"/>
                <w:szCs w:val="20"/>
                <w:color w:val="auto"/>
              </w:rPr>
            </w:pPr>
            <w:r>
              <w:rPr>
                <w:rFonts w:ascii="Arial" w:cs="Arial" w:eastAsia="Arial" w:hAnsi="Arial"/>
                <w:sz w:val="18"/>
                <w:szCs w:val="18"/>
                <w:color w:val="auto"/>
              </w:rPr>
              <w:t>Earnings per share - assuming dilution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0.37</w:t>
            </w:r>
          </w:p>
        </w:tc>
        <w:tc>
          <w:tcPr>
            <w:tcW w:w="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0.94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0.96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9" w:name="page10"/>
    <w:bookmarkEnd w:id="9"/>
    <w:p>
      <w:pPr>
        <w:jc w:val="both"/>
        <w:ind w:left="580" w:right="120"/>
        <w:spacing w:after="0" w:line="268" w:lineRule="auto"/>
        <w:rPr>
          <w:sz w:val="20"/>
          <w:szCs w:val="20"/>
          <w:color w:val="auto"/>
        </w:rPr>
      </w:pPr>
      <w:r>
        <w:rPr>
          <w:rFonts w:ascii="Arial" w:cs="Arial" w:eastAsia="Arial" w:hAnsi="Arial"/>
          <w:sz w:val="18"/>
          <w:szCs w:val="18"/>
          <w:color w:val="auto"/>
        </w:rPr>
        <w:t>For the 13 weeks ended February 26, 2005, all options were included in the computation of diluted earnings per share because no option’s exercise price was greater that the average market price of the common stock.</w:t>
      </w:r>
    </w:p>
    <w:p>
      <w:pPr>
        <w:spacing w:after="0" w:line="213" w:lineRule="exact"/>
        <w:rPr>
          <w:sz w:val="20"/>
          <w:szCs w:val="20"/>
          <w:color w:val="auto"/>
        </w:rPr>
      </w:pPr>
    </w:p>
    <w:p>
      <w:pPr>
        <w:jc w:val="both"/>
        <w:ind w:left="580" w:right="100"/>
        <w:spacing w:after="0" w:line="259" w:lineRule="auto"/>
        <w:rPr>
          <w:sz w:val="20"/>
          <w:szCs w:val="20"/>
          <w:color w:val="auto"/>
        </w:rPr>
      </w:pPr>
      <w:r>
        <w:rPr>
          <w:rFonts w:ascii="Arial" w:cs="Arial" w:eastAsia="Arial" w:hAnsi="Arial"/>
          <w:sz w:val="18"/>
          <w:szCs w:val="18"/>
          <w:color w:val="auto"/>
        </w:rPr>
        <w:t>There were options outstanding to purchase 44,000 shares of common stock at a price of $34.855 per share, which were not included in the computation of diluted earnings per share during the 13 weeks ended February 28, 2004 because the options’ exercise price was greater than the average market price of the common stock.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Restatement</w:t>
      </w:r>
    </w:p>
    <w:p>
      <w:pPr>
        <w:spacing w:after="0" w:line="312" w:lineRule="exact"/>
        <w:rPr>
          <w:sz w:val="20"/>
          <w:szCs w:val="20"/>
          <w:color w:val="auto"/>
        </w:rPr>
      </w:pPr>
    </w:p>
    <w:p>
      <w:pPr>
        <w:ind w:left="580" w:right="80"/>
        <w:spacing w:after="0" w:line="298" w:lineRule="auto"/>
        <w:rPr>
          <w:sz w:val="20"/>
          <w:szCs w:val="20"/>
          <w:color w:val="auto"/>
        </w:rPr>
      </w:pPr>
      <w:r>
        <w:rPr>
          <w:rFonts w:ascii="Arial" w:cs="Arial" w:eastAsia="Arial" w:hAnsi="Arial"/>
          <w:sz w:val="16"/>
          <w:szCs w:val="16"/>
          <w:color w:val="auto"/>
        </w:rPr>
        <w:t>Subsequent to the filing of its Quarterly Report on Form 10-Q for the period ending February 26, 2005, the Company determined that there was an error found in a formula of an electronic spreadsheet calculating the Company’s annual physical inventory adjustment recorded during the second quarter ended February 26, 2005. As a result of the error, the Company restated its condensed consolidated financial statements as of and for the 13 and 26 week period ended February 26, 2005. A summary of the significant effects of the restatement is as follows:</w:t>
      </w:r>
    </w:p>
    <w:p>
      <w:pPr>
        <w:sectPr>
          <w:pgSz w:w="11900" w:h="16838" w:orient="portrait"/>
          <w:cols w:equalWidth="0" w:num="1">
            <w:col w:w="11420"/>
          </w:cols>
          <w:pgMar w:left="240" w:top="374" w:right="239" w:bottom="0" w:gutter="0" w:footer="0" w:header="0"/>
        </w:sectPr>
      </w:pPr>
    </w:p>
    <w:p>
      <w:pPr>
        <w:spacing w:after="0" w:line="194" w:lineRule="exact"/>
        <w:rPr>
          <w:sz w:val="20"/>
          <w:szCs w:val="20"/>
          <w:color w:val="auto"/>
        </w:rPr>
      </w:pPr>
    </w:p>
    <w:p>
      <w:pPr>
        <w:ind w:left="2300"/>
        <w:spacing w:after="0"/>
        <w:rPr>
          <w:sz w:val="20"/>
          <w:szCs w:val="20"/>
          <w:color w:val="auto"/>
        </w:rPr>
      </w:pPr>
      <w:r>
        <w:rPr>
          <w:rFonts w:ascii="Arial" w:cs="Arial" w:eastAsia="Arial" w:hAnsi="Arial"/>
          <w:sz w:val="15"/>
          <w:szCs w:val="15"/>
          <w:color w:val="auto"/>
        </w:rPr>
        <w:t>Balance sheet</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2060" w:type="dxa"/>
            <w:vAlign w:val="bottom"/>
          </w:tcPr>
          <w:p>
            <w:pPr>
              <w:ind w:left="40"/>
              <w:spacing w:after="0"/>
              <w:rPr>
                <w:sz w:val="20"/>
                <w:szCs w:val="20"/>
                <w:color w:val="auto"/>
              </w:rPr>
            </w:pPr>
            <w:r>
              <w:rPr>
                <w:rFonts w:ascii="Arial" w:cs="Arial" w:eastAsia="Arial" w:hAnsi="Arial"/>
                <w:sz w:val="14"/>
                <w:szCs w:val="14"/>
                <w:b w:val="1"/>
                <w:bCs w:val="1"/>
                <w:color w:val="auto"/>
              </w:rPr>
              <w:t>February 26, 2005</w:t>
            </w:r>
          </w:p>
        </w:tc>
      </w:tr>
      <w:tr>
        <w:trPr>
          <w:trHeight w:val="95"/>
        </w:trPr>
        <w:tc>
          <w:tcPr>
            <w:tcW w:w="880" w:type="dxa"/>
            <w:vAlign w:val="bottom"/>
            <w:tcBorders>
              <w:bottom w:val="single" w:sz="8" w:color="auto"/>
            </w:tcBorders>
          </w:tcPr>
          <w:p>
            <w:pPr>
              <w:spacing w:after="0"/>
              <w:rPr>
                <w:sz w:val="8"/>
                <w:szCs w:val="8"/>
                <w:color w:val="auto"/>
              </w:rPr>
            </w:pPr>
          </w:p>
        </w:tc>
        <w:tc>
          <w:tcPr>
            <w:tcW w:w="2060" w:type="dxa"/>
            <w:vAlign w:val="bottom"/>
            <w:tcBorders>
              <w:bottom w:val="single" w:sz="8" w:color="auto"/>
            </w:tcBorders>
          </w:tcPr>
          <w:p>
            <w:pPr>
              <w:spacing w:after="0"/>
              <w:rPr>
                <w:sz w:val="8"/>
                <w:szCs w:val="8"/>
                <w:color w:val="auto"/>
              </w:rPr>
            </w:pPr>
          </w:p>
        </w:tc>
      </w:tr>
      <w:tr>
        <w:trPr>
          <w:trHeight w:val="237"/>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As Previously</w:t>
            </w:r>
          </w:p>
        </w:tc>
        <w:tc>
          <w:tcPr>
            <w:tcW w:w="2060" w:type="dxa"/>
            <w:vAlign w:val="bottom"/>
          </w:tcPr>
          <w:p>
            <w:pPr>
              <w:spacing w:after="0"/>
              <w:rPr>
                <w:sz w:val="20"/>
                <w:szCs w:val="20"/>
                <w:color w:val="auto"/>
              </w:rPr>
            </w:pPr>
          </w:p>
        </w:tc>
      </w:tr>
      <w:tr>
        <w:trPr>
          <w:trHeight w:val="174"/>
        </w:trPr>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7"/>
              </w:rPr>
              <w:t>Reported</w:t>
            </w:r>
          </w:p>
        </w:tc>
        <w:tc>
          <w:tcPr>
            <w:tcW w:w="2060" w:type="dxa"/>
            <w:vAlign w:val="bottom"/>
          </w:tcPr>
          <w:p>
            <w:pPr>
              <w:ind w:left="1220"/>
              <w:spacing w:after="0"/>
              <w:rPr>
                <w:sz w:val="20"/>
                <w:szCs w:val="20"/>
                <w:color w:val="auto"/>
              </w:rPr>
            </w:pPr>
            <w:r>
              <w:rPr>
                <w:rFonts w:ascii="Arial" w:cs="Arial" w:eastAsia="Arial" w:hAnsi="Arial"/>
                <w:sz w:val="14"/>
                <w:szCs w:val="14"/>
                <w:b w:val="1"/>
                <w:bCs w:val="1"/>
                <w:color w:val="auto"/>
              </w:rPr>
              <w:t>As Restated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6089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1255395</wp:posOffset>
            </wp:positionH>
            <wp:positionV relativeFrom="paragraph">
              <wp:posOffset>60325</wp:posOffset>
            </wp:positionV>
            <wp:extent cx="60896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374" w:right="239" w:bottom="0" w:gutter="0" w:footer="0" w:header="0"/>
          <w:type w:val="continuous"/>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000s omitted</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4"/>
                <w:szCs w:val="24"/>
                <w:color w:val="auto"/>
              </w:rPr>
            </w:pPr>
          </w:p>
        </w:tc>
        <w:tc>
          <w:tcPr>
            <w:tcW w:w="3080" w:type="dxa"/>
            <w:vAlign w:val="bottom"/>
            <w:gridSpan w:val="2"/>
          </w:tcPr>
          <w:p>
            <w:pPr>
              <w:ind w:left="114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146,452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143,659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305,556</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302,763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114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430,093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1160" w:type="dxa"/>
            <w:vAlign w:val="bottom"/>
          </w:tcPr>
          <w:p>
            <w:pPr>
              <w:spacing w:after="0"/>
              <w:rPr>
                <w:sz w:val="24"/>
                <w:szCs w:val="24"/>
                <w:color w:val="auto"/>
              </w:rPr>
            </w:pPr>
          </w:p>
        </w:tc>
        <w:tc>
          <w:tcPr>
            <w:tcW w:w="3080" w:type="dxa"/>
            <w:vAlign w:val="bottom"/>
            <w:gridSpan w:val="2"/>
          </w:tcPr>
          <w:p>
            <w:pPr>
              <w:ind w:left="114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payable</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11,650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10,652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109,175</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108,177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vMerge w:val="restart"/>
          </w:tcPr>
          <w:p>
            <w:pPr>
              <w:spacing w:after="0"/>
              <w:rPr>
                <w:sz w:val="20"/>
                <w:szCs w:val="20"/>
                <w:color w:val="auto"/>
              </w:rPr>
            </w:pPr>
          </w:p>
        </w:tc>
        <w:tc>
          <w:tcPr>
            <w:tcW w:w="1140" w:type="dxa"/>
            <w:vAlign w:val="bottom"/>
            <w:vMerge w:val="restart"/>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Reinvested earnings</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421,627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419,832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w w:val="90"/>
              </w:rPr>
              <w:t>Total Shareholder’s Equity</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center"/>
              <w:ind w:right="580"/>
              <w:spacing w:after="0"/>
              <w:rPr>
                <w:sz w:val="20"/>
                <w:szCs w:val="20"/>
                <w:color w:val="auto"/>
              </w:rPr>
            </w:pPr>
            <w:r>
              <w:rPr>
                <w:rFonts w:ascii="Arial" w:cs="Arial" w:eastAsia="Arial" w:hAnsi="Arial"/>
                <w:sz w:val="18"/>
                <w:szCs w:val="18"/>
                <w:color w:val="auto"/>
                <w:w w:val="86"/>
              </w:rPr>
              <w:t>232,849</w:t>
            </w: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231,054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9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Total Liabilities &amp; Shareholder’s Equity</w:t>
            </w:r>
          </w:p>
        </w:tc>
        <w:tc>
          <w:tcPr>
            <w:tcW w:w="106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86"/>
              </w:rPr>
              <w:t>430,093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427,300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1160" w:type="dxa"/>
            <w:vAlign w:val="bottom"/>
            <w:tcBorders>
              <w:bottom w:val="single" w:sz="8" w:color="808080"/>
            </w:tcBorders>
          </w:tcPr>
          <w:p>
            <w:pPr>
              <w:spacing w:after="0"/>
              <w:rPr>
                <w:sz w:val="21"/>
                <w:szCs w:val="21"/>
                <w:color w:val="auto"/>
              </w:rPr>
            </w:pPr>
          </w:p>
        </w:tc>
        <w:tc>
          <w:tcPr>
            <w:tcW w:w="3080" w:type="dxa"/>
            <w:vAlign w:val="bottom"/>
            <w:tcBorders>
              <w:bottom w:val="single" w:sz="8" w:color="808080"/>
            </w:tcBorders>
            <w:gridSpan w:val="2"/>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68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54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1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27"/>
        </w:trPr>
        <w:tc>
          <w:tcPr>
            <w:tcW w:w="4240" w:type="dxa"/>
            <w:vAlign w:val="bottom"/>
            <w:gridSpan w:val="3"/>
          </w:tcPr>
          <w:p>
            <w:pPr>
              <w:spacing w:after="0"/>
              <w:rPr>
                <w:sz w:val="20"/>
                <w:szCs w:val="20"/>
                <w:color w:val="auto"/>
              </w:rPr>
            </w:pPr>
            <w:r>
              <w:rPr>
                <w:rFonts w:ascii="Arial" w:cs="Arial" w:eastAsia="Arial" w:hAnsi="Arial"/>
                <w:sz w:val="18"/>
                <w:szCs w:val="18"/>
                <w:i w:val="1"/>
                <w:iCs w:val="1"/>
                <w:color w:val="auto"/>
              </w:rPr>
              <w:t>Statements of income</w:t>
            </w: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40" w:type="dxa"/>
            <w:vAlign w:val="bottom"/>
            <w:gridSpan w:val="6"/>
          </w:tcPr>
          <w:p>
            <w:pPr>
              <w:ind w:left="4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3"/>
          </w:tcPr>
          <w:p>
            <w:pPr>
              <w:jc w:val="right"/>
              <w:ind w:right="132"/>
              <w:spacing w:after="0"/>
              <w:rPr>
                <w:sz w:val="20"/>
                <w:szCs w:val="20"/>
                <w:color w:val="auto"/>
              </w:rPr>
            </w:pPr>
            <w:r>
              <w:rPr>
                <w:rFonts w:ascii="Arial" w:cs="Arial" w:eastAsia="Arial" w:hAnsi="Arial"/>
                <w:sz w:val="14"/>
                <w:szCs w:val="14"/>
                <w:b w:val="1"/>
                <w:bCs w:val="1"/>
                <w:color w:val="auto"/>
              </w:rPr>
              <w:t>February 26, 2005</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0" w:type="dxa"/>
            <w:vAlign w:val="bottom"/>
            <w:gridSpan w:val="4"/>
          </w:tcPr>
          <w:p>
            <w:pPr>
              <w:jc w:val="right"/>
              <w:ind w:right="32"/>
              <w:spacing w:after="0"/>
              <w:rPr>
                <w:sz w:val="20"/>
                <w:szCs w:val="20"/>
                <w:color w:val="auto"/>
              </w:rPr>
            </w:pPr>
            <w:r>
              <w:rPr>
                <w:rFonts w:ascii="Arial" w:cs="Arial" w:eastAsia="Arial" w:hAnsi="Arial"/>
                <w:sz w:val="14"/>
                <w:szCs w:val="14"/>
                <w:b w:val="1"/>
                <w:bCs w:val="1"/>
                <w:color w:val="auto"/>
              </w:rPr>
              <w:t>February 26, 2005</w:t>
            </w: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4"/>
                <w:szCs w:val="14"/>
                <w:b w:val="1"/>
                <w:bCs w:val="1"/>
                <w:color w:val="auto"/>
                <w:w w:val="84"/>
              </w:rPr>
              <w:t>As Previously</w:t>
            </w:r>
          </w:p>
        </w:tc>
        <w:tc>
          <w:tcPr>
            <w:tcW w:w="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4"/>
              </w:rPr>
              <w:t>As Previously</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1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179"/>
              <w:spacing w:after="0"/>
              <w:rPr>
                <w:sz w:val="20"/>
                <w:szCs w:val="20"/>
                <w:color w:val="auto"/>
              </w:rPr>
            </w:pPr>
            <w:r>
              <w:rPr>
                <w:rFonts w:ascii="Arial" w:cs="Arial" w:eastAsia="Arial" w:hAnsi="Arial"/>
                <w:sz w:val="14"/>
                <w:szCs w:val="14"/>
                <w:b w:val="1"/>
                <w:bCs w:val="1"/>
                <w:color w:val="auto"/>
              </w:rPr>
              <w:t>Reported</w:t>
            </w:r>
          </w:p>
        </w:tc>
        <w:tc>
          <w:tcPr>
            <w:tcW w:w="700" w:type="dxa"/>
            <w:vAlign w:val="bottom"/>
          </w:tcPr>
          <w:p>
            <w:pPr>
              <w:spacing w:after="0"/>
              <w:rPr>
                <w:sz w:val="15"/>
                <w:szCs w:val="15"/>
                <w:color w:val="auto"/>
              </w:rPr>
            </w:pPr>
          </w:p>
        </w:tc>
        <w:tc>
          <w:tcPr>
            <w:tcW w:w="174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As Restated</w:t>
            </w:r>
          </w:p>
        </w:tc>
        <w:tc>
          <w:tcPr>
            <w:tcW w:w="80" w:type="dxa"/>
            <w:vAlign w:val="bottom"/>
          </w:tcPr>
          <w:p>
            <w:pPr>
              <w:spacing w:after="0"/>
              <w:rPr>
                <w:sz w:val="15"/>
                <w:szCs w:val="15"/>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Reported</w:t>
            </w:r>
          </w:p>
        </w:tc>
        <w:tc>
          <w:tcPr>
            <w:tcW w:w="280" w:type="dxa"/>
            <w:vAlign w:val="bottom"/>
          </w:tcPr>
          <w:p>
            <w:pPr>
              <w:spacing w:after="0"/>
              <w:rPr>
                <w:sz w:val="15"/>
                <w:szCs w:val="15"/>
                <w:color w:val="auto"/>
              </w:rPr>
            </w:pPr>
          </w:p>
        </w:tc>
        <w:tc>
          <w:tcPr>
            <w:tcW w:w="2000" w:type="dxa"/>
            <w:vAlign w:val="bottom"/>
            <w:gridSpan w:val="3"/>
          </w:tcPr>
          <w:p>
            <w:pPr>
              <w:ind w:left="60"/>
              <w:spacing w:after="0"/>
              <w:rPr>
                <w:sz w:val="20"/>
                <w:szCs w:val="20"/>
                <w:color w:val="auto"/>
              </w:rPr>
            </w:pPr>
            <w:r>
              <w:rPr>
                <w:rFonts w:ascii="Arial" w:cs="Arial" w:eastAsia="Arial" w:hAnsi="Arial"/>
                <w:sz w:val="14"/>
                <w:szCs w:val="14"/>
                <w:b w:val="1"/>
                <w:bCs w:val="1"/>
                <w:color w:val="auto"/>
              </w:rPr>
              <w:t>As Restated</w:t>
            </w:r>
          </w:p>
        </w:tc>
        <w:tc>
          <w:tcPr>
            <w:tcW w:w="0" w:type="dxa"/>
            <w:vAlign w:val="bottom"/>
          </w:tcPr>
          <w:p>
            <w:pPr>
              <w:spacing w:after="0"/>
              <w:rPr>
                <w:sz w:val="1"/>
                <w:szCs w:val="1"/>
                <w:color w:val="auto"/>
              </w:rPr>
            </w:pPr>
          </w:p>
        </w:tc>
      </w:tr>
      <w:tr>
        <w:trPr>
          <w:trHeight w:val="95"/>
        </w:trPr>
        <w:tc>
          <w:tcPr>
            <w:tcW w:w="4240" w:type="dxa"/>
            <w:vAlign w:val="bottom"/>
            <w:gridSpan w:val="3"/>
            <w:vMerge w:val="restart"/>
          </w:tcPr>
          <w:p>
            <w:pPr>
              <w:ind w:left="1140"/>
              <w:spacing w:after="0"/>
              <w:rPr>
                <w:sz w:val="20"/>
                <w:szCs w:val="20"/>
                <w:color w:val="auto"/>
              </w:rPr>
            </w:pPr>
            <w:r>
              <w:rPr>
                <w:rFonts w:ascii="Arial" w:cs="Arial" w:eastAsia="Arial" w:hAnsi="Arial"/>
                <w:sz w:val="18"/>
                <w:szCs w:val="18"/>
                <w:color w:val="auto"/>
              </w:rPr>
              <w:t>000s omitted, except per share data</w:t>
            </w: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2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1160" w:type="dxa"/>
            <w:vAlign w:val="bottom"/>
            <w:vMerge w:val="restart"/>
          </w:tcPr>
          <w:p>
            <w:pPr>
              <w:spacing w:after="0"/>
              <w:rPr>
                <w:sz w:val="21"/>
                <w:szCs w:val="21"/>
                <w:color w:val="auto"/>
              </w:rPr>
            </w:pPr>
          </w:p>
        </w:tc>
        <w:tc>
          <w:tcPr>
            <w:tcW w:w="30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207,305</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210,098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433,374</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436,167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32,054</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32"/>
              <w:spacing w:after="0"/>
              <w:rPr>
                <w:sz w:val="20"/>
                <w:szCs w:val="20"/>
                <w:color w:val="auto"/>
              </w:rPr>
            </w:pPr>
            <w:r>
              <w:rPr>
                <w:rFonts w:ascii="Arial" w:cs="Arial" w:eastAsia="Arial" w:hAnsi="Arial"/>
                <w:sz w:val="18"/>
                <w:szCs w:val="18"/>
                <w:color w:val="auto"/>
                <w:w w:val="87"/>
              </w:rPr>
              <w:t>29,261</w:t>
            </w: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72,118</w:t>
            </w:r>
          </w:p>
        </w:tc>
        <w:tc>
          <w:tcPr>
            <w:tcW w:w="4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69,325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21,692</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center"/>
              <w:ind w:left="32"/>
              <w:spacing w:after="0"/>
              <w:rPr>
                <w:sz w:val="20"/>
                <w:szCs w:val="20"/>
                <w:color w:val="auto"/>
              </w:rPr>
            </w:pPr>
            <w:r>
              <w:rPr>
                <w:rFonts w:ascii="Arial" w:cs="Arial" w:eastAsia="Arial" w:hAnsi="Arial"/>
                <w:sz w:val="18"/>
                <w:szCs w:val="18"/>
                <w:color w:val="auto"/>
                <w:w w:val="87"/>
              </w:rPr>
              <w:t>18,899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51,645</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48,852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22,331</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32"/>
              <w:spacing w:after="0"/>
              <w:rPr>
                <w:sz w:val="20"/>
                <w:szCs w:val="20"/>
                <w:color w:val="auto"/>
              </w:rPr>
            </w:pPr>
            <w:r>
              <w:rPr>
                <w:rFonts w:ascii="Arial" w:cs="Arial" w:eastAsia="Arial" w:hAnsi="Arial"/>
                <w:sz w:val="18"/>
                <w:szCs w:val="18"/>
                <w:color w:val="auto"/>
                <w:w w:val="87"/>
              </w:rPr>
              <w:t>19,538</w:t>
            </w: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52,778</w:t>
            </w:r>
          </w:p>
        </w:tc>
        <w:tc>
          <w:tcPr>
            <w:tcW w:w="4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49,985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7,965</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18,868</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17,870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14,366</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tcPr>
          <w:p>
            <w:pPr>
              <w:jc w:val="center"/>
              <w:ind w:left="32"/>
              <w:spacing w:after="0"/>
              <w:rPr>
                <w:sz w:val="20"/>
                <w:szCs w:val="20"/>
                <w:color w:val="auto"/>
              </w:rPr>
            </w:pPr>
            <w:r>
              <w:rPr>
                <w:rFonts w:ascii="Arial" w:cs="Arial" w:eastAsia="Arial" w:hAnsi="Arial"/>
                <w:sz w:val="18"/>
                <w:szCs w:val="18"/>
                <w:color w:val="auto"/>
                <w:w w:val="87"/>
              </w:rPr>
              <w:t>12,571</w:t>
            </w:r>
          </w:p>
        </w:tc>
        <w:tc>
          <w:tcPr>
            <w:tcW w:w="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33,910</w:t>
            </w:r>
          </w:p>
        </w:tc>
        <w:tc>
          <w:tcPr>
            <w:tcW w:w="420" w:type="dxa"/>
            <w:vAlign w:val="bottom"/>
          </w:tcPr>
          <w:p>
            <w:pPr>
              <w:spacing w:after="0"/>
              <w:rPr>
                <w:sz w:val="18"/>
                <w:szCs w:val="18"/>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32,115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per share - 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0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4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Income per share - 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0.42</w:t>
            </w:r>
          </w:p>
        </w:tc>
        <w:tc>
          <w:tcPr>
            <w:tcW w:w="106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0.37</w:t>
            </w:r>
          </w:p>
        </w:tc>
        <w:tc>
          <w:tcPr>
            <w:tcW w:w="7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0.99</w:t>
            </w:r>
          </w:p>
        </w:tc>
        <w:tc>
          <w:tcPr>
            <w:tcW w:w="420" w:type="dxa"/>
            <w:vAlign w:val="bottom"/>
          </w:tcPr>
          <w:p>
            <w:pPr>
              <w:spacing w:after="0"/>
              <w:rPr>
                <w:sz w:val="19"/>
                <w:szCs w:val="19"/>
                <w:color w:val="auto"/>
              </w:rPr>
            </w:pPr>
          </w:p>
        </w:tc>
        <w:tc>
          <w:tcPr>
            <w:tcW w:w="4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-2501265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-2501265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This section has been updated to give effect to the restatement as discussed in Note 12 to the Condensed Consolidated Financial Statements included in Item 1.</w:t>
      </w:r>
    </w:p>
    <w:p>
      <w:pPr>
        <w:sectPr>
          <w:pgSz w:w="11900" w:h="16838" w:orient="portrait"/>
          <w:cols w:equalWidth="0" w:num="1">
            <w:col w:w="11420"/>
          </w:cols>
          <w:pgMar w:left="240" w:top="374" w:right="239" w:bottom="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FORWARD LOOKING INFORMATION</w:t>
      </w:r>
    </w:p>
    <w:p>
      <w:pPr>
        <w:spacing w:after="0" w:line="299"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Quarterly Report on Form 10-Q/A, Amendment No. 1, contains statements which may constitute “forward-looking statements” within the meaning of Section 27A of the Securities Act of 1933, as amended and Section 21E of the Securities Exchange Act of 1934, as amended, which involve risks and uncertainties, including, but not limited to, reactions to actual or threatened terrorist attacks, availability and price of fuel, a significant increase in interest rates, a decline in consumer confidence, a slowdown in the economy, availability of chassis and other key component parts, sales order cancellations, slower than anticipated sales of new or existing products, new product introductions by competitors, and other factors which may be disclosed throughout this report.</w:t>
      </w:r>
    </w:p>
    <w:p>
      <w:pPr>
        <w:spacing w:after="0" w:line="17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Although management believes that the expectations reflected in the forward-looking statements are reasonable, the Company cannot guarantee future results, levels of activity, performance or achievements. Undue reliance should not be placed on these forward-looking statements, which speak only as of the date of this report. Winnebago Industries undertakes no obligation to publicly update or revise any forward-looking statements whether as a result of new information, future events or otherwise, except as required by law or the rules of the New York Stock Exchange.</w:t>
      </w:r>
    </w:p>
    <w:p>
      <w:pPr>
        <w:spacing w:after="0" w:line="16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the Company’s Annual Report to Shareholders for the year ended August 28, 2004.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99"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Winnebago Industries, Inc. headquartered in Forest City, Iowa, is the leading United States (U.S.) manufacturer of motor homes, self-contained recreation vehicles (RV) used primarily in leisure travel and outdoor recreation activities. Winnebago Industries was incorporated under the laws of the state of Iowa on February 12, 1958, and adopted its present name on February 28, 1961.</w:t>
      </w:r>
    </w:p>
    <w:p>
      <w:pPr>
        <w:spacing w:after="0" w:line="194"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Company’s products are subjected to what the Company believes is the most rigorous testing in the RV Industry. The Company markets its recreation vehicles on a wholesale basis to approximately 310 dealer locations as of February 26, 2005 and February 28, 2004.</w:t>
      </w:r>
    </w:p>
    <w:p>
      <w:pPr>
        <w:spacing w:after="0" w:line="139"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Motorized RV revenues represented 60 percent of the RV industry in calendar 2003 (at this time, industry-wide data for calendar 2004 has not been completed). For this reason and because we believe there are further growth opportunities in this segment, Winnebago Industries has continued to focus on the motorized segment of the RV industry. Winnebago Industries has been able to maintain its market share even though there are recent indications that industry-wide motor home production has exceeded market demand, causing an industry-wide imbalance of motor home inventory. The Company will continue to monitor its inventories on hand to ensure that production is in line with market demand.</w:t>
      </w:r>
    </w:p>
    <w:p>
      <w:pPr>
        <w:spacing w:after="0" w:line="170"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For the calendar years 2004 and 2003, the Company’s dealers retailed 11,622 and 10,786 Winnebago Industries’ motor homes, respectively. These retail sales accounted for approximately 19.0 percent of the total U.S. motor home retail registrations, according to Statistical Survey data for each of these calendar years.</w:t>
      </w:r>
    </w:p>
    <w:p>
      <w:pPr>
        <w:spacing w:after="0" w:line="1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While market share is important, the Company’s primary goal is to be the most profitable public company in the RV industry. The Company measures profitability by using five guidelines: Return on Average Total Assets (ROA), Return on Average Net Equity (ROE), Return on Average Invested Capital (ROIC), operating margin as a percent of sales and net profit margin as a percent of sales. (See page 3 of the Company’s 2004 Annual Report to Shareholders.)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9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preparing the consolidated financial statements, the Company follows accounting principles generally accepted in the United States of America, which in many cases requires the Company to make assumptions, estimates and judgments that affect the amounts reported. Many of these policies are straightforward. There are, however, some policies that are critical because they are important in determining the Company’s financial condition and results of operations. These policies are described below and some may involve management judgments due to the sensitivity of the methods, assumptions and estimates necessary in determining the related income statement, asset and/or liability amounts.</w:t>
      </w:r>
    </w:p>
    <w:p>
      <w:pPr>
        <w:spacing w:after="0" w:line="164"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Revenue</w:t>
      </w:r>
      <w:r>
        <w:rPr>
          <w:rFonts w:ascii="Arial" w:cs="Arial" w:eastAsia="Arial" w:hAnsi="Arial"/>
          <w:sz w:val="16"/>
          <w:szCs w:val="16"/>
          <w:color w:val="auto"/>
        </w:rPr>
        <w:t>. Generally, revenues for motor homes are recorded when all of the following conditions are met: an order for a product has been received from a dealer;</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or verbal approval for payment has been received from the dealer’s floor plan financial institution; and the product is delivered to the dealer who placed the order. Sales are generally made to dealers who finance their purchases under floor plan financing arrangements with banks or finance companies.</w:t>
      </w:r>
    </w:p>
    <w:p>
      <w:pPr>
        <w:spacing w:after="0" w:line="15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Revenues for the Company’s original equipment manufacturing (OEM) components and recreation vehicle related parts are recorded as the products are shipped from the Company’s location. The title of ownership transfers on these products as they leave the Company’s location due to the freight terms of F.O.B. – Forest City, Iowa.</w:t>
      </w:r>
    </w:p>
    <w:p>
      <w:pPr>
        <w:spacing w:after="0" w:line="18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Companies in the recreation vehicle industry enter into repurchase agreements with lending institutions which have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wholesale floor-plan financing to dealers. The agreements to which the Company is a party provide that, in the event of default by the dealer on the agreement to pay the lending institution, the Company will repurchase the financed merchandise. The agreements also provide that the Company’s liability will not exceed 100 percent of the dealer invoice and provide for periodic liability reductions based on the time since the date of the original invoice. These repurchase obligations generally expire upon the earlier to occur of (i) the dealer’s sale of the financed unit or (ii) one year from the date of the original invoice. The Company’s ultimate exposure under these repurchase agreements is reduced by the proceeds received upon the resale of any repurchased unit. The gross repurchase obligation will vary depending on the season and the level of dealer inventories. Past losses under these agreements have not been significant and lender repurchase obligations have been funded out of working capital. (See Note 7 of the Unaudited Condensed Notes to Condensed Consolidated Financial Statements.)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color w:val="auto"/>
        </w:rPr>
        <w:t>Warranty</w:t>
      </w:r>
      <w:r>
        <w:rPr>
          <w:rFonts w:ascii="Arial" w:cs="Arial" w:eastAsia="Arial" w:hAnsi="Arial"/>
          <w:sz w:val="18"/>
          <w:szCs w:val="18"/>
          <w:color w:val="auto"/>
        </w:rPr>
        <w:t>. The Company offers a variety of warranties on its products ranging from one to three years in length. Estimated costs related to product warranty are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at the time of sale and included in cost of sales. Estimated costs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(See Note 5 of the Unaudited Condensed Notes to Condensed Consolidated Financial Statements.) In addition to the costs associated with the contractual warranty coverage provided on our motor homes, we also incur costs as a result of additional service actions not covered by our warranties, including product recalls and customer satisfaction actions.</w:t>
      </w:r>
    </w:p>
    <w:p>
      <w:pPr>
        <w:sectPr>
          <w:pgSz w:w="11900" w:h="16838" w:orient="portrait"/>
          <w:cols w:equalWidth="0" w:num="1">
            <w:col w:w="11400"/>
          </w:cols>
          <w:pgMar w:left="240" w:top="125" w:right="259" w:bottom="0" w:gutter="0" w:footer="0" w:header="0"/>
        </w:sectPr>
      </w:pPr>
    </w:p>
    <w:bookmarkStart w:id="11" w:name="page12"/>
    <w:bookmarkEnd w:id="11"/>
    <w:p>
      <w:pPr>
        <w:ind w:right="280"/>
        <w:spacing w:after="0" w:line="301" w:lineRule="auto"/>
        <w:rPr>
          <w:sz w:val="20"/>
          <w:szCs w:val="20"/>
          <w:color w:val="auto"/>
        </w:rPr>
      </w:pPr>
      <w:r>
        <w:rPr>
          <w:rFonts w:ascii="Arial" w:cs="Arial" w:eastAsia="Arial" w:hAnsi="Arial"/>
          <w:sz w:val="16"/>
          <w:szCs w:val="16"/>
          <w:b w:val="1"/>
          <w:bCs w:val="1"/>
          <w:color w:val="auto"/>
        </w:rPr>
        <w:t>Other</w:t>
      </w:r>
      <w:r>
        <w:rPr>
          <w:rFonts w:ascii="Arial" w:cs="Arial" w:eastAsia="Arial" w:hAnsi="Arial"/>
          <w:sz w:val="16"/>
          <w:szCs w:val="16"/>
          <w:color w:val="auto"/>
        </w:rPr>
        <w:t>. The Company has reserves for other loss exposures, such as litigation, taxes, product liability, worker’s compensation, employee medical claims,</w:t>
      </w:r>
      <w:r>
        <w:rPr>
          <w:rFonts w:ascii="Arial" w:cs="Arial" w:eastAsia="Arial" w:hAnsi="Arial"/>
          <w:sz w:val="16"/>
          <w:szCs w:val="16"/>
          <w:b w:val="1"/>
          <w:bCs w:val="1"/>
          <w:color w:val="auto"/>
        </w:rPr>
        <w:t xml:space="preserve"> </w:t>
      </w:r>
      <w:r>
        <w:rPr>
          <w:rFonts w:ascii="Arial" w:cs="Arial" w:eastAsia="Arial" w:hAnsi="Arial"/>
          <w:sz w:val="16"/>
          <w:szCs w:val="16"/>
          <w:color w:val="auto"/>
        </w:rPr>
        <w:t>inventory and accounts receivable. The Company also has loss exposure on loan guarantees. Establishing loss reserves for these matters requires the use of estimates and judgment in regards to risk exposure and ultimate liability. The Company estimates losses under the programs using consistent and appropriate methods; however, changes in assumptions could materially affect the Company’s recorded liabilities for loss.</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CONSOLIDATED STATEMENTS OF INCOME DATA</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Quarter Compared to the Same Quarter Last Year</w:t>
      </w:r>
    </w:p>
    <w:p>
      <w:pPr>
        <w:spacing w:after="0" w:line="225"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13-week period ended February 26, 2005 compared to the 13-week period ended February 28, 2004.</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 except per share data</w:t>
      </w:r>
    </w:p>
    <w:tbl>
      <w:tblPr>
        <w:tblLayout w:type="fixed"/>
        <w:tblInd w:w="4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left="560"/>
              <w:spacing w:after="0" w:line="140" w:lineRule="exact"/>
              <w:rPr>
                <w:sz w:val="20"/>
                <w:szCs w:val="20"/>
                <w:color w:val="auto"/>
              </w:rPr>
            </w:pPr>
            <w:r>
              <w:rPr>
                <w:rFonts w:ascii="Arial" w:cs="Arial" w:eastAsia="Arial" w:hAnsi="Arial"/>
                <w:sz w:val="14"/>
                <w:szCs w:val="14"/>
                <w:b w:val="1"/>
                <w:bCs w:val="1"/>
                <w:color w:val="auto"/>
                <w:w w:val="87"/>
              </w:rPr>
              <w:t>Comparison of</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Thirteen Weeks Ended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40" w:type="dxa"/>
            <w:vAlign w:val="bottom"/>
            <w:gridSpan w:val="5"/>
            <w:vMerge w:val="restart"/>
          </w:tcPr>
          <w:p>
            <w:pPr>
              <w:jc w:val="center"/>
              <w:ind w:left="400"/>
              <w:spacing w:after="0" w:line="149" w:lineRule="exact"/>
              <w:rPr>
                <w:sz w:val="20"/>
                <w:szCs w:val="20"/>
                <w:color w:val="auto"/>
              </w:rPr>
            </w:pPr>
            <w:r>
              <w:rPr>
                <w:rFonts w:ascii="Arial" w:cs="Arial" w:eastAsia="Arial" w:hAnsi="Arial"/>
                <w:sz w:val="14"/>
                <w:szCs w:val="14"/>
                <w:b w:val="1"/>
                <w:bCs w:val="1"/>
                <w:color w:val="auto"/>
                <w:w w:val="89"/>
              </w:rPr>
              <w:t>Thirteen Weeks Ended</w:t>
            </w: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gridSpan w:val="5"/>
            <w:vMerge w:val="continue"/>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4"/>
            <w:vMerge w:val="restart"/>
          </w:tcPr>
          <w:p>
            <w:pPr>
              <w:jc w:val="center"/>
              <w:ind w:left="560"/>
              <w:spacing w:after="0" w:line="149" w:lineRule="exact"/>
              <w:rPr>
                <w:sz w:val="20"/>
                <w:szCs w:val="20"/>
                <w:color w:val="auto"/>
              </w:rPr>
            </w:pPr>
            <w:r>
              <w:rPr>
                <w:rFonts w:ascii="Arial" w:cs="Arial" w:eastAsia="Arial" w:hAnsi="Arial"/>
                <w:sz w:val="14"/>
                <w:szCs w:val="14"/>
                <w:b w:val="1"/>
                <w:bCs w:val="1"/>
                <w:color w:val="auto"/>
                <w:w w:val="89"/>
              </w:rPr>
              <w:t>February 26, 2005</w:t>
            </w: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gridSpan w:val="5"/>
          </w:tcPr>
          <w:p>
            <w:pPr>
              <w:jc w:val="center"/>
              <w:ind w:left="400"/>
              <w:spacing w:after="0" w:line="149" w:lineRule="exact"/>
              <w:rPr>
                <w:sz w:val="20"/>
                <w:szCs w:val="20"/>
                <w:color w:val="auto"/>
              </w:rPr>
            </w:pPr>
            <w:r>
              <w:rPr>
                <w:rFonts w:ascii="Arial" w:cs="Arial" w:eastAsia="Arial" w:hAnsi="Arial"/>
                <w:sz w:val="14"/>
                <w:szCs w:val="14"/>
                <w:b w:val="1"/>
                <w:bCs w:val="1"/>
                <w:color w:val="auto"/>
                <w:w w:val="85"/>
              </w:rPr>
              <w:t>As Restated - Note 12 to</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9"/>
              </w:rPr>
              <w:t>February 26, 2005</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center"/>
              <w:ind w:left="560"/>
              <w:spacing w:after="0"/>
              <w:rPr>
                <w:sz w:val="20"/>
                <w:szCs w:val="20"/>
                <w:color w:val="auto"/>
              </w:rPr>
            </w:pPr>
            <w:r>
              <w:rPr>
                <w:rFonts w:ascii="Arial" w:cs="Arial" w:eastAsia="Arial" w:hAnsi="Arial"/>
                <w:sz w:val="14"/>
                <w:szCs w:val="14"/>
                <w:b w:val="1"/>
                <w:bCs w:val="1"/>
                <w:color w:val="auto"/>
                <w:w w:val="89"/>
              </w:rPr>
              <w:t>February 28, 2004</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As Restated - Note 12</w:t>
            </w: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February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20"/>
                <w:szCs w:val="20"/>
                <w:color w:val="auto"/>
              </w:rPr>
            </w:pPr>
          </w:p>
        </w:tc>
        <w:tc>
          <w:tcPr>
            <w:tcW w:w="660" w:type="dxa"/>
            <w:vAlign w:val="bottom"/>
          </w:tcPr>
          <w:p>
            <w:pPr>
              <w:jc w:val="right"/>
              <w:ind w:right="414"/>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3"/>
              </w:rPr>
              <w:t>(Decrease)</w:t>
            </w:r>
          </w:p>
        </w:tc>
        <w:tc>
          <w:tcPr>
            <w:tcW w:w="144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5"/>
              </w:rPr>
              <w:t>Change</w:t>
            </w:r>
          </w:p>
        </w:tc>
        <w:tc>
          <w:tcPr>
            <w:tcW w:w="32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(26,674)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(20,906)</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(9.1)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87.8</w:t>
            </w:r>
          </w:p>
        </w:tc>
        <w:tc>
          <w:tcPr>
            <w:tcW w:w="4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86.8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(5,768)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(16.5)</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Selling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6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1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20" w:type="dxa"/>
            <w:vAlign w:val="bottom"/>
            <w:gridSpan w:val="2"/>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(5,630)</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(23.0)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Provision for taxes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(1,965)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color w:val="auto"/>
              </w:rPr>
              <w:t>(22.0)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4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(3,309)</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(20.8%)</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18"/>
        </w:trPr>
        <w:tc>
          <w:tcPr>
            <w:tcW w:w="316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00" w:type="dxa"/>
            <w:vAlign w:val="bottom"/>
            <w:gridSpan w:val="2"/>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20" w:type="dxa"/>
            <w:vAlign w:val="bottom"/>
            <w:gridSpan w:val="2"/>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(0.09)</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(19.6%)</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6"/>
              </w:rPr>
              <w:t>Fully diluted average shares outstanding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thousands)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3261995</wp:posOffset>
            </wp:positionH>
            <wp:positionV relativeFrom="paragraph">
              <wp:posOffset>-734695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-734695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-734695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-734695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-734695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-734695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-734695</wp:posOffset>
            </wp:positionV>
            <wp:extent cx="127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-734695</wp:posOffset>
            </wp:positionV>
            <wp:extent cx="127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-443230</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-443230</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-443230</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-443230</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-14605</wp:posOffset>
            </wp:positionV>
            <wp:extent cx="127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-14605</wp:posOffset>
            </wp:positionV>
            <wp:extent cx="127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Net revenues for the 13 weeks ended February 26, 2005 decreased 10.0 percent to $239.4 million compared to $266.0 million for the quarter ended February 28, 2004. Unit deliveries consisted of the following:</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Thirteen Weeks Ended</w:t>
            </w:r>
          </w:p>
        </w:tc>
        <w:tc>
          <w:tcPr>
            <w:tcW w:w="460" w:type="dxa"/>
            <w:vAlign w:val="bottom"/>
          </w:tcPr>
          <w:p>
            <w:pPr>
              <w:spacing w:after="0"/>
              <w:rPr>
                <w:sz w:val="14"/>
                <w:szCs w:val="14"/>
                <w:color w:val="auto"/>
              </w:rPr>
            </w:pPr>
          </w:p>
        </w:tc>
        <w:tc>
          <w:tcPr>
            <w:tcW w:w="16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Thirteen Weeks Ended</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jc w:val="right"/>
              <w:ind w:right="21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February 26, 2005</w:t>
            </w:r>
          </w:p>
        </w:tc>
        <w:tc>
          <w:tcPr>
            <w:tcW w:w="460" w:type="dxa"/>
            <w:vAlign w:val="bottom"/>
          </w:tcPr>
          <w:p>
            <w:pPr>
              <w:spacing w:after="0"/>
              <w:rPr>
                <w:sz w:val="15"/>
                <w:szCs w:val="15"/>
                <w:color w:val="auto"/>
              </w:rPr>
            </w:pPr>
          </w:p>
        </w:tc>
        <w:tc>
          <w:tcPr>
            <w:tcW w:w="16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February 28, 2004</w:t>
            </w:r>
          </w:p>
        </w:tc>
        <w:tc>
          <w:tcPr>
            <w:tcW w:w="460" w:type="dxa"/>
            <w:vAlign w:val="bottom"/>
          </w:tcPr>
          <w:p>
            <w:pPr>
              <w:spacing w:after="0"/>
              <w:rPr>
                <w:sz w:val="15"/>
                <w:szCs w:val="15"/>
                <w:color w:val="auto"/>
              </w:rPr>
            </w:pPr>
          </w:p>
        </w:tc>
        <w:tc>
          <w:tcPr>
            <w:tcW w:w="146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3"/>
              </w:rPr>
              <w:t>Decrease</w:t>
            </w:r>
          </w:p>
        </w:tc>
        <w:tc>
          <w:tcPr>
            <w:tcW w:w="11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A motor homes (gas)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4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580" w:type="dxa"/>
            <w:vAlign w:val="bottom"/>
          </w:tcPr>
          <w:p>
            <w:pPr>
              <w:jc w:val="right"/>
              <w:spacing w:after="0"/>
              <w:rPr>
                <w:sz w:val="20"/>
                <w:szCs w:val="20"/>
                <w:color w:val="auto"/>
              </w:rPr>
            </w:pPr>
            <w:r>
              <w:rPr>
                <w:rFonts w:ascii="Arial" w:cs="Arial" w:eastAsia="Arial" w:hAnsi="Arial"/>
                <w:sz w:val="18"/>
                <w:szCs w:val="18"/>
                <w:color w:val="auto"/>
              </w:rPr>
              <w:t>550</w:t>
            </w:r>
          </w:p>
        </w:tc>
        <w:tc>
          <w:tcPr>
            <w:tcW w:w="40" w:type="dxa"/>
            <w:vAlign w:val="bottom"/>
          </w:tcPr>
          <w:p>
            <w:pPr>
              <w:spacing w:after="0"/>
              <w:rPr>
                <w:sz w:val="18"/>
                <w:szCs w:val="18"/>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18"/>
                <w:szCs w:val="18"/>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8"/>
                <w:szCs w:val="18"/>
                <w:color w:val="auto"/>
              </w:rPr>
              <w:t>(166)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Class C motor homes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4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shd w:val="clear" w:color="auto" w:fill="CCEEFF"/>
          </w:tcPr>
          <w:p>
            <w:pPr>
              <w:spacing w:after="0"/>
              <w:rPr>
                <w:sz w:val="18"/>
                <w:szCs w:val="18"/>
                <w:color w:val="auto"/>
              </w:rPr>
            </w:pPr>
          </w:p>
        </w:tc>
        <w:tc>
          <w:tcPr>
            <w:tcW w:w="192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(151)</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40" w:type="dxa"/>
            <w:vAlign w:val="bottom"/>
            <w:gridSpan w:val="2"/>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52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1580" w:type="dxa"/>
            <w:vAlign w:val="bottom"/>
          </w:tcPr>
          <w:p>
            <w:pPr>
              <w:jc w:val="right"/>
              <w:spacing w:after="0"/>
              <w:rPr>
                <w:sz w:val="20"/>
                <w:szCs w:val="20"/>
                <w:color w:val="auto"/>
              </w:rPr>
            </w:pPr>
            <w:r>
              <w:rPr>
                <w:rFonts w:ascii="Arial" w:cs="Arial" w:eastAsia="Arial" w:hAnsi="Arial"/>
                <w:sz w:val="18"/>
                <w:szCs w:val="18"/>
                <w:color w:val="auto"/>
              </w:rPr>
              <w:t>2,554</w:t>
            </w:r>
          </w:p>
        </w:tc>
        <w:tc>
          <w:tcPr>
            <w:tcW w:w="4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3,022</w:t>
            </w:r>
          </w:p>
        </w:tc>
        <w:tc>
          <w:tcPr>
            <w:tcW w:w="40" w:type="dxa"/>
            <w:vAlign w:val="bottom"/>
          </w:tcPr>
          <w:p>
            <w:pPr>
              <w:spacing w:after="0"/>
              <w:rPr>
                <w:sz w:val="24"/>
                <w:szCs w:val="24"/>
                <w:color w:val="auto"/>
              </w:rPr>
            </w:pPr>
          </w:p>
        </w:tc>
        <w:tc>
          <w:tcPr>
            <w:tcW w:w="1920" w:type="dxa"/>
            <w:vAlign w:val="bottom"/>
            <w:gridSpan w:val="4"/>
          </w:tcPr>
          <w:p>
            <w:pPr>
              <w:jc w:val="right"/>
              <w:ind w:right="680"/>
              <w:spacing w:after="0"/>
              <w:rPr>
                <w:sz w:val="20"/>
                <w:szCs w:val="20"/>
                <w:color w:val="auto"/>
              </w:rPr>
            </w:pPr>
            <w:r>
              <w:rPr>
                <w:rFonts w:ascii="Arial" w:cs="Arial" w:eastAsia="Arial" w:hAnsi="Arial"/>
                <w:sz w:val="18"/>
                <w:szCs w:val="18"/>
                <w:color w:val="auto"/>
              </w:rPr>
              <w:t>(468)</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3613150</wp:posOffset>
            </wp:positionH>
            <wp:positionV relativeFrom="paragraph">
              <wp:posOffset>-14605</wp:posOffset>
            </wp:positionV>
            <wp:extent cx="127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2618740</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6640830</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-14605</wp:posOffset>
            </wp:positionV>
            <wp:extent cx="127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While net revenues decreased 10.0 percent during the 13 weeks ended February 26, 2005, unit deliveries decreased 15.5 percent. The percentage decrease in unit deliveries was partially offset by an increase in the average sale price per unit when comparing the two quarters. Also causing the reduction in revenues and unit deliveries was dealer inventory levels being at more normal levels during the period ended February 26, 2005 compared to February 28, 2004.</w:t>
      </w:r>
    </w:p>
    <w:p>
      <w:pPr>
        <w:spacing w:after="0" w:line="161"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Gross profit as a percentage of net revenues was lower during the 13 weeks ended February 26, 2005 (12.2 percent) when compared to the comparable period ended February 28, 2004 (13.2 percent). When comparing the two quarters, a physical inventory adjustment, lower production volume, and higher fixed costs unfavorably impacted the gross profit percentage during the period ended February 26, 2005. Unfavorably impacting the Febraury 28, 2004 quarter was the recording of a reserve of approximately $1.9 million (representing .7 percent of net revenues) associated with a product recall.</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expenses increased 2.3 percent ($103,000) during the 13 weeks ended February 26, 2005, to $4.6 million or 1.9 percent of net revenues compared to $4.5 million or 1.7 percent of net revenues for the 13 weeks ended February 28, 2004. The increases in dollars and percentage were due primarily to increased advertising costs offset partially by a reduction in sales employee incentive compensation costs.</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General and administrative expenses decreased 4.0 percent during the 13 weeks ended February 26, 2005, to $5.8 million compared to $6.0 million for the 13 weeks ended February 28, 2004; however, as a percentage of net revenues for the period ending February 26, 2005 increased to 2.4 percent compared to 2.3 percent for the period ended February 28, 2004. The decrease in dollars was due primarily to a reduction of approximately $300,000 in management incentive compensation costs in the second quarter of fiscal 2005.</w:t>
      </w:r>
    </w:p>
    <w:p>
      <w:pPr>
        <w:sectPr>
          <w:pgSz w:w="11900" w:h="16838" w:orient="portrait"/>
          <w:cols w:equalWidth="0" w:num="1">
            <w:col w:w="11320"/>
          </w:cols>
          <w:pgMar w:left="240" w:top="125" w:right="339" w:bottom="0" w:gutter="0" w:footer="0" w:header="0"/>
        </w:sectPr>
      </w:pPr>
    </w:p>
    <w:bookmarkStart w:id="12" w:name="page13"/>
    <w:bookmarkEnd w:id="12"/>
    <w:p>
      <w:pPr>
        <w:spacing w:after="0" w:line="5"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Financial income increased 125.8 percent during the 13 weeks ended February 26, 2005 to $639,000 from $283,000 for the 13 weeks ended February 28, 2004. The increase in financial income during the second quarter of fiscal 2005 was due to more cash being available for investing than during the second quarter of fiscal 2004. Also, the average rate the Company earned on investments during the fiscal 2005 period was higher than the average rate earned during the fiscal 2004 period.</w:t>
      </w:r>
    </w:p>
    <w:p>
      <w:pPr>
        <w:spacing w:after="0" w:line="197"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overall effective income tax rate decreased to 35.7 percent for the 13 weeks ended February 26, 2005 from 36.0 percent for the 13 weeks ended February 28, 2004. The decrease was primarily due to a decrease in non-deductible losses in the Winnebago Health Care Management Company.</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Net income and earnings per diluted share decreased by 20.8 percent and 19.6 percent, respectively, when comparing the 13 weeks ended February 26, 2005 to the 13 weeks ended February 28, 2004. The difference in percentages was primarily due to a lower number of outstanding shares of common stock during the 13 weeks ended February 26, 2005, as a result of common stock repurchased by the Company. (See Note 10 of the Unaudited Condensed Notes to Condensed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Current Year-to-Date Compared to the Same Period Last Year</w:t>
      </w:r>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following is an analysis of changes in key items included in the consolidated statements of income for the 26-week period ended February 26, 2005 compared to the 26-week period ended February 28, 2004.</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Dollars in thousands, except per share data</w:t>
      </w:r>
    </w:p>
    <w:tbl>
      <w:tblPr>
        <w:tblLayout w:type="fixed"/>
        <w:tblInd w:w="460" w:type="dxa"/>
        <w:tblCellMar>
          <w:top w:w="0" w:type="dxa"/>
          <w:left w:w="0" w:type="dxa"/>
          <w:bottom w:w="0" w:type="dxa"/>
          <w:right w:w="0" w:type="dxa"/>
        </w:tblCellMar>
      </w:tblPr>
      <w:tr>
        <w:trPr>
          <w:trHeight w:val="140"/>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80" w:type="dxa"/>
            <w:vAlign w:val="bottom"/>
            <w:gridSpan w:val="4"/>
          </w:tcPr>
          <w:p>
            <w:pPr>
              <w:jc w:val="center"/>
              <w:ind w:left="560"/>
              <w:spacing w:after="0" w:line="140" w:lineRule="exact"/>
              <w:rPr>
                <w:sz w:val="20"/>
                <w:szCs w:val="20"/>
                <w:color w:val="auto"/>
              </w:rPr>
            </w:pPr>
            <w:r>
              <w:rPr>
                <w:rFonts w:ascii="Arial" w:cs="Arial" w:eastAsia="Arial" w:hAnsi="Arial"/>
                <w:sz w:val="14"/>
                <w:szCs w:val="14"/>
                <w:b w:val="1"/>
                <w:bCs w:val="1"/>
                <w:color w:val="auto"/>
                <w:w w:val="87"/>
              </w:rPr>
              <w:t>Comparison of</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0" w:type="dxa"/>
            <w:vAlign w:val="bottom"/>
            <w:gridSpan w:val="6"/>
            <w:vMerge w:val="restart"/>
          </w:tcPr>
          <w:p>
            <w:pPr>
              <w:jc w:val="right"/>
              <w:ind w:right="96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960" w:type="dxa"/>
            <w:vAlign w:val="bottom"/>
            <w:gridSpan w:val="5"/>
            <w:vMerge w:val="restart"/>
          </w:tcPr>
          <w:p>
            <w:pPr>
              <w:jc w:val="center"/>
              <w:ind w:left="380"/>
              <w:spacing w:after="0" w:line="149" w:lineRule="exact"/>
              <w:rPr>
                <w:sz w:val="20"/>
                <w:szCs w:val="20"/>
                <w:color w:val="auto"/>
              </w:rPr>
            </w:pPr>
            <w:r>
              <w:rPr>
                <w:rFonts w:ascii="Arial" w:cs="Arial" w:eastAsia="Arial" w:hAnsi="Arial"/>
                <w:sz w:val="14"/>
                <w:szCs w:val="14"/>
                <w:b w:val="1"/>
                <w:bCs w:val="1"/>
                <w:color w:val="auto"/>
                <w:w w:val="86"/>
              </w:rPr>
              <w:t>Twenty-Six Weeks Ended</w:t>
            </w: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60" w:type="dxa"/>
            <w:vAlign w:val="bottom"/>
            <w:gridSpan w:val="5"/>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4"/>
            <w:vMerge w:val="restart"/>
          </w:tcPr>
          <w:p>
            <w:pPr>
              <w:jc w:val="center"/>
              <w:ind w:left="560"/>
              <w:spacing w:after="0" w:line="149" w:lineRule="exact"/>
              <w:rPr>
                <w:sz w:val="20"/>
                <w:szCs w:val="20"/>
                <w:color w:val="auto"/>
              </w:rPr>
            </w:pPr>
            <w:r>
              <w:rPr>
                <w:rFonts w:ascii="Arial" w:cs="Arial" w:eastAsia="Arial" w:hAnsi="Arial"/>
                <w:sz w:val="14"/>
                <w:szCs w:val="14"/>
                <w:b w:val="1"/>
                <w:bCs w:val="1"/>
                <w:color w:val="auto"/>
                <w:w w:val="89"/>
              </w:rPr>
              <w:t>February 26, 2005</w:t>
            </w: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60" w:type="dxa"/>
            <w:vAlign w:val="bottom"/>
            <w:gridSpan w:val="5"/>
          </w:tcPr>
          <w:p>
            <w:pPr>
              <w:jc w:val="center"/>
              <w:ind w:left="380"/>
              <w:spacing w:after="0" w:line="149" w:lineRule="exact"/>
              <w:rPr>
                <w:sz w:val="20"/>
                <w:szCs w:val="20"/>
                <w:color w:val="auto"/>
              </w:rPr>
            </w:pPr>
            <w:r>
              <w:rPr>
                <w:rFonts w:ascii="Arial" w:cs="Arial" w:eastAsia="Arial" w:hAnsi="Arial"/>
                <w:sz w:val="14"/>
                <w:szCs w:val="14"/>
                <w:b w:val="1"/>
                <w:bCs w:val="1"/>
                <w:color w:val="auto"/>
                <w:w w:val="85"/>
              </w:rPr>
              <w:t>As Restated - Note 12 to</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60" w:type="dxa"/>
            <w:vAlign w:val="bottom"/>
            <w:gridSpan w:val="3"/>
          </w:tcPr>
          <w:p>
            <w:pPr>
              <w:jc w:val="right"/>
              <w:ind w:right="660"/>
              <w:spacing w:after="0" w:line="149" w:lineRule="exact"/>
              <w:rPr>
                <w:sz w:val="20"/>
                <w:szCs w:val="20"/>
                <w:color w:val="auto"/>
              </w:rPr>
            </w:pPr>
            <w:r>
              <w:rPr>
                <w:rFonts w:ascii="Arial" w:cs="Arial" w:eastAsia="Arial" w:hAnsi="Arial"/>
                <w:sz w:val="14"/>
                <w:szCs w:val="14"/>
                <w:b w:val="1"/>
                <w:bCs w:val="1"/>
                <w:color w:val="auto"/>
                <w:w w:val="99"/>
              </w:rPr>
              <w:t>February 26, 2005</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center"/>
              <w:ind w:left="560"/>
              <w:spacing w:after="0"/>
              <w:rPr>
                <w:sz w:val="20"/>
                <w:szCs w:val="20"/>
                <w:color w:val="auto"/>
              </w:rPr>
            </w:pPr>
            <w:r>
              <w:rPr>
                <w:rFonts w:ascii="Arial" w:cs="Arial" w:eastAsia="Arial" w:hAnsi="Arial"/>
                <w:sz w:val="14"/>
                <w:szCs w:val="14"/>
                <w:b w:val="1"/>
                <w:bCs w:val="1"/>
                <w:color w:val="auto"/>
                <w:w w:val="89"/>
              </w:rPr>
              <w:t>February 28, 2004</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88"/>
              </w:rPr>
              <w:t>As Restated - Note 12</w:t>
            </w:r>
          </w:p>
        </w:tc>
        <w:tc>
          <w:tcPr>
            <w:tcW w:w="13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1"/>
              </w:rPr>
              <w:t>February 28,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4"/>
              </w:rPr>
              <w:t>Increase</w:t>
            </w:r>
          </w:p>
        </w:tc>
        <w:tc>
          <w:tcPr>
            <w:tcW w:w="180" w:type="dxa"/>
            <w:vAlign w:val="bottom"/>
          </w:tcPr>
          <w:p>
            <w:pPr>
              <w:spacing w:after="0"/>
              <w:rPr>
                <w:sz w:val="20"/>
                <w:szCs w:val="20"/>
                <w:color w:val="auto"/>
              </w:rPr>
            </w:pPr>
          </w:p>
        </w:tc>
        <w:tc>
          <w:tcPr>
            <w:tcW w:w="64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83"/>
              </w:rPr>
              <w:t>(Decrease)</w:t>
            </w:r>
          </w:p>
        </w:tc>
        <w:tc>
          <w:tcPr>
            <w:tcW w:w="1440" w:type="dxa"/>
            <w:vAlign w:val="bottom"/>
            <w:gridSpan w:val="4"/>
          </w:tcPr>
          <w:p>
            <w:pPr>
              <w:jc w:val="center"/>
              <w:ind w:right="920"/>
              <w:spacing w:after="0"/>
              <w:rPr>
                <w:sz w:val="20"/>
                <w:szCs w:val="20"/>
                <w:color w:val="auto"/>
              </w:rPr>
            </w:pPr>
            <w:r>
              <w:rPr>
                <w:rFonts w:ascii="Arial" w:cs="Arial" w:eastAsia="Arial" w:hAnsi="Arial"/>
                <w:sz w:val="14"/>
                <w:szCs w:val="14"/>
                <w:b w:val="1"/>
                <w:bCs w:val="1"/>
                <w:color w:val="auto"/>
                <w:w w:val="85"/>
              </w:rPr>
              <w:t>Change</w:t>
            </w:r>
          </w:p>
        </w:tc>
        <w:tc>
          <w:tcPr>
            <w:tcW w:w="32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 of Net Revenues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(15,474)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Cost of goods sold</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(10,305)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(2.3)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86.3</w:t>
            </w:r>
          </w:p>
        </w:tc>
        <w:tc>
          <w:tcPr>
            <w:tcW w:w="4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(5,169)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Selling</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4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(3.6)</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160" w:type="dxa"/>
            <w:vAlign w:val="bottom"/>
            <w:gridSpan w:val="2"/>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500" w:type="dxa"/>
            <w:vAlign w:val="bottom"/>
            <w:gridSpan w:val="2"/>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20" w:type="dxa"/>
            <w:vAlign w:val="bottom"/>
            <w:gridSpan w:val="2"/>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1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(4,843)</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(9.0)</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480" w:type="dxa"/>
            <w:vAlign w:val="bottom"/>
          </w:tcPr>
          <w:p>
            <w:pPr>
              <w:spacing w:after="0"/>
              <w:rPr>
                <w:sz w:val="24"/>
                <w:szCs w:val="24"/>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w:t>
            </w:r>
          </w:p>
        </w:tc>
        <w:tc>
          <w:tcPr>
            <w:tcW w:w="6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Provision for taxes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(2,464)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color w:val="auto"/>
              </w:rPr>
              <w:t>(12.1)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4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(1,832)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(5.4%)</w:t>
            </w:r>
          </w:p>
        </w:tc>
        <w:tc>
          <w:tcPr>
            <w:tcW w:w="1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6.3%</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18"/>
        </w:trPr>
        <w:tc>
          <w:tcPr>
            <w:tcW w:w="3160" w:type="dxa"/>
            <w:vAlign w:val="bottom"/>
            <w:gridSpan w:val="2"/>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00" w:type="dxa"/>
            <w:vAlign w:val="bottom"/>
            <w:gridSpan w:val="2"/>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20" w:type="dxa"/>
            <w:vAlign w:val="bottom"/>
            <w:gridSpan w:val="2"/>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9"/>
        </w:trPr>
        <w:tc>
          <w:tcPr>
            <w:tcW w:w="316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40"/>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w w:val="96"/>
              </w:rPr>
              <w:t>Fully diluted average shares outstanding</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 thousands)</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500" w:type="dxa"/>
            <w:vAlign w:val="bottom"/>
            <w:gridSpan w:val="2"/>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4"/>
          </w:tcPr>
          <w:p>
            <w:pPr>
              <w:jc w:val="right"/>
              <w:ind w:right="180"/>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6606540</wp:posOffset>
            </wp:positionH>
            <wp:positionV relativeFrom="paragraph">
              <wp:posOffset>-1365885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-1365885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-1074420</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-1074420</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-1074420</wp:posOffset>
            </wp:positionV>
            <wp:extent cx="127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-1074420</wp:posOffset>
            </wp:positionV>
            <wp:extent cx="127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-1074420</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-1074420</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-1074420</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-1074420</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-782955</wp:posOffset>
            </wp:positionV>
            <wp:extent cx="127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-782955</wp:posOffset>
            </wp:positionV>
            <wp:extent cx="127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-782955</wp:posOffset>
            </wp:positionV>
            <wp:extent cx="127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-782955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3261995</wp:posOffset>
            </wp:positionH>
            <wp:positionV relativeFrom="paragraph">
              <wp:posOffset>-353695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2550160</wp:posOffset>
            </wp:positionH>
            <wp:positionV relativeFrom="paragraph">
              <wp:posOffset>-353695</wp:posOffset>
            </wp:positionV>
            <wp:extent cx="12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-353695</wp:posOffset>
            </wp:positionV>
            <wp:extent cx="127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-353695</wp:posOffset>
            </wp:positionV>
            <wp:extent cx="127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revenues for the 26 weeks ended February 26, 2005 decreased 3.0 percent to $505.5 million compared to $521.0 million for the 26 weeks ended February 28, 2004. Unit deliveries consisted of the following:</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Twenty-Six Weeks Ended</w:t>
            </w:r>
          </w:p>
        </w:tc>
        <w:tc>
          <w:tcPr>
            <w:tcW w:w="420" w:type="dxa"/>
            <w:vAlign w:val="bottom"/>
          </w:tcPr>
          <w:p>
            <w:pPr>
              <w:spacing w:after="0"/>
              <w:rPr>
                <w:sz w:val="14"/>
                <w:szCs w:val="14"/>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Twenty-Six Weeks Ended</w:t>
            </w: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February 26, 2005</w:t>
            </w:r>
          </w:p>
        </w:tc>
        <w:tc>
          <w:tcPr>
            <w:tcW w:w="420" w:type="dxa"/>
            <w:vAlign w:val="bottom"/>
          </w:tcPr>
          <w:p>
            <w:pPr>
              <w:spacing w:after="0"/>
              <w:rPr>
                <w:sz w:val="15"/>
                <w:szCs w:val="15"/>
                <w:color w:val="auto"/>
              </w:rPr>
            </w:pPr>
          </w:p>
        </w:tc>
        <w:tc>
          <w:tcPr>
            <w:tcW w:w="18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February 28, 2004</w:t>
            </w:r>
          </w:p>
        </w:tc>
        <w:tc>
          <w:tcPr>
            <w:tcW w:w="420" w:type="dxa"/>
            <w:vAlign w:val="bottom"/>
          </w:tcPr>
          <w:p>
            <w:pPr>
              <w:spacing w:after="0"/>
              <w:rPr>
                <w:sz w:val="15"/>
                <w:szCs w:val="15"/>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4"/>
                <w:szCs w:val="14"/>
                <w:b w:val="1"/>
                <w:bCs w:val="1"/>
                <w:color w:val="auto"/>
                <w:w w:val="93"/>
              </w:rPr>
              <w:t>Decrease</w:t>
            </w: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8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Class A motor homes (gas)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w:t>
            </w:r>
          </w:p>
        </w:tc>
        <w:tc>
          <w:tcPr>
            <w:tcW w:w="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2,610</w:t>
            </w:r>
          </w:p>
        </w:tc>
        <w:tc>
          <w:tcPr>
            <w:tcW w:w="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(167)</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Class A motor homes (diesel)</w:t>
            </w:r>
          </w:p>
        </w:tc>
        <w:tc>
          <w:tcPr>
            <w:tcW w:w="1820" w:type="dxa"/>
            <w:vAlign w:val="bottom"/>
          </w:tcPr>
          <w:p>
            <w:pPr>
              <w:jc w:val="right"/>
              <w:spacing w:after="0"/>
              <w:rPr>
                <w:sz w:val="20"/>
                <w:szCs w:val="20"/>
                <w:color w:val="auto"/>
              </w:rPr>
            </w:pPr>
            <w:r>
              <w:rPr>
                <w:rFonts w:ascii="Arial" w:cs="Arial" w:eastAsia="Arial" w:hAnsi="Arial"/>
                <w:sz w:val="18"/>
                <w:szCs w:val="18"/>
                <w:color w:val="auto"/>
              </w:rPr>
              <w:t>1,146</w:t>
            </w:r>
          </w:p>
        </w:tc>
        <w:tc>
          <w:tcPr>
            <w:tcW w:w="2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1,245</w:t>
            </w:r>
          </w:p>
        </w:tc>
        <w:tc>
          <w:tcPr>
            <w:tcW w:w="40" w:type="dxa"/>
            <w:vAlign w:val="bottom"/>
          </w:tcPr>
          <w:p>
            <w:pPr>
              <w:spacing w:after="0"/>
              <w:rPr>
                <w:sz w:val="18"/>
                <w:szCs w:val="18"/>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8"/>
                <w:szCs w:val="18"/>
                <w:color w:val="auto"/>
              </w:rPr>
              <w:t>(99)</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Class C motor homes</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4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(399)</w:t>
            </w:r>
          </w:p>
        </w:tc>
        <w:tc>
          <w:tcPr>
            <w:tcW w:w="1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80" w:type="dxa"/>
            <w:vAlign w:val="bottom"/>
            <w:gridSpan w:val="2"/>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Total deliveries</w:t>
            </w:r>
          </w:p>
        </w:tc>
        <w:tc>
          <w:tcPr>
            <w:tcW w:w="1820" w:type="dxa"/>
            <w:vAlign w:val="bottom"/>
          </w:tcPr>
          <w:p>
            <w:pPr>
              <w:jc w:val="right"/>
              <w:spacing w:after="0"/>
              <w:rPr>
                <w:sz w:val="20"/>
                <w:szCs w:val="20"/>
                <w:color w:val="auto"/>
              </w:rPr>
            </w:pPr>
            <w:r>
              <w:rPr>
                <w:rFonts w:ascii="Arial" w:cs="Arial" w:eastAsia="Arial" w:hAnsi="Arial"/>
                <w:sz w:val="18"/>
                <w:szCs w:val="18"/>
                <w:color w:val="auto"/>
              </w:rPr>
              <w:t>5,379</w:t>
            </w:r>
          </w:p>
        </w:tc>
        <w:tc>
          <w:tcPr>
            <w:tcW w:w="20" w:type="dxa"/>
            <w:vAlign w:val="bottom"/>
          </w:tcPr>
          <w:p>
            <w:pPr>
              <w:spacing w:after="0"/>
              <w:rPr>
                <w:sz w:val="24"/>
                <w:szCs w:val="24"/>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5,984</w:t>
            </w:r>
          </w:p>
        </w:tc>
        <w:tc>
          <w:tcPr>
            <w:tcW w:w="40" w:type="dxa"/>
            <w:vAlign w:val="bottom"/>
          </w:tcPr>
          <w:p>
            <w:pPr>
              <w:spacing w:after="0"/>
              <w:rPr>
                <w:sz w:val="24"/>
                <w:szCs w:val="24"/>
                <w:color w:val="auto"/>
              </w:rPr>
            </w:pPr>
          </w:p>
        </w:tc>
        <w:tc>
          <w:tcPr>
            <w:tcW w:w="1800" w:type="dxa"/>
            <w:vAlign w:val="bottom"/>
            <w:gridSpan w:val="4"/>
          </w:tcPr>
          <w:p>
            <w:pPr>
              <w:jc w:val="right"/>
              <w:ind w:right="640"/>
              <w:spacing w:after="0"/>
              <w:rPr>
                <w:sz w:val="20"/>
                <w:szCs w:val="20"/>
                <w:color w:val="auto"/>
              </w:rPr>
            </w:pPr>
            <w:r>
              <w:rPr>
                <w:rFonts w:ascii="Arial" w:cs="Arial" w:eastAsia="Arial" w:hAnsi="Arial"/>
                <w:sz w:val="18"/>
                <w:szCs w:val="18"/>
                <w:color w:val="auto"/>
              </w:rPr>
              <w:t>(605)</w:t>
            </w:r>
          </w:p>
        </w:tc>
        <w:tc>
          <w:tcPr>
            <w:tcW w:w="1040" w:type="dxa"/>
            <w:vAlign w:val="bottom"/>
            <w:gridSpan w:val="3"/>
          </w:tcPr>
          <w:p>
            <w:pPr>
              <w:jc w:val="right"/>
              <w:ind w:right="1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3604895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2455545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-14605</wp:posOffset>
            </wp:positionV>
            <wp:extent cx="12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-14605</wp:posOffset>
            </wp:positionV>
            <wp:extent cx="127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-14605</wp:posOffset>
            </wp:positionV>
            <wp:extent cx="1270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-14605</wp:posOffset>
            </wp:positionV>
            <wp:extent cx="127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-14605</wp:posOffset>
            </wp:positionV>
            <wp:extent cx="127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260"/>
        <w:spacing w:after="0" w:line="370" w:lineRule="auto"/>
        <w:rPr>
          <w:sz w:val="20"/>
          <w:szCs w:val="20"/>
          <w:color w:val="auto"/>
        </w:rPr>
      </w:pPr>
      <w:r>
        <w:rPr>
          <w:rFonts w:ascii="Arial" w:cs="Arial" w:eastAsia="Arial" w:hAnsi="Arial"/>
          <w:sz w:val="15"/>
          <w:szCs w:val="15"/>
          <w:color w:val="auto"/>
        </w:rPr>
        <w:t>Net revenues decreased 3.0 percent during the 26 weeks ended February 26, 2005, while unit deliveries decreased 10.1 percent. The percentage decrease in net revenues was less than the percentage decrease in unit deliveries due to an increase in the average sales price per unit when comparing the two periods.</w:t>
      </w:r>
    </w:p>
    <w:p>
      <w:pPr>
        <w:spacing w:after="0" w:line="11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Gross profit as a percentage of net revenues was lower during the 26 weeks ended February 26, 2005 (13.7 percent) when compared to the comparable period ended February 28, 2004 (14.3 percent). Unfavorably impacting the 26 weeks ended February 26, 2005 were lower production volume, a physical inventory adjustment and higher fixed costs. Unfavorably impacting the 26 weeks ended February 28, 2004 was the recording of a reserve of approximately $1.9 million (representing .4 percent of net revenues) associated with a product recall.</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Selling expenses increased by 1.1 percent ($96,000) during the 26 weeks ended February 26, 2005, to $9.1 million (1.8 percent of net revenues) compared to $9.0 million (1.7 percent of net revenues for the 26 weeks ended February 28, 2004). The increases in percentage and dollars were due primarily to increased advertising costs, offset partially by a reduction in sales employee incentive compensation costs.</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 and administrative expenses decreased 3.6 percent during the 26 weeks ended February 26, 2005, to $11.4 million (2.3 percent of net revenues) compared to $11.8 million (2.3 percent of net revenues) for the 26 weeks ended February 28, 2004. The decrease in dollars was due primarily to a reduction of approximately $275,000 in management incentive compensation costs during the fiscal 2005 period.</w:t>
      </w:r>
    </w:p>
    <w:p>
      <w:pPr>
        <w:sectPr>
          <w:pgSz w:w="11900" w:h="16843" w:orient="portrait"/>
          <w:cols w:equalWidth="0" w:num="1">
            <w:col w:w="11420"/>
          </w:cols>
          <w:pgMar w:left="240" w:top="131" w:right="239" w:bottom="0" w:gutter="0" w:footer="0" w:header="0"/>
        </w:sectPr>
      </w:pPr>
    </w:p>
    <w:bookmarkStart w:id="13" w:name="page14"/>
    <w:bookmarkEnd w:id="13"/>
    <w:p>
      <w:pPr>
        <w:ind w:right="60"/>
        <w:spacing w:after="0" w:line="256" w:lineRule="auto"/>
        <w:rPr>
          <w:sz w:val="20"/>
          <w:szCs w:val="20"/>
          <w:color w:val="auto"/>
        </w:rPr>
      </w:pPr>
      <w:r>
        <w:rPr>
          <w:rFonts w:ascii="Arial" w:cs="Arial" w:eastAsia="Arial" w:hAnsi="Arial"/>
          <w:sz w:val="18"/>
          <w:szCs w:val="18"/>
          <w:color w:val="auto"/>
        </w:rPr>
        <w:t>Financial income increased 93.3 percent during the 26 weeks ended February 26, 2005 to $1.1 million from $586,000 for the 26 weeks ended February 28, 2004. The increase in financial income during the first half of fiscal 2005 was due to more cash being available for investing than during the first half of fiscal 2004. Also, the average rate the Company earned on investments during the fiscal 2005 period was significantly higher than the average rate earned during the fiscal 2004 period.</w:t>
      </w:r>
    </w:p>
    <w:p>
      <w:pPr>
        <w:spacing w:after="0" w:line="19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overall effective income tax rate decreased to 35.7 percent for the 26 weeks ended February 26, 2005 from 37.5 percent for the 26 weeks ended February 28, 2004. The decrease was primarily due to a decrease in non-deductible losses in the Winnebago Health Care Management Company.</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income and earnings per diluted share decreased by 5.4 percent and 2.1 percent when comparing the 26 weeks ended February 26, 2005 to the 26 weeks ended February 28, 2004. The difference in percentages was due primarily to a lower number of outstanding shares of the Company’s common stock during the 26 weeks ended February 26, 2005, as a result of common stock repurchased by the Company. (See Note 10 of the Unaudited Condensed Notes to Condensed Consolidated Financial Statements.)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Company meets its working capital, capital equipment and other cash requirements with funds generated from operations.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At February 26, 2005, working capital was $194.6 million, an increase of $29.8 million from August 28, 2004‘s amount of $164.8 million.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for the 26 weeks ended February 26, 2005 was $46.2 million compared to $25.7 million for the 26 weeks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February 28, 2004. The major items affecting cash from operations were as follows:</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74"/>
        </w:trPr>
        <w:tc>
          <w:tcPr>
            <w:tcW w:w="4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20" w:type="dxa"/>
            <w:vAlign w:val="bottom"/>
            <w:gridSpan w:val="7"/>
          </w:tcPr>
          <w:p>
            <w:pPr>
              <w:jc w:val="right"/>
              <w:ind w:right="1080"/>
              <w:spacing w:after="0"/>
              <w:rPr>
                <w:sz w:val="20"/>
                <w:szCs w:val="20"/>
                <w:color w:val="auto"/>
              </w:rPr>
            </w:pPr>
            <w:r>
              <w:rPr>
                <w:rFonts w:ascii="Arial" w:cs="Arial" w:eastAsia="Arial" w:hAnsi="Arial"/>
                <w:sz w:val="14"/>
                <w:szCs w:val="14"/>
                <w:b w:val="1"/>
                <w:bCs w:val="1"/>
                <w:color w:val="auto"/>
              </w:rPr>
              <w:t>Twenty-Six Weeks Ended</w:t>
            </w:r>
          </w:p>
        </w:tc>
        <w:tc>
          <w:tcPr>
            <w:tcW w:w="0" w:type="dxa"/>
            <w:vAlign w:val="bottom"/>
          </w:tcPr>
          <w:p>
            <w:pPr>
              <w:spacing w:after="0"/>
              <w:rPr>
                <w:sz w:val="1"/>
                <w:szCs w:val="1"/>
                <w:color w:val="auto"/>
              </w:rPr>
            </w:pPr>
          </w:p>
        </w:tc>
      </w:tr>
      <w:tr>
        <w:trPr>
          <w:trHeight w:val="95"/>
        </w:trPr>
        <w:tc>
          <w:tcPr>
            <w:tcW w:w="4540" w:type="dxa"/>
            <w:vAlign w:val="bottom"/>
            <w:vMerge w:val="restart"/>
          </w:tcPr>
          <w:p>
            <w:pPr>
              <w:spacing w:after="0"/>
              <w:rPr>
                <w:sz w:val="20"/>
                <w:szCs w:val="20"/>
                <w:color w:val="auto"/>
              </w:rPr>
            </w:pPr>
            <w:r>
              <w:rPr>
                <w:rFonts w:ascii="Arial" w:cs="Arial" w:eastAsia="Arial" w:hAnsi="Arial"/>
                <w:sz w:val="18"/>
                <w:szCs w:val="18"/>
                <w:color w:val="auto"/>
              </w:rPr>
              <w:t>(In thousands)</w:t>
            </w:r>
          </w:p>
        </w:tc>
        <w:tc>
          <w:tcPr>
            <w:tcW w:w="12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89"/>
              </w:rPr>
              <w:t>February 26, 2005</w:t>
            </w:r>
          </w:p>
        </w:tc>
        <w:tc>
          <w:tcPr>
            <w:tcW w:w="14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February 28, 2004</w:t>
            </w:r>
          </w:p>
        </w:tc>
        <w:tc>
          <w:tcPr>
            <w:tcW w:w="0" w:type="dxa"/>
            <w:vAlign w:val="bottom"/>
          </w:tcPr>
          <w:p>
            <w:pPr>
              <w:spacing w:after="0"/>
              <w:rPr>
                <w:sz w:val="1"/>
                <w:szCs w:val="1"/>
                <w:color w:val="auto"/>
              </w:rPr>
            </w:pPr>
          </w:p>
        </w:tc>
      </w:tr>
      <w:tr>
        <w:trPr>
          <w:trHeight w:val="95"/>
        </w:trPr>
        <w:tc>
          <w:tcPr>
            <w:tcW w:w="4540" w:type="dxa"/>
            <w:vAlign w:val="bottom"/>
          </w:tcPr>
          <w:p>
            <w:pPr>
              <w:spacing w:after="0"/>
              <w:rPr>
                <w:sz w:val="8"/>
                <w:szCs w:val="8"/>
                <w:color w:val="auto"/>
              </w:rPr>
            </w:pPr>
          </w:p>
        </w:tc>
        <w:tc>
          <w:tcPr>
            <w:tcW w:w="13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4540" w:type="dxa"/>
            <w:vAlign w:val="bottom"/>
          </w:tcPr>
          <w:p>
            <w:pPr>
              <w:spacing w:after="0"/>
              <w:rPr>
                <w:sz w:val="21"/>
                <w:szCs w:val="21"/>
                <w:color w:val="auto"/>
              </w:rPr>
            </w:pPr>
          </w:p>
        </w:tc>
        <w:tc>
          <w:tcPr>
            <w:tcW w:w="18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8"/>
              </w:rPr>
              <w:t>As Restated - Note 12</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32,115</w:t>
            </w:r>
          </w:p>
        </w:tc>
        <w:tc>
          <w:tcPr>
            <w:tcW w:w="4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33,947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Decrease in receivables and other assets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8"/>
                <w:szCs w:val="18"/>
                <w:color w:val="auto"/>
              </w:rPr>
              <w:t>Increase in accounts payable and accrued expenses</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 -</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Cash used by:</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8"/>
                <w:szCs w:val="18"/>
                <w:color w:val="auto"/>
              </w:rPr>
              <w:t>Increase in receivables and other assets</w:t>
            </w:r>
          </w:p>
        </w:tc>
        <w:tc>
          <w:tcPr>
            <w:tcW w:w="1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 - -</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(11,446)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Payments of accounts payable and accrued expenses</w:t>
            </w:r>
          </w:p>
        </w:tc>
        <w:tc>
          <w:tcPr>
            <w:tcW w:w="1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(3,419)</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140"/>
              <w:spacing w:after="0"/>
              <w:rPr>
                <w:sz w:val="20"/>
                <w:szCs w:val="20"/>
                <w:color w:val="auto"/>
              </w:rPr>
            </w:pPr>
            <w:r>
              <w:rPr>
                <w:rFonts w:ascii="Arial" w:cs="Arial" w:eastAsia="Arial" w:hAnsi="Arial"/>
                <w:sz w:val="18"/>
                <w:szCs w:val="18"/>
                <w:color w:val="auto"/>
              </w:rPr>
              <w:t>Increase in inventories</w:t>
            </w:r>
          </w:p>
        </w:tc>
        <w:tc>
          <w:tcPr>
            <w:tcW w:w="120" w:type="dxa"/>
            <w:vAlign w:val="bottom"/>
          </w:tcPr>
          <w:p>
            <w:pPr>
              <w:spacing w:after="0"/>
              <w:rPr>
                <w:sz w:val="18"/>
                <w:szCs w:val="18"/>
                <w:color w:val="auto"/>
              </w:rPr>
            </w:pPr>
          </w:p>
        </w:tc>
        <w:tc>
          <w:tcPr>
            <w:tcW w:w="1740" w:type="dxa"/>
            <w:vAlign w:val="bottom"/>
            <w:gridSpan w:val="3"/>
          </w:tcPr>
          <w:p>
            <w:pPr>
              <w:jc w:val="right"/>
              <w:ind w:right="440"/>
              <w:spacing w:after="0"/>
              <w:rPr>
                <w:sz w:val="20"/>
                <w:szCs w:val="20"/>
                <w:color w:val="auto"/>
              </w:rPr>
            </w:pPr>
            <w:r>
              <w:rPr>
                <w:rFonts w:ascii="Arial" w:cs="Arial" w:eastAsia="Arial" w:hAnsi="Arial"/>
                <w:sz w:val="18"/>
                <w:szCs w:val="18"/>
                <w:color w:val="auto"/>
              </w:rPr>
              <w:t>(12,926)</w:t>
            </w:r>
          </w:p>
        </w:tc>
        <w:tc>
          <w:tcPr>
            <w:tcW w:w="140" w:type="dxa"/>
            <w:vAlign w:val="bottom"/>
          </w:tcPr>
          <w:p>
            <w:pPr>
              <w:spacing w:after="0"/>
              <w:rPr>
                <w:sz w:val="18"/>
                <w:szCs w:val="18"/>
                <w:color w:val="auto"/>
              </w:rPr>
            </w:pPr>
          </w:p>
        </w:tc>
        <w:tc>
          <w:tcPr>
            <w:tcW w:w="1440" w:type="dxa"/>
            <w:vAlign w:val="bottom"/>
            <w:gridSpan w:val="3"/>
          </w:tcPr>
          <w:p>
            <w:pPr>
              <w:jc w:val="right"/>
              <w:ind w:right="140"/>
              <w:spacing w:after="0"/>
              <w:rPr>
                <w:sz w:val="20"/>
                <w:szCs w:val="20"/>
                <w:color w:val="auto"/>
              </w:rPr>
            </w:pPr>
            <w:r>
              <w:rPr>
                <w:rFonts w:ascii="Arial" w:cs="Arial" w:eastAsia="Arial" w:hAnsi="Arial"/>
                <w:sz w:val="18"/>
                <w:szCs w:val="18"/>
                <w:color w:val="auto"/>
              </w:rPr>
              <w:t>(23,101)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46,207</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25,687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45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127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-14605</wp:posOffset>
            </wp:positionV>
            <wp:extent cx="12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Changes in cash flows from operating activities for the first half of fiscal 2005 were due primarily to:</w:t>
      </w:r>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Decreases in receivables and other assets were due to the dealer’s payoff of unit deliveries, during the first half of fiscal 2005, recorded as receivables as of the fiscal year-end, and a return to a more traditional receivable level.</w:t>
      </w:r>
    </w:p>
    <w:p>
      <w:pPr>
        <w:spacing w:after="0" w:line="186"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Decreases in accounts payable and accrued expenses were due to the payment of fiscal 2004 employee incentive programs and a reduction in payables owed to the Company’s vendors.</w:t>
      </w:r>
    </w:p>
    <w:p>
      <w:pPr>
        <w:spacing w:after="0" w:line="18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Increase in inventories was due primarily to an increase in finished goods inventory of approximately 100 units (most of which were produced for sale into dealer rental fleets) and an increase in raw material and work-in-process due to a larger chassis inventory as of February 26, 2005.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Changes in cash flows from operating activities for the first half of fiscal 2004 were due primarily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accounts payable balances was due primarily to increases in the Company’s production schedules.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receivables and other assets was due primarily to an abnormally larger amount of deliveries of the Company’s products during February 2004.</w:t>
      </w:r>
    </w:p>
    <w:p>
      <w:pPr>
        <w:spacing w:after="0" w:line="24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Increases in inventories were due primarily to a larger number of chassis in the Company’s inventory and an increase in finished goods units of approximately 270 units at February 28, 2004.</w:t>
      </w:r>
    </w:p>
    <w:p>
      <w:pPr>
        <w:spacing w:after="0" w:line="18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primary uses of cash for investing activities were for capital equipment requirements of $4.2 million for the 26-week period ended February 26, 2005 compared to $5.0 million during the 26-week period ended February 28, 2004.</w:t>
      </w:r>
    </w:p>
    <w:p>
      <w:pPr>
        <w:spacing w:after="0" w:line="18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Company purchased $147.5 million of short-term investments and received proceeds of $101.1 million from the sale or maturity of short-term investments during the 26 weeks ended February 26, 2005. During the 26 weeks ended February 28, 2004 the Company purchased $63.7 million of short-term investments and received proceeds of $103.8 million from the sale or maturity of short-term investments.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Cash used by financing activities for the period ended February 26, 2005 was $1.8 million for Company’s common stock repurchases and $4.7 million for the payment of cash dividends offset partially by $2.9 million from the proceeds for the issuance of common and treasury stock. Primary uses of cash in financing</w:t>
      </w:r>
    </w:p>
    <w:p>
      <w:pPr>
        <w:sectPr>
          <w:pgSz w:w="11900" w:h="16838" w:orient="portrait"/>
          <w:cols w:equalWidth="0" w:num="1">
            <w:col w:w="11380"/>
          </w:cols>
          <w:pgMar w:left="240" w:top="131" w:right="279" w:bottom="0" w:gutter="0" w:footer="0" w:header="0"/>
        </w:sectPr>
      </w:pPr>
    </w:p>
    <w:bookmarkStart w:id="14" w:name="page15"/>
    <w:bookmarkEnd w:id="14"/>
    <w:p>
      <w:pPr>
        <w:ind w:right="620"/>
        <w:spacing w:after="0" w:line="332" w:lineRule="auto"/>
        <w:rPr>
          <w:sz w:val="20"/>
          <w:szCs w:val="20"/>
          <w:color w:val="auto"/>
        </w:rPr>
      </w:pPr>
      <w:r>
        <w:rPr>
          <w:rFonts w:ascii="Arial" w:cs="Arial" w:eastAsia="Arial" w:hAnsi="Arial"/>
          <w:sz w:val="16"/>
          <w:szCs w:val="16"/>
          <w:color w:val="auto"/>
        </w:rPr>
        <w:t>activities for the period ended February 28, 2004 were $64.0 million for Company’s common stock repurchases and $3.5 million for the payment of cash dividends offset partially by $4.2 million cash provided from the proceeds for the issuance of common and treasury stock.</w:t>
      </w:r>
    </w:p>
    <w:p>
      <w:pPr>
        <w:spacing w:after="0" w:line="133"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 xml:space="preserve">On February 26, 2005 the Company’s cash and cash equivalents balance was $16.1 million and available-for-sale securities </w:t>
      </w:r>
      <w:r>
        <w:rPr>
          <w:rFonts w:ascii="Arial" w:cs="Arial" w:eastAsia="Arial" w:hAnsi="Arial"/>
          <w:sz w:val="16"/>
          <w:szCs w:val="16"/>
          <w:b w:val="1"/>
          <w:bCs w:val="1"/>
          <w:color w:val="auto"/>
        </w:rPr>
        <w:t>—</w:t>
      </w:r>
      <w:r>
        <w:rPr>
          <w:rFonts w:ascii="Arial" w:cs="Arial" w:eastAsia="Arial" w:hAnsi="Arial"/>
          <w:sz w:val="16"/>
          <w:szCs w:val="16"/>
          <w:color w:val="auto"/>
        </w:rPr>
        <w:t xml:space="preserve"> short-term investments was $97.5 million. Estimated demands at February 26, 2005 on the Company’s liquid assets for the remainder of fiscal 2005 include $5.5 million for capital expenditures, primarily for production equipment, and $4.7 million for payments of cash dividends. On June 16, 2004, the Board of Directors authorized the repurchase of outstanding shares of the Company’s common stock, depending on market conditions, for an aggregate of up to $30 million. As of February 26, 2005, 163,610 shares had been repurchased for an aggregate consideration of approximately $5.0 million under this authorization.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Management currently expects its cash on hand and funds from operations to be sufficient to cover both short-term and long-term operation requirements.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OUTLOOK</w:t>
      </w: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Long-term demographics are favorable for the Company as its target market of consumers age 50 and older is expected to increase for the next 30 years. In addition to growth in the target market due to the aging of the baby boom generation, a study conducted in 2001 by the University of Michigan for the RV industry shows that the age of people interested in purchasing RVs is also expanding to include younger buyers under 35 years of age as well as older buyers over age 75 who are staying healthy and active much later in life. This study also shows an increased interest in owning RVs by a larger percentage of all U.S. households.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the Company’s motor homes was as follows: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86"/>
              </w:rPr>
              <w:t>(Decrease)</w:t>
            </w:r>
          </w:p>
        </w:tc>
        <w:tc>
          <w:tcPr>
            <w:tcW w:w="680" w:type="dxa"/>
            <w:vAlign w:val="bottom"/>
          </w:tcPr>
          <w:p>
            <w:pPr>
              <w:jc w:val="right"/>
              <w:ind w:right="19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Units</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February 26, 2005</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February 28, 2004</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jc w:val="right"/>
              <w:ind w:right="880"/>
              <w:spacing w:after="0" w:line="148" w:lineRule="exact"/>
              <w:rPr>
                <w:sz w:val="20"/>
                <w:szCs w:val="20"/>
                <w:color w:val="auto"/>
              </w:rPr>
            </w:pPr>
            <w:r>
              <w:rPr>
                <w:rFonts w:ascii="Arial" w:cs="Arial" w:eastAsia="Arial" w:hAnsi="Arial"/>
                <w:sz w:val="14"/>
                <w:szCs w:val="14"/>
                <w:b w:val="1"/>
                <w:bCs w:val="1"/>
                <w:color w:val="auto"/>
                <w:w w:val="98"/>
              </w:rPr>
              <w:t>Increase</w:t>
            </w:r>
          </w:p>
        </w:tc>
        <w:tc>
          <w:tcPr>
            <w:tcW w:w="1020" w:type="dxa"/>
            <w:vAlign w:val="bottom"/>
            <w:gridSpan w:val="3"/>
          </w:tcPr>
          <w:p>
            <w:pPr>
              <w:jc w:val="center"/>
              <w:ind w:right="360"/>
              <w:spacing w:after="0" w:line="148" w:lineRule="exact"/>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02"/>
        </w:trPr>
        <w:tc>
          <w:tcPr>
            <w:tcW w:w="2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2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56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motor homes (gas)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(551)</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Class A motor homes (diesel)</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794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(341)</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C motor homes</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08"/>
        </w:trPr>
        <w:tc>
          <w:tcPr>
            <w:tcW w:w="300" w:type="dxa"/>
            <w:vAlign w:val="bottom"/>
            <w:gridSpan w:val="2"/>
          </w:tcPr>
          <w:p>
            <w:pPr>
              <w:spacing w:after="0"/>
              <w:rPr>
                <w:sz w:val="9"/>
                <w:szCs w:val="9"/>
                <w:color w:val="auto"/>
              </w:rPr>
            </w:pPr>
          </w:p>
        </w:tc>
        <w:tc>
          <w:tcPr>
            <w:tcW w:w="2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80" w:type="dxa"/>
            <w:vAlign w:val="bottom"/>
            <w:gridSpan w:val="2"/>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3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820" w:type="dxa"/>
            <w:vAlign w:val="bottom"/>
            <w:gridSpan w:val="3"/>
          </w:tcPr>
          <w:p>
            <w:pPr>
              <w:spacing w:after="0"/>
              <w:rPr>
                <w:sz w:val="20"/>
                <w:szCs w:val="20"/>
                <w:color w:val="auto"/>
              </w:rPr>
            </w:pPr>
            <w:r>
              <w:rPr>
                <w:rFonts w:ascii="Arial" w:cs="Arial" w:eastAsia="Arial" w:hAnsi="Arial"/>
                <w:sz w:val="18"/>
                <w:szCs w:val="18"/>
                <w:color w:val="auto"/>
              </w:rPr>
              <w:t>Total backlog</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2,108</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2,933</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right"/>
              <w:ind w:right="620"/>
              <w:spacing w:after="0"/>
              <w:rPr>
                <w:sz w:val="20"/>
                <w:szCs w:val="20"/>
                <w:color w:val="auto"/>
              </w:rPr>
            </w:pPr>
            <w:r>
              <w:rPr>
                <w:rFonts w:ascii="Arial" w:cs="Arial" w:eastAsia="Arial" w:hAnsi="Arial"/>
                <w:sz w:val="18"/>
                <w:szCs w:val="18"/>
                <w:color w:val="auto"/>
              </w:rPr>
              <w:t>(825)</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2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approximate revenue</w:t>
            </w: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 (in millions)</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(62.8)</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-443230</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-443230</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-443230</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-443230</wp:posOffset>
            </wp:positionV>
            <wp:extent cx="12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-443230</wp:posOffset>
            </wp:positionV>
            <wp:extent cx="1270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-443230</wp:posOffset>
            </wp:positionV>
            <wp:extent cx="1270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-443230</wp:posOffset>
            </wp:positionV>
            <wp:extent cx="1270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-443230</wp:posOffset>
            </wp:positionV>
            <wp:extent cx="1270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3544570</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2421255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-14605</wp:posOffset>
            </wp:positionV>
            <wp:extent cx="127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5808980</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-14605</wp:posOffset>
            </wp:positionV>
            <wp:extent cx="1270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-14605</wp:posOffset>
            </wp:positionV>
            <wp:extent cx="1270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93" w:lineRule="exact"/>
        <w:rPr>
          <w:sz w:val="20"/>
          <w:szCs w:val="20"/>
          <w:color w:val="auto"/>
        </w:rPr>
      </w:pPr>
    </w:p>
    <w:p>
      <w:pPr>
        <w:ind w:right="480"/>
        <w:spacing w:after="0" w:line="370" w:lineRule="auto"/>
        <w:rPr>
          <w:sz w:val="20"/>
          <w:szCs w:val="20"/>
          <w:color w:val="auto"/>
        </w:rPr>
      </w:pPr>
      <w:r>
        <w:rPr>
          <w:rFonts w:ascii="Arial" w:cs="Arial" w:eastAsia="Arial" w:hAnsi="Arial"/>
          <w:sz w:val="15"/>
          <w:szCs w:val="15"/>
          <w:color w:val="auto"/>
        </w:rPr>
        <w:t>The Company includes in its backlog all accepted purchase orders from dealers shippable within the next six months. Orders in backlog can be canceled or postponed at the option of the purchaser at any time without penalty and, therefore, backlog may not necessarily be an accurate measure of future sales.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31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February 26, 2005, the Company had $113.6 million of cash and short-term investments consisting of $16.1 million of cash and cash equivalents and available-for-sale securities of $97.5 million. Taking into account the credit risk criteria of our investments policies</w:t>
      </w:r>
      <w:r>
        <w:rPr>
          <w:rFonts w:ascii="Arial" w:cs="Arial" w:eastAsia="Arial" w:hAnsi="Arial"/>
          <w:sz w:val="18"/>
          <w:szCs w:val="18"/>
          <w:b w:val="1"/>
          <w:bCs w:val="1"/>
          <w:color w:val="auto"/>
        </w:rPr>
        <w:t>,</w:t>
      </w:r>
      <w:r>
        <w:rPr>
          <w:rFonts w:ascii="Arial" w:cs="Arial" w:eastAsia="Arial" w:hAnsi="Arial"/>
          <w:sz w:val="18"/>
          <w:szCs w:val="18"/>
          <w:color w:val="auto"/>
        </w:rPr>
        <w:t xml:space="preserve"> the primary market risk associated with these investments is interest rate risk and a decline in value if market interest rates increase. However, the Company has the ability to hold its fixed income investments for the typical Dutch auction period (an average of 45 days) and, therefore, the Company would not expect to recognize an adverse impact in income or cash flows in such an event.</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1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has established disclosure controls and procedures, which are designed to ensure that information required to be disclosed in reports filed or submitted under the Securities Exchange Act of 1934 are recorded, processed, summarized, and reported within the time periods specified in the Securities and Exchange Commission’s rules and forms.</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Chief Executive Officer and its Chief Financial Officer evaluated the effectiveness of the Company’s disclosure controls and procedures as of the end of the quarter covered by the Company's Quarterly Report on Form 10-Q for the period ended February 26, 2005 which was filed on April 5, 2005. Based on their evaluation at the time, they concluded that the Company’s disclosure controls and procedures were effective in achieving the objectives for which they were designed. However, subsequent to the issuance of its unaudited consolidated financial statements for the 13 and 26 weeks ended February 26, 2005, the Company identified an error in its annual physical inventory adjustment recorded during the second quarter of fiscal 2005 due to a formula error in an electronic spreadsheet. The error resulted in an overstatement of inventory and an understatement of cost of sales of $2.8 million and an after tax effect reduction in net income of $1,795,000 or $0.05 per diluted share for the 13 and 26 week periods ended February 26, 2005.</w:t>
      </w:r>
    </w:p>
    <w:p>
      <w:pPr>
        <w:spacing w:after="0" w:line="1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As a result of the subsequently identified error causing the need for the restatement of its consolidated financial statements, the Company’s Chief Executive Officer and Chief Financial Officer have concluded as of the filing of this Quarterly Report on Form 10-Q/A that the Company’s disclosure controls and procedures at February 26, 2005 were not effective to ensure that the information that is required to be disclosed by the Company in reports that it files under the Securities Exchange Act of 1934 are recorded, processed, summarized and reported within the time period specified in the rules of the Securities and Exchange Commission. The Company is presently evaluating and testing its internal controls over financial reporting, including the controls over the electronic spreadsheets. The Company expects to have such improved controls implemented, operating effectively and tested by the end of its 2005 fiscal year.</w:t>
      </w:r>
    </w:p>
    <w:p>
      <w:pPr>
        <w:spacing w:after="0" w:line="17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Furthermore, there have been no changes in the Company’s internal control over financial reporting during the fiscal quarter covered by this 10-Q/A that have materially affected, or are reasonably likely to materially affect, its internal controls over financial reporting.</w:t>
      </w:r>
    </w:p>
    <w:p>
      <w:pPr>
        <w:sectPr>
          <w:pgSz w:w="11900" w:h="16838" w:orient="portrait"/>
          <w:cols w:equalWidth="0" w:num="1">
            <w:col w:w="11380"/>
          </w:cols>
          <w:pgMar w:left="240" w:top="131" w:right="279" w:bottom="338" w:gutter="0" w:footer="0" w:header="0"/>
        </w:sectPr>
      </w:pPr>
    </w:p>
    <w:bookmarkStart w:id="15" w:name="page16"/>
    <w:bookmarkEnd w:id="15"/>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reviewed the accompanying condensed consolidated balance sheet of Winnebago Industries, Inc. and subsidiaries (the “Company”) as of February 26, 2005, and the related condensed consolidated statements of income for the 13- and 26-week periods and the condensed consolidated statements of cash flows for the 26-week periods ended February 26, 2005, and February 28, 2004, respectively. These condensed consolidated financial statements are the responsibility of the Company’s management.</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conducted our review in accordance with standards established by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such condensed consolidated interim financial statements for them to be in conformity with accounting principles generally accepted in the United States of America.</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 discussed in Note 12 to the condensed consolidated financial statements, the Company has restated the accompanying financial statements as of and for the 13- and 26-weeks ended February 26, 2005.</w:t>
      </w:r>
    </w:p>
    <w:p>
      <w:pPr>
        <w:spacing w:after="0" w:line="18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previously audited, in accordance with the standards of the Public Company Accounting Oversight Board (United States), the consolidated balance sheet of the Company as of August 28, 2004, and the related consolidated statements of income, stockholders’ equity, and cash flows for the year then ended (not presented herein); and in our report dated November 10, 2004, we expressed an unqualified opinion on those consolidated financial statements. In our opinion, the information set forth in the accompanying consolidated balance sheet as of August 28, 2004, is fairly stated, in all material respects, in relation to the consolidated balance sheet from which it has been derived.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Deloitte &amp; Touche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5, 2005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2005 as to the effects of the restatement discussed in Note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252" w:lineRule="exact"/>
        <w:rPr>
          <w:sz w:val="20"/>
          <w:szCs w:val="20"/>
          <w:color w:val="auto"/>
        </w:rPr>
      </w:pPr>
    </w:p>
    <w:p>
      <w:pPr>
        <w:ind w:left="580" w:right="740"/>
        <w:spacing w:after="0" w:line="268" w:lineRule="auto"/>
        <w:rPr>
          <w:sz w:val="20"/>
          <w:szCs w:val="20"/>
          <w:color w:val="auto"/>
        </w:rPr>
      </w:pPr>
      <w:r>
        <w:rPr>
          <w:rFonts w:ascii="Arial" w:cs="Arial" w:eastAsia="Arial" w:hAnsi="Arial"/>
          <w:sz w:val="18"/>
          <w:szCs w:val="18"/>
          <w:color w:val="auto"/>
        </w:rPr>
        <w:t xml:space="preserve">Reference is also made to Item 3 (Legal Proceedings) in the Company’s Annual Report on Form 10-K for the year ended August 28, 2004 for a description of certain litigation entitled </w:t>
      </w:r>
      <w:r>
        <w:rPr>
          <w:rFonts w:ascii="Arial" w:cs="Arial" w:eastAsia="Arial" w:hAnsi="Arial"/>
          <w:sz w:val="18"/>
          <w:szCs w:val="18"/>
          <w:u w:val="single" w:color="auto"/>
          <w:color w:val="auto"/>
        </w:rPr>
        <w:t>Jody Bartleson, et al vs. Winnebago Industries, Inc., et al</w:t>
      </w:r>
      <w:r>
        <w:rPr>
          <w:rFonts w:ascii="Arial" w:cs="Arial" w:eastAsia="Arial" w:hAnsi="Arial"/>
          <w:sz w:val="18"/>
          <w:szCs w:val="18"/>
          <w:color w:val="auto"/>
        </w:rPr>
        <w:t>.</w:t>
      </w:r>
    </w:p>
    <w:p>
      <w:pPr>
        <w:spacing w:after="0" w:line="213"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The Company is also involved in various other legal proceedings which are ordinary routine litigation to its business, some of which are covered in whole or in part by insurance. While it is impossible to estimate with certainty the ultimate legal and financial liability with respect to this litigation, management is of the opinion that, while the final resolution of any such litigation may have an impact on the Company’s consolidated results for a particular reporting period, the ultimate disposition of such litigation will not have any material adverse effect on the Company’s financial position, results of operations or liquidity.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52" w:lineRule="exact"/>
        <w:rPr>
          <w:sz w:val="20"/>
          <w:szCs w:val="20"/>
          <w:color w:val="auto"/>
        </w:rPr>
      </w:pPr>
    </w:p>
    <w:p>
      <w:pPr>
        <w:ind w:left="580" w:right="120"/>
        <w:spacing w:after="0" w:line="268" w:lineRule="auto"/>
        <w:rPr>
          <w:sz w:val="20"/>
          <w:szCs w:val="20"/>
          <w:color w:val="auto"/>
        </w:rPr>
      </w:pPr>
      <w:r>
        <w:rPr>
          <w:rFonts w:ascii="Arial" w:cs="Arial" w:eastAsia="Arial" w:hAnsi="Arial"/>
          <w:sz w:val="18"/>
          <w:szCs w:val="18"/>
          <w:color w:val="auto"/>
        </w:rPr>
        <w:t>This table provides information with respect to purchases by the Company of shares of its common stock during each fiscal month of the second quarter of fiscal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1081405</wp:posOffset>
            </wp:positionH>
            <wp:positionV relativeFrom="paragraph">
              <wp:posOffset>127635</wp:posOffset>
            </wp:positionV>
            <wp:extent cx="42545" cy="5975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2545" cy="597535"/>
                    </a:xfrm>
                    <a:prstGeom prst="rect">
                      <a:avLst/>
                    </a:prstGeom>
                    <a:noFill/>
                  </pic:spPr>
                </pic:pic>
              </a:graphicData>
            </a:graphic>
          </wp:anchor>
        </w:drawing>
        <w:drawing>
          <wp:anchor simplePos="0" relativeHeight="251657728" behindDoc="1" locked="0" layoutInCell="0" allowOverlap="1">
            <wp:simplePos x="0" y="0"/>
            <wp:positionH relativeFrom="column">
              <wp:posOffset>2282190</wp:posOffset>
            </wp:positionH>
            <wp:positionV relativeFrom="paragraph">
              <wp:posOffset>136525</wp:posOffset>
            </wp:positionV>
            <wp:extent cx="42545" cy="5886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545" cy="588645"/>
                    </a:xfrm>
                    <a:prstGeom prst="rect">
                      <a:avLst/>
                    </a:prstGeom>
                    <a:noFill/>
                  </pic:spPr>
                </pic:pic>
              </a:graphicData>
            </a:graphic>
          </wp:anchor>
        </w:drawing>
        <w:drawing>
          <wp:anchor simplePos="0" relativeHeight="251657728" behindDoc="1" locked="0" layoutInCell="0" allowOverlap="1">
            <wp:simplePos x="0" y="0"/>
            <wp:positionH relativeFrom="column">
              <wp:posOffset>3028315</wp:posOffset>
            </wp:positionH>
            <wp:positionV relativeFrom="paragraph">
              <wp:posOffset>136525</wp:posOffset>
            </wp:positionV>
            <wp:extent cx="42545" cy="5886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2545" cy="588645"/>
                    </a:xfrm>
                    <a:prstGeom prst="rect">
                      <a:avLst/>
                    </a:prstGeom>
                    <a:noFill/>
                  </pic:spPr>
                </pic:pic>
              </a:graphicData>
            </a:graphic>
          </wp:anchor>
        </w:drawing>
        <w:drawing>
          <wp:anchor simplePos="0" relativeHeight="251657728" behindDoc="1" locked="0" layoutInCell="0" allowOverlap="1">
            <wp:simplePos x="0" y="0"/>
            <wp:positionH relativeFrom="column">
              <wp:posOffset>3825875</wp:posOffset>
            </wp:positionH>
            <wp:positionV relativeFrom="paragraph">
              <wp:posOffset>136525</wp:posOffset>
            </wp:positionV>
            <wp:extent cx="42545" cy="5886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2545" cy="588645"/>
                    </a:xfrm>
                    <a:prstGeom prst="rect">
                      <a:avLst/>
                    </a:prstGeom>
                    <a:noFill/>
                  </pic:spPr>
                </pic:pic>
              </a:graphicData>
            </a:graphic>
          </wp:anchor>
        </w:drawing>
        <w:drawing>
          <wp:anchor simplePos="0" relativeHeight="251657728" behindDoc="1" locked="0" layoutInCell="0" allowOverlap="1">
            <wp:simplePos x="0" y="0"/>
            <wp:positionH relativeFrom="column">
              <wp:posOffset>6132830</wp:posOffset>
            </wp:positionH>
            <wp:positionV relativeFrom="paragraph">
              <wp:posOffset>127635</wp:posOffset>
            </wp:positionV>
            <wp:extent cx="42545" cy="5975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545" cy="597535"/>
                    </a:xfrm>
                    <a:prstGeom prst="rect">
                      <a:avLst/>
                    </a:prstGeom>
                    <a:noFill/>
                  </pic:spPr>
                </pic:pic>
              </a:graphicData>
            </a:graphic>
          </wp:anchor>
        </w:drawing>
        <w:drawing>
          <wp:anchor simplePos="0" relativeHeight="251657728" behindDoc="1" locked="0" layoutInCell="0" allowOverlap="1">
            <wp:simplePos x="0" y="0"/>
            <wp:positionH relativeFrom="column">
              <wp:posOffset>4906645</wp:posOffset>
            </wp:positionH>
            <wp:positionV relativeFrom="paragraph">
              <wp:posOffset>136525</wp:posOffset>
            </wp:positionV>
            <wp:extent cx="42545" cy="5886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2545" cy="588645"/>
                    </a:xfrm>
                    <a:prstGeom prst="rect">
                      <a:avLst/>
                    </a:prstGeom>
                    <a:noFill/>
                  </pic:spPr>
                </pic:pic>
              </a:graphicData>
            </a:graphic>
          </wp:anchor>
        </w:drawing>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3"/>
        </w:trPr>
        <w:tc>
          <w:tcPr>
            <w:tcW w:w="20" w:type="dxa"/>
            <w:vAlign w:val="bottom"/>
            <w:tcBorders>
              <w:top w:val="single" w:sz="8" w:color="808080"/>
            </w:tcBorders>
          </w:tcPr>
          <w:p>
            <w:pPr>
              <w:spacing w:after="0"/>
              <w:rPr>
                <w:sz w:val="14"/>
                <w:szCs w:val="14"/>
                <w:color w:val="auto"/>
              </w:rPr>
            </w:pPr>
          </w:p>
        </w:tc>
        <w:tc>
          <w:tcPr>
            <w:tcW w:w="1600" w:type="dxa"/>
            <w:vAlign w:val="bottom"/>
            <w:tcBorders>
              <w:top w:val="single" w:sz="8" w:color="2C2C2C"/>
            </w:tcBorders>
          </w:tcPr>
          <w:p>
            <w:pPr>
              <w:spacing w:after="0"/>
              <w:rPr>
                <w:sz w:val="14"/>
                <w:szCs w:val="14"/>
                <w:color w:val="auto"/>
              </w:rPr>
            </w:pPr>
          </w:p>
        </w:tc>
        <w:tc>
          <w:tcPr>
            <w:tcW w:w="1460" w:type="dxa"/>
            <w:vAlign w:val="bottom"/>
            <w:tcBorders>
              <w:top w:val="single" w:sz="8" w:color="2C2C2C"/>
            </w:tcBorders>
          </w:tcPr>
          <w:p>
            <w:pPr>
              <w:spacing w:after="0"/>
              <w:rPr>
                <w:sz w:val="14"/>
                <w:szCs w:val="14"/>
                <w:color w:val="auto"/>
              </w:rPr>
            </w:pPr>
          </w:p>
        </w:tc>
        <w:tc>
          <w:tcPr>
            <w:tcW w:w="1300" w:type="dxa"/>
            <w:vAlign w:val="bottom"/>
            <w:tcBorders>
              <w:top w:val="single" w:sz="8" w:color="2C2C2C"/>
            </w:tcBorders>
          </w:tcPr>
          <w:p>
            <w:pPr>
              <w:spacing w:after="0"/>
              <w:rPr>
                <w:sz w:val="14"/>
                <w:szCs w:val="14"/>
                <w:color w:val="auto"/>
              </w:rPr>
            </w:pPr>
          </w:p>
        </w:tc>
        <w:tc>
          <w:tcPr>
            <w:tcW w:w="1680" w:type="dxa"/>
            <w:vAlign w:val="bottom"/>
            <w:tcBorders>
              <w:top w:val="single" w:sz="8" w:color="2C2C2C"/>
            </w:tcBorders>
          </w:tcPr>
          <w:p>
            <w:pPr>
              <w:spacing w:after="0"/>
              <w:rPr>
                <w:sz w:val="14"/>
                <w:szCs w:val="14"/>
                <w:color w:val="auto"/>
              </w:rPr>
            </w:pPr>
          </w:p>
        </w:tc>
        <w:tc>
          <w:tcPr>
            <w:tcW w:w="1920" w:type="dxa"/>
            <w:vAlign w:val="bottom"/>
            <w:tcBorders>
              <w:top w:val="single" w:sz="8" w:color="2C2C2C"/>
            </w:tcBorders>
          </w:tcPr>
          <w:p>
            <w:pPr>
              <w:jc w:val="center"/>
              <w:spacing w:after="0"/>
              <w:rPr>
                <w:sz w:val="20"/>
                <w:szCs w:val="20"/>
                <w:color w:val="auto"/>
              </w:rPr>
            </w:pPr>
            <w:r>
              <w:rPr>
                <w:rFonts w:ascii="Arial" w:cs="Arial" w:eastAsia="Arial" w:hAnsi="Arial"/>
                <w:sz w:val="14"/>
                <w:szCs w:val="14"/>
                <w:b w:val="1"/>
                <w:bCs w:val="1"/>
                <w:color w:val="auto"/>
                <w:w w:val="91"/>
              </w:rPr>
              <w:t>Maximum Number (or</w:t>
            </w: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Value) of Shares</w:t>
            </w: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Pr>
          <w:p>
            <w:pPr>
              <w:jc w:val="center"/>
              <w:ind w:left="232"/>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3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That May Yet Be</w:t>
            </w: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60" w:type="dxa"/>
            <w:vAlign w:val="bottom"/>
          </w:tcPr>
          <w:p>
            <w:pPr>
              <w:jc w:val="center"/>
              <w:ind w:left="212"/>
              <w:spacing w:after="0" w:line="149" w:lineRule="exact"/>
              <w:rPr>
                <w:sz w:val="20"/>
                <w:szCs w:val="20"/>
                <w:color w:val="auto"/>
              </w:rPr>
            </w:pPr>
            <w:r>
              <w:rPr>
                <w:rFonts w:ascii="Arial" w:cs="Arial" w:eastAsia="Arial" w:hAnsi="Arial"/>
                <w:sz w:val="14"/>
                <w:szCs w:val="14"/>
                <w:b w:val="1"/>
                <w:bCs w:val="1"/>
                <w:color w:val="auto"/>
                <w:w w:val="84"/>
              </w:rPr>
              <w:t>of Shares</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 or</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Under the</w:t>
            </w:r>
          </w:p>
        </w:tc>
      </w:tr>
      <w:tr>
        <w:trPr>
          <w:trHeight w:val="161"/>
        </w:trPr>
        <w:tc>
          <w:tcPr>
            <w:tcW w:w="20" w:type="dxa"/>
            <w:vAlign w:val="bottom"/>
          </w:tcPr>
          <w:p>
            <w:pPr>
              <w:spacing w:after="0"/>
              <w:rPr>
                <w:sz w:val="14"/>
                <w:szCs w:val="14"/>
                <w:color w:val="auto"/>
              </w:rPr>
            </w:pPr>
          </w:p>
        </w:tc>
        <w:tc>
          <w:tcPr>
            <w:tcW w:w="1600" w:type="dxa"/>
            <w:vAlign w:val="bottom"/>
            <w:tcBorders>
              <w:bottom w:val="single" w:sz="8" w:color="808080"/>
            </w:tcBorders>
          </w:tcPr>
          <w:p>
            <w:pPr>
              <w:ind w:left="760"/>
              <w:spacing w:after="0"/>
              <w:rPr>
                <w:sz w:val="20"/>
                <w:szCs w:val="20"/>
                <w:color w:val="auto"/>
              </w:rPr>
            </w:pPr>
            <w:r>
              <w:rPr>
                <w:rFonts w:ascii="Arial" w:cs="Arial" w:eastAsia="Arial" w:hAnsi="Arial"/>
                <w:sz w:val="14"/>
                <w:szCs w:val="14"/>
                <w:b w:val="1"/>
                <w:bCs w:val="1"/>
                <w:color w:val="auto"/>
              </w:rPr>
              <w:t>Period</w:t>
            </w:r>
          </w:p>
        </w:tc>
        <w:tc>
          <w:tcPr>
            <w:tcW w:w="1460" w:type="dxa"/>
            <w:vAlign w:val="bottom"/>
            <w:tcBorders>
              <w:bottom w:val="single" w:sz="8" w:color="808080"/>
            </w:tcBorders>
          </w:tcPr>
          <w:p>
            <w:pPr>
              <w:jc w:val="center"/>
              <w:ind w:left="232"/>
              <w:spacing w:after="0"/>
              <w:rPr>
                <w:sz w:val="20"/>
                <w:szCs w:val="20"/>
                <w:color w:val="auto"/>
              </w:rPr>
            </w:pPr>
            <w:r>
              <w:rPr>
                <w:rFonts w:ascii="Arial" w:cs="Arial" w:eastAsia="Arial" w:hAnsi="Arial"/>
                <w:sz w:val="14"/>
                <w:szCs w:val="14"/>
                <w:b w:val="1"/>
                <w:bCs w:val="1"/>
                <w:color w:val="auto"/>
                <w:w w:val="83"/>
              </w:rPr>
              <w:t>Purchased</w:t>
            </w:r>
          </w:p>
        </w:tc>
        <w:tc>
          <w:tcPr>
            <w:tcW w:w="130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7"/>
              </w:rPr>
              <w:t>Paid per Share</w:t>
            </w:r>
          </w:p>
        </w:tc>
        <w:tc>
          <w:tcPr>
            <w:tcW w:w="168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8"/>
              </w:rPr>
              <w:t>Programs</w:t>
            </w:r>
          </w:p>
        </w:tc>
        <w:tc>
          <w:tcPr>
            <w:tcW w:w="1920" w:type="dxa"/>
            <w:vAlign w:val="bottom"/>
            <w:tcBorders>
              <w:bottom w:val="single" w:sz="8" w:color="808080"/>
            </w:tcBorders>
          </w:tcPr>
          <w:p>
            <w:pPr>
              <w:jc w:val="center"/>
              <w:spacing w:after="0"/>
              <w:rPr>
                <w:sz w:val="20"/>
                <w:szCs w:val="20"/>
                <w:color w:val="auto"/>
              </w:rPr>
            </w:pPr>
            <w:r>
              <w:rPr>
                <w:rFonts w:ascii="Arial" w:cs="Arial" w:eastAsia="Arial" w:hAnsi="Arial"/>
                <w:sz w:val="14"/>
                <w:szCs w:val="14"/>
                <w:b w:val="1"/>
                <w:bCs w:val="1"/>
                <w:color w:val="auto"/>
                <w:w w:val="86"/>
              </w:rPr>
              <w:t>Plans or Programs</w:t>
            </w:r>
          </w:p>
        </w:tc>
      </w:tr>
    </w:tbl>
    <w:p>
      <w:pPr>
        <w:sectPr>
          <w:pgSz w:w="11900" w:h="16900" w:orient="portrait"/>
          <w:cols w:equalWidth="0" w:num="1">
            <w:col w:w="11400"/>
          </w:cols>
          <w:pgMar w:left="240" w:top="1320" w:right="259" w:bottom="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1233805</wp:posOffset>
            </wp:positionH>
            <wp:positionV relativeFrom="page">
              <wp:posOffset>88900</wp:posOffset>
            </wp:positionV>
            <wp:extent cx="5093970" cy="7931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093970" cy="793115"/>
                    </a:xfrm>
                    <a:prstGeom prst="rect">
                      <a:avLst/>
                    </a:prstGeom>
                    <a:noFill/>
                  </pic:spPr>
                </pic:pic>
              </a:graphicData>
            </a:graphic>
          </wp:anchor>
        </w:drawing>
      </w:r>
    </w:p>
    <w:tbl>
      <w:tblPr>
        <w:tblLayout w:type="fixed"/>
        <w:tblInd w:w="1720" w:type="dxa"/>
        <w:tblCellMar>
          <w:top w:w="0" w:type="dxa"/>
          <w:left w:w="0" w:type="dxa"/>
          <w:bottom w:w="0" w:type="dxa"/>
          <w:right w:w="0" w:type="dxa"/>
        </w:tblCellMar>
      </w:tblPr>
      <w:tr>
        <w:trPr>
          <w:trHeight w:val="250"/>
        </w:trPr>
        <w:tc>
          <w:tcPr>
            <w:tcW w:w="20" w:type="dxa"/>
            <w:vAlign w:val="bottom"/>
          </w:tcPr>
          <w:p>
            <w:pPr>
              <w:spacing w:after="0"/>
              <w:rPr>
                <w:sz w:val="21"/>
                <w:szCs w:val="21"/>
                <w:color w:val="auto"/>
              </w:rPr>
            </w:pPr>
          </w:p>
        </w:tc>
        <w:tc>
          <w:tcPr>
            <w:tcW w:w="1920" w:type="dxa"/>
            <w:vAlign w:val="bottom"/>
            <w:tcBorders>
              <w:top w:val="single" w:sz="8" w:color="2C2C2C"/>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88"/>
              </w:rPr>
              <w:t>11/28/04 - 1/01/05</w:t>
            </w:r>
          </w:p>
        </w:tc>
        <w:tc>
          <w:tcPr>
            <w:tcW w:w="1160" w:type="dxa"/>
            <w:vAlign w:val="bottom"/>
            <w:tcBorders>
              <w:top w:val="single" w:sz="8" w:color="2C2C2C"/>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92"/>
              </w:rPr>
              <w:t>- - -</w:t>
            </w:r>
          </w:p>
        </w:tc>
        <w:tc>
          <w:tcPr>
            <w:tcW w:w="1340" w:type="dxa"/>
            <w:vAlign w:val="bottom"/>
            <w:tcBorders>
              <w:top w:val="single" w:sz="8" w:color="2C2C2C"/>
              <w:bottom w:val="single" w:sz="8" w:color="2C2C2C"/>
            </w:tcBorders>
            <w:shd w:val="clear" w:color="auto" w:fill="CCEEFF"/>
          </w:tcPr>
          <w:p>
            <w:pPr>
              <w:jc w:val="center"/>
              <w:ind w:right="32"/>
              <w:spacing w:after="0"/>
              <w:rPr>
                <w:sz w:val="20"/>
                <w:szCs w:val="20"/>
                <w:color w:val="auto"/>
              </w:rPr>
            </w:pPr>
            <w:r>
              <w:rPr>
                <w:rFonts w:ascii="Arial" w:cs="Arial" w:eastAsia="Arial" w:hAnsi="Arial"/>
                <w:sz w:val="18"/>
                <w:szCs w:val="18"/>
                <w:color w:val="auto"/>
                <w:w w:val="92"/>
              </w:rPr>
              <w:t>- - -</w:t>
            </w:r>
          </w:p>
        </w:tc>
        <w:tc>
          <w:tcPr>
            <w:tcW w:w="1560" w:type="dxa"/>
            <w:vAlign w:val="bottom"/>
            <w:tcBorders>
              <w:top w:val="single" w:sz="8" w:color="2C2C2C"/>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92"/>
              </w:rPr>
              <w:t>- - -</w:t>
            </w:r>
          </w:p>
        </w:tc>
        <w:tc>
          <w:tcPr>
            <w:tcW w:w="1980" w:type="dxa"/>
            <w:vAlign w:val="bottom"/>
            <w:tcBorders>
              <w:top w:val="single" w:sz="8" w:color="2C2C2C"/>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87"/>
              </w:rPr>
              <w:t>$26,796,000</w:t>
            </w:r>
          </w:p>
        </w:tc>
      </w:tr>
      <w:tr>
        <w:trPr>
          <w:trHeight w:val="223"/>
        </w:trPr>
        <w:tc>
          <w:tcPr>
            <w:tcW w:w="20" w:type="dxa"/>
            <w:vAlign w:val="bottom"/>
          </w:tcPr>
          <w:p>
            <w:pPr>
              <w:spacing w:after="0"/>
              <w:rPr>
                <w:sz w:val="19"/>
                <w:szCs w:val="19"/>
                <w:color w:val="auto"/>
              </w:rPr>
            </w:pPr>
          </w:p>
        </w:tc>
        <w:tc>
          <w:tcPr>
            <w:tcW w:w="1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1/02/05 - 1/29/05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52,600</w:t>
            </w:r>
          </w:p>
        </w:tc>
        <w:tc>
          <w:tcPr>
            <w:tcW w:w="13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auto"/>
                <w:w w:val="90"/>
              </w:rPr>
              <w:t>$33.92</w:t>
            </w:r>
          </w:p>
        </w:tc>
        <w:tc>
          <w:tcPr>
            <w:tcW w:w="1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52,600</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$25,009,000</w:t>
            </w:r>
          </w:p>
        </w:tc>
      </w:tr>
      <w:tr>
        <w:trPr>
          <w:trHeight w:val="223"/>
        </w:trPr>
        <w:tc>
          <w:tcPr>
            <w:tcW w:w="20" w:type="dxa"/>
            <w:vAlign w:val="bottom"/>
          </w:tcPr>
          <w:p>
            <w:pPr>
              <w:spacing w:after="0"/>
              <w:rPr>
                <w:sz w:val="19"/>
                <w:szCs w:val="19"/>
                <w:color w:val="auto"/>
              </w:rPr>
            </w:pPr>
          </w:p>
        </w:tc>
        <w:tc>
          <w:tcPr>
            <w:tcW w:w="1920" w:type="dxa"/>
            <w:vAlign w:val="bottom"/>
            <w:tcBorders>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89"/>
              </w:rPr>
              <w:t>1/30/05 - 2/26/05</w:t>
            </w:r>
          </w:p>
        </w:tc>
        <w:tc>
          <w:tcPr>
            <w:tcW w:w="1160" w:type="dxa"/>
            <w:vAlign w:val="bottom"/>
            <w:tcBorders>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92"/>
              </w:rPr>
              <w:t>- - -</w:t>
            </w:r>
          </w:p>
        </w:tc>
        <w:tc>
          <w:tcPr>
            <w:tcW w:w="1340" w:type="dxa"/>
            <w:vAlign w:val="bottom"/>
            <w:tcBorders>
              <w:bottom w:val="single" w:sz="8" w:color="2C2C2C"/>
            </w:tcBorders>
            <w:shd w:val="clear" w:color="auto" w:fill="CCEEFF"/>
          </w:tcPr>
          <w:p>
            <w:pPr>
              <w:jc w:val="center"/>
              <w:ind w:right="32"/>
              <w:spacing w:after="0"/>
              <w:rPr>
                <w:sz w:val="20"/>
                <w:szCs w:val="20"/>
                <w:color w:val="auto"/>
              </w:rPr>
            </w:pPr>
            <w:r>
              <w:rPr>
                <w:rFonts w:ascii="Arial" w:cs="Arial" w:eastAsia="Arial" w:hAnsi="Arial"/>
                <w:sz w:val="18"/>
                <w:szCs w:val="18"/>
                <w:color w:val="auto"/>
                <w:w w:val="92"/>
              </w:rPr>
              <w:t>- - -</w:t>
            </w:r>
          </w:p>
        </w:tc>
        <w:tc>
          <w:tcPr>
            <w:tcW w:w="1560" w:type="dxa"/>
            <w:vAlign w:val="bottom"/>
            <w:tcBorders>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92"/>
              </w:rPr>
              <w:t>- - -</w:t>
            </w:r>
          </w:p>
        </w:tc>
        <w:tc>
          <w:tcPr>
            <w:tcW w:w="1980" w:type="dxa"/>
            <w:vAlign w:val="bottom"/>
            <w:tcBorders>
              <w:bottom w:val="single" w:sz="8" w:color="2C2C2C"/>
            </w:tcBorders>
            <w:shd w:val="clear" w:color="auto" w:fill="CCEEFF"/>
          </w:tcPr>
          <w:p>
            <w:pPr>
              <w:jc w:val="center"/>
              <w:spacing w:after="0"/>
              <w:rPr>
                <w:sz w:val="20"/>
                <w:szCs w:val="20"/>
                <w:color w:val="auto"/>
              </w:rPr>
            </w:pPr>
            <w:r>
              <w:rPr>
                <w:rFonts w:ascii="Arial" w:cs="Arial" w:eastAsia="Arial" w:hAnsi="Arial"/>
                <w:sz w:val="18"/>
                <w:szCs w:val="18"/>
                <w:color w:val="auto"/>
                <w:w w:val="87"/>
              </w:rPr>
              <w:t>$25,009,000</w:t>
            </w:r>
          </w:p>
        </w:tc>
      </w:tr>
      <w:tr>
        <w:trPr>
          <w:trHeight w:val="223"/>
        </w:trPr>
        <w:tc>
          <w:tcPr>
            <w:tcW w:w="20" w:type="dxa"/>
            <w:vAlign w:val="bottom"/>
            <w:tcBorders>
              <w:bottom w:val="single" w:sz="8" w:color="2C2C2C"/>
            </w:tcBorders>
          </w:tcPr>
          <w:p>
            <w:pPr>
              <w:spacing w:after="0"/>
              <w:rPr>
                <w:sz w:val="19"/>
                <w:szCs w:val="19"/>
                <w:color w:val="auto"/>
              </w:rPr>
            </w:pPr>
          </w:p>
        </w:tc>
        <w:tc>
          <w:tcPr>
            <w:tcW w:w="1920" w:type="dxa"/>
            <w:vAlign w:val="bottom"/>
            <w:tcBorders>
              <w:bottom w:val="single" w:sz="8" w:color="2C2C2C"/>
            </w:tcBorders>
          </w:tcPr>
          <w:p>
            <w:pPr>
              <w:ind w:left="760"/>
              <w:spacing w:after="0"/>
              <w:rPr>
                <w:sz w:val="20"/>
                <w:szCs w:val="20"/>
                <w:color w:val="auto"/>
              </w:rPr>
            </w:pPr>
            <w:r>
              <w:rPr>
                <w:rFonts w:ascii="Arial" w:cs="Arial" w:eastAsia="Arial" w:hAnsi="Arial"/>
                <w:sz w:val="18"/>
                <w:szCs w:val="18"/>
                <w:color w:val="auto"/>
              </w:rPr>
              <w:t>Total</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7"/>
              </w:rPr>
              <w:t>52,600</w:t>
            </w:r>
          </w:p>
        </w:tc>
        <w:tc>
          <w:tcPr>
            <w:tcW w:w="1340" w:type="dxa"/>
            <w:vAlign w:val="bottom"/>
            <w:tcBorders>
              <w:bottom w:val="single" w:sz="8" w:color="2C2C2C"/>
            </w:tcBorders>
          </w:tcPr>
          <w:p>
            <w:pPr>
              <w:jc w:val="center"/>
              <w:ind w:right="32"/>
              <w:spacing w:after="0"/>
              <w:rPr>
                <w:sz w:val="20"/>
                <w:szCs w:val="20"/>
                <w:color w:val="auto"/>
              </w:rPr>
            </w:pPr>
            <w:r>
              <w:rPr>
                <w:rFonts w:ascii="Arial" w:cs="Arial" w:eastAsia="Arial" w:hAnsi="Arial"/>
                <w:sz w:val="18"/>
                <w:szCs w:val="18"/>
                <w:color w:val="auto"/>
                <w:w w:val="90"/>
              </w:rPr>
              <w:t>$33.92</w:t>
            </w:r>
          </w:p>
        </w:tc>
        <w:tc>
          <w:tcPr>
            <w:tcW w:w="1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52,600</w:t>
            </w:r>
          </w:p>
        </w:tc>
        <w:tc>
          <w:tcPr>
            <w:tcW w:w="1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2"/>
              </w:rPr>
              <w:t>- - -</w:t>
            </w:r>
          </w:p>
        </w:tc>
      </w:tr>
    </w:tbl>
    <w:p>
      <w:pPr>
        <w:spacing w:after="0" w:line="235"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color w:val="auto"/>
        </w:rPr>
        <w:t>On June 16, 2004, the Company’s Board of Directors authorized the repurchase of outstanding shares of the Company’s common stock, at the discretion of management, for an aggregate of up to $30 million. There is no time restriction on this authorization. At February 26, 2005, approximately $25 million remained under this authorization. Also, during the second quarter of fiscal 2005, 5,790 shares for an aggregate consideration of approximately $196,000 was repurchased terminating the prior authorizations of up to $15 million announced on June 19, 2002 and up to $20 million announced on March 19, 2003.</w:t>
      </w:r>
    </w:p>
    <w:p>
      <w:pPr>
        <w:spacing w:after="0" w:line="22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 did not repurchase any of its common stock during the first quarter of fiscal 2005.</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252" w:lineRule="exact"/>
        <w:rPr>
          <w:sz w:val="20"/>
          <w:szCs w:val="20"/>
          <w:color w:val="auto"/>
        </w:rPr>
      </w:pPr>
    </w:p>
    <w:p>
      <w:pPr>
        <w:ind w:left="1180" w:hanging="618"/>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Annual Meeting of shareholders was held January 11, 2005.</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breakdown of votes for the election of three directors was as follows*</w:t>
      </w:r>
    </w:p>
    <w:p>
      <w:pPr>
        <w:spacing w:after="0" w:line="248" w:lineRule="exact"/>
        <w:rPr>
          <w:sz w:val="20"/>
          <w:szCs w:val="20"/>
          <w:color w:val="auto"/>
        </w:rPr>
      </w:pPr>
    </w:p>
    <w:tbl>
      <w:tblPr>
        <w:tblLayout w:type="fixed"/>
        <w:tblInd w:w="1660" w:type="dxa"/>
        <w:tblCellMar>
          <w:top w:w="0" w:type="dxa"/>
          <w:left w:w="0" w:type="dxa"/>
          <w:bottom w:w="0" w:type="dxa"/>
          <w:right w:w="0" w:type="dxa"/>
        </w:tblCellMar>
      </w:tblPr>
      <w:tr>
        <w:trPr>
          <w:trHeight w:val="174"/>
        </w:trPr>
        <w:tc>
          <w:tcPr>
            <w:tcW w:w="4620" w:type="dxa"/>
            <w:vAlign w:val="bottom"/>
          </w:tcPr>
          <w:p>
            <w:pPr>
              <w:spacing w:after="0"/>
              <w:rPr>
                <w:sz w:val="15"/>
                <w:szCs w:val="15"/>
                <w:color w:val="auto"/>
              </w:rPr>
            </w:pPr>
          </w:p>
        </w:tc>
        <w:tc>
          <w:tcPr>
            <w:tcW w:w="1460" w:type="dxa"/>
            <w:vAlign w:val="bottom"/>
          </w:tcPr>
          <w:p>
            <w:pPr>
              <w:jc w:val="right"/>
              <w:ind w:right="17"/>
              <w:spacing w:after="0"/>
              <w:rPr>
                <w:sz w:val="20"/>
                <w:szCs w:val="20"/>
                <w:color w:val="auto"/>
              </w:rPr>
            </w:pPr>
            <w:r>
              <w:rPr>
                <w:rFonts w:ascii="Arial" w:cs="Arial" w:eastAsia="Arial" w:hAnsi="Arial"/>
                <w:sz w:val="14"/>
                <w:szCs w:val="14"/>
                <w:b w:val="1"/>
                <w:bCs w:val="1"/>
                <w:color w:val="auto"/>
              </w:rPr>
              <w:t>Votes Cast For</w:t>
            </w:r>
          </w:p>
        </w:tc>
        <w:tc>
          <w:tcPr>
            <w:tcW w:w="420" w:type="dxa"/>
            <w:vAlign w:val="bottom"/>
          </w:tcPr>
          <w:p>
            <w:pPr>
              <w:spacing w:after="0"/>
              <w:rPr>
                <w:sz w:val="15"/>
                <w:szCs w:val="15"/>
                <w:color w:val="auto"/>
              </w:rPr>
            </w:pPr>
          </w:p>
        </w:tc>
        <w:tc>
          <w:tcPr>
            <w:tcW w:w="1460" w:type="dxa"/>
            <w:vAlign w:val="bottom"/>
          </w:tcPr>
          <w:p>
            <w:pPr>
              <w:jc w:val="right"/>
              <w:ind w:right="32"/>
              <w:spacing w:after="0"/>
              <w:rPr>
                <w:sz w:val="20"/>
                <w:szCs w:val="20"/>
                <w:color w:val="auto"/>
              </w:rPr>
            </w:pPr>
            <w:r>
              <w:rPr>
                <w:rFonts w:ascii="Arial" w:cs="Arial" w:eastAsia="Arial" w:hAnsi="Arial"/>
                <w:sz w:val="14"/>
                <w:szCs w:val="14"/>
                <w:b w:val="1"/>
                <w:bCs w:val="1"/>
                <w:color w:val="auto"/>
              </w:rPr>
              <w:t>Authority Withheld</w:t>
            </w:r>
          </w:p>
        </w:tc>
      </w:tr>
      <w:tr>
        <w:trPr>
          <w:trHeight w:val="95"/>
        </w:trPr>
        <w:tc>
          <w:tcPr>
            <w:tcW w:w="46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r>
      <w:tr>
        <w:trPr>
          <w:trHeight w:val="309"/>
        </w:trPr>
        <w:tc>
          <w:tcPr>
            <w:tcW w:w="4620" w:type="dxa"/>
            <w:vAlign w:val="bottom"/>
          </w:tcPr>
          <w:p>
            <w:pPr>
              <w:spacing w:after="0"/>
              <w:rPr>
                <w:sz w:val="20"/>
                <w:szCs w:val="20"/>
                <w:color w:val="auto"/>
              </w:rPr>
            </w:pPr>
            <w:r>
              <w:rPr>
                <w:rFonts w:ascii="Arial" w:cs="Arial" w:eastAsia="Arial" w:hAnsi="Arial"/>
                <w:sz w:val="18"/>
                <w:szCs w:val="18"/>
                <w:color w:val="auto"/>
              </w:rPr>
              <w:t>Jerry N. Currie (2008)</w:t>
            </w:r>
          </w:p>
        </w:tc>
        <w:tc>
          <w:tcPr>
            <w:tcW w:w="1460" w:type="dxa"/>
            <w:vAlign w:val="bottom"/>
          </w:tcPr>
          <w:p>
            <w:pPr>
              <w:jc w:val="right"/>
              <w:spacing w:after="0"/>
              <w:rPr>
                <w:sz w:val="20"/>
                <w:szCs w:val="20"/>
                <w:color w:val="auto"/>
              </w:rPr>
            </w:pPr>
            <w:r>
              <w:rPr>
                <w:rFonts w:ascii="Arial" w:cs="Arial" w:eastAsia="Arial" w:hAnsi="Arial"/>
                <w:sz w:val="18"/>
                <w:szCs w:val="18"/>
                <w:color w:val="auto"/>
              </w:rPr>
              <w:t>30,149,433</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1,793,114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Lawrence A. Erickson (2008)</w:t>
            </w:r>
          </w:p>
        </w:tc>
        <w:tc>
          <w:tcPr>
            <w:tcW w:w="1460" w:type="dxa"/>
            <w:vAlign w:val="bottom"/>
          </w:tcPr>
          <w:p>
            <w:pPr>
              <w:jc w:val="right"/>
              <w:spacing w:after="0"/>
              <w:rPr>
                <w:sz w:val="20"/>
                <w:szCs w:val="20"/>
                <w:color w:val="auto"/>
              </w:rPr>
            </w:pPr>
            <w:r>
              <w:rPr>
                <w:rFonts w:ascii="Arial" w:cs="Arial" w:eastAsia="Arial" w:hAnsi="Arial"/>
                <w:sz w:val="18"/>
                <w:szCs w:val="18"/>
                <w:color w:val="auto"/>
              </w:rPr>
              <w:t>30,094,588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1,847,959</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John E. Herlitz (2008)</w:t>
            </w:r>
          </w:p>
        </w:tc>
        <w:tc>
          <w:tcPr>
            <w:tcW w:w="1460" w:type="dxa"/>
            <w:vAlign w:val="bottom"/>
          </w:tcPr>
          <w:p>
            <w:pPr>
              <w:jc w:val="right"/>
              <w:spacing w:after="0"/>
              <w:rPr>
                <w:sz w:val="20"/>
                <w:szCs w:val="20"/>
                <w:color w:val="auto"/>
              </w:rPr>
            </w:pPr>
            <w:r>
              <w:rPr>
                <w:rFonts w:ascii="Arial" w:cs="Arial" w:eastAsia="Arial" w:hAnsi="Arial"/>
                <w:sz w:val="18"/>
                <w:szCs w:val="18"/>
                <w:color w:val="auto"/>
              </w:rPr>
              <w:t>31,790,775</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151,772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broker non-votes.</w:t>
      </w:r>
    </w:p>
    <w:p>
      <w:pPr>
        <w:spacing w:after="0" w:line="225" w:lineRule="exact"/>
        <w:rPr>
          <w:sz w:val="20"/>
          <w:szCs w:val="20"/>
          <w:color w:val="auto"/>
        </w:rPr>
      </w:pPr>
    </w:p>
    <w:p>
      <w:pPr>
        <w:ind w:left="1180" w:hanging="618"/>
        <w:spacing w:after="0"/>
        <w:tabs>
          <w:tab w:leader="none" w:pos="1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Directors whose terms continued after the shareholders meeting:</w:t>
      </w:r>
    </w:p>
    <w:p>
      <w:pPr>
        <w:spacing w:after="0" w:line="252"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John V. Hanson</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Bruce D. Hertzke</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Gerald C. Kitch</w:t>
            </w: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Irvin E. Aal</w:t>
            </w: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r>
      <w:tr>
        <w:trPr>
          <w:trHeight w:val="222"/>
        </w:trPr>
        <w:tc>
          <w:tcPr>
            <w:tcW w:w="1520" w:type="dxa"/>
            <w:vAlign w:val="bottom"/>
          </w:tcPr>
          <w:p>
            <w:pPr>
              <w:spacing w:after="0"/>
              <w:rPr>
                <w:sz w:val="20"/>
                <w:szCs w:val="20"/>
                <w:color w:val="auto"/>
              </w:rPr>
            </w:pPr>
            <w:r>
              <w:rPr>
                <w:rFonts w:ascii="Arial" w:cs="Arial" w:eastAsia="Arial" w:hAnsi="Arial"/>
                <w:sz w:val="18"/>
                <w:szCs w:val="18"/>
                <w:color w:val="auto"/>
                <w:w w:val="96"/>
              </w:rPr>
              <w:t>Joseph W. England</w:t>
            </w:r>
          </w:p>
        </w:tc>
        <w:tc>
          <w:tcPr>
            <w:tcW w:w="660" w:type="dxa"/>
            <w:vAlign w:val="bottom"/>
          </w:tcPr>
          <w:p>
            <w:pPr>
              <w:jc w:val="right"/>
              <w:spacing w:after="0"/>
              <w:rPr>
                <w:sz w:val="20"/>
                <w:szCs w:val="20"/>
                <w:color w:val="auto"/>
              </w:rPr>
            </w:pPr>
            <w:r>
              <w:rPr>
                <w:rFonts w:ascii="Arial" w:cs="Arial" w:eastAsia="Arial" w:hAnsi="Arial"/>
                <w:sz w:val="18"/>
                <w:szCs w:val="18"/>
                <w:color w:val="auto"/>
              </w:rPr>
              <w:t>(2007)</w:t>
            </w:r>
          </w:p>
        </w:tc>
      </w:tr>
    </w:tbl>
    <w:p>
      <w:pPr>
        <w:spacing w:after="0" w:line="210" w:lineRule="exact"/>
        <w:rPr>
          <w:sz w:val="20"/>
          <w:szCs w:val="20"/>
          <w:color w:val="auto"/>
        </w:rPr>
      </w:pPr>
    </w:p>
    <w:p>
      <w:pPr>
        <w:ind w:right="6300" w:firstLine="8"/>
        <w:spacing w:after="0" w:line="516" w:lineRule="auto"/>
        <w:tabs>
          <w:tab w:leader="none" w:pos="102" w:val="left"/>
        </w:tabs>
        <w:numPr>
          <w:ilvl w:val="0"/>
          <w:numId w:val="5"/>
        </w:numPr>
        <w:rPr>
          <w:rFonts w:ascii="Arial" w:cs="Arial" w:eastAsia="Arial" w:hAnsi="Arial"/>
          <w:sz w:val="18"/>
          <w:szCs w:val="18"/>
          <w:color w:val="auto"/>
        </w:rPr>
      </w:pPr>
      <w:r>
        <w:rPr>
          <w:rFonts w:ascii="Arial" w:cs="Arial" w:eastAsia="Arial" w:hAnsi="Arial"/>
          <w:sz w:val="18"/>
          <w:szCs w:val="18"/>
          <w:color w:val="auto"/>
        </w:rPr>
        <w:t>) Represents year of Annual Meeting that individual’s term will expire. Item 6. Exhibits and Reports on Form 8-K.</w:t>
      </w:r>
    </w:p>
    <w:p>
      <w:pPr>
        <w:spacing w:after="0" w:line="1" w:lineRule="exact"/>
        <w:rPr>
          <w:rFonts w:ascii="Arial" w:cs="Arial" w:eastAsia="Arial" w:hAnsi="Arial"/>
          <w:sz w:val="18"/>
          <w:szCs w:val="18"/>
          <w:color w:val="auto"/>
        </w:rPr>
      </w:pPr>
    </w:p>
    <w:p>
      <w:pPr>
        <w:ind w:left="1180" w:hanging="618"/>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Exhibits - - See Exhibit Index on page 25.</w:t>
      </w:r>
    </w:p>
    <w:p>
      <w:pPr>
        <w:spacing w:after="0" w:line="252" w:lineRule="exact"/>
        <w:rPr>
          <w:rFonts w:ascii="Arial" w:cs="Arial" w:eastAsia="Arial" w:hAnsi="Arial"/>
          <w:sz w:val="18"/>
          <w:szCs w:val="18"/>
          <w:color w:val="auto"/>
        </w:rPr>
      </w:pPr>
    </w:p>
    <w:p>
      <w:pPr>
        <w:ind w:left="1180" w:hanging="618"/>
        <w:spacing w:after="0"/>
        <w:tabs>
          <w:tab w:leader="none" w:pos="1180" w:val="left"/>
        </w:tabs>
        <w:numPr>
          <w:ilvl w:val="1"/>
          <w:numId w:val="5"/>
        </w:numPr>
        <w:rPr>
          <w:rFonts w:ascii="Arial" w:cs="Arial" w:eastAsia="Arial" w:hAnsi="Arial"/>
          <w:sz w:val="18"/>
          <w:szCs w:val="18"/>
          <w:color w:val="auto"/>
        </w:rPr>
      </w:pPr>
      <w:r>
        <w:rPr>
          <w:rFonts w:ascii="Arial" w:cs="Arial" w:eastAsia="Arial" w:hAnsi="Arial"/>
          <w:sz w:val="18"/>
          <w:szCs w:val="18"/>
          <w:color w:val="auto"/>
        </w:rPr>
        <w:t>8-K filings during quarter ended February 26, 2005.</w:t>
      </w:r>
    </w:p>
    <w:p>
      <w:pPr>
        <w:spacing w:after="0" w:line="252" w:lineRule="exact"/>
        <w:rPr>
          <w:sz w:val="20"/>
          <w:szCs w:val="20"/>
          <w:color w:val="auto"/>
        </w:rPr>
      </w:pPr>
    </w:p>
    <w:p>
      <w:pPr>
        <w:ind w:left="1160" w:right="180"/>
        <w:spacing w:after="0" w:line="268" w:lineRule="auto"/>
        <w:rPr>
          <w:sz w:val="20"/>
          <w:szCs w:val="20"/>
          <w:color w:val="auto"/>
        </w:rPr>
      </w:pPr>
      <w:r>
        <w:rPr>
          <w:rFonts w:ascii="Arial" w:cs="Arial" w:eastAsia="Arial" w:hAnsi="Arial"/>
          <w:sz w:val="18"/>
          <w:szCs w:val="18"/>
          <w:color w:val="auto"/>
        </w:rPr>
        <w:t>On December 10, 2004, the Company filed a report on Form 8-K relating to a press release issued by the Company to announce the anticipated date of its first quarter of fiscal 2005 earnings announcement.</w:t>
      </w:r>
    </w:p>
    <w:p>
      <w:pPr>
        <w:spacing w:after="0" w:line="213" w:lineRule="exact"/>
        <w:rPr>
          <w:sz w:val="20"/>
          <w:szCs w:val="20"/>
          <w:color w:val="auto"/>
        </w:rPr>
      </w:pPr>
    </w:p>
    <w:p>
      <w:pPr>
        <w:ind w:left="1160"/>
        <w:spacing w:after="0" w:line="268" w:lineRule="auto"/>
        <w:rPr>
          <w:sz w:val="20"/>
          <w:szCs w:val="20"/>
          <w:color w:val="auto"/>
        </w:rPr>
      </w:pPr>
      <w:r>
        <w:rPr>
          <w:rFonts w:ascii="Arial" w:cs="Arial" w:eastAsia="Arial" w:hAnsi="Arial"/>
          <w:sz w:val="18"/>
          <w:szCs w:val="18"/>
          <w:color w:val="auto"/>
        </w:rPr>
        <w:t>On December 15, 2004, the Company filed a report on Form 8-K relating to a press release issued by the Company to announce its first quarter of fiscal 2005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SIGNATURES</w:t>
      </w:r>
    </w:p>
    <w:p>
      <w:pPr>
        <w:spacing w:after="0" w:line="3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29" w:lineRule="exact"/>
        <w:rPr>
          <w:sz w:val="20"/>
          <w:szCs w:val="20"/>
          <w:color w:val="auto"/>
        </w:rPr>
      </w:pPr>
    </w:p>
    <w:p>
      <w:pPr>
        <w:jc w:val="center"/>
        <w:ind w:left="940"/>
        <w:spacing w:after="0"/>
        <w:rPr>
          <w:sz w:val="20"/>
          <w:szCs w:val="20"/>
          <w:color w:val="auto"/>
        </w:rPr>
      </w:pPr>
      <w:r>
        <w:rPr>
          <w:rFonts w:ascii="Arial" w:cs="Arial" w:eastAsia="Arial" w:hAnsi="Arial"/>
          <w:sz w:val="18"/>
          <w:szCs w:val="18"/>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80010</wp:posOffset>
            </wp:positionV>
            <wp:extent cx="415925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159250" cy="8890"/>
                    </a:xfrm>
                    <a:prstGeom prst="rect">
                      <a:avLst/>
                    </a:prstGeom>
                    <a:noFill/>
                  </pic:spPr>
                </pic:pic>
              </a:graphicData>
            </a:graphic>
          </wp:anchor>
        </w:drawing>
      </w:r>
    </w:p>
    <w:p>
      <w:pPr>
        <w:spacing w:after="0" w:line="219"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95" w:lineRule="exact"/>
        <w:rPr>
          <w:sz w:val="20"/>
          <w:szCs w:val="20"/>
          <w:color w:val="auto"/>
        </w:rPr>
      </w:pPr>
    </w:p>
    <w:p>
      <w:pPr>
        <w:spacing w:after="0"/>
        <w:tabs>
          <w:tab w:leader="none" w:pos="520" w:val="left"/>
          <w:tab w:leader="none" w:pos="2900" w:val="left"/>
        </w:tabs>
        <w:rPr>
          <w:sz w:val="20"/>
          <w:szCs w:val="20"/>
          <w:color w:val="auto"/>
        </w:rPr>
      </w:pPr>
      <w:r>
        <w:rPr>
          <w:rFonts w:ascii="Arial" w:cs="Arial" w:eastAsia="Arial" w:hAnsi="Arial"/>
          <w:sz w:val="18"/>
          <w:szCs w:val="18"/>
          <w:color w:val="auto"/>
        </w:rPr>
        <w:t>Date</w:t>
        <w:tab/>
        <w:t>May 27, 2005</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80010</wp:posOffset>
            </wp:positionV>
            <wp:extent cx="565975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659755" cy="8890"/>
                    </a:xfrm>
                    <a:prstGeom prst="rect">
                      <a:avLst/>
                    </a:prstGeom>
                    <a:noFill/>
                  </pic:spPr>
                </pic:pic>
              </a:graphicData>
            </a:graphic>
          </wp:anchor>
        </w:drawing>
      </w:r>
    </w:p>
    <w:p>
      <w:pPr>
        <w:sectPr>
          <w:pgSz w:w="11900" w:h="16838" w:orient="portrait"/>
          <w:cols w:equalWidth="0" w:num="1">
            <w:col w:w="11400"/>
          </w:cols>
          <w:pgMar w:left="240" w:top="349" w:right="259" w:bottom="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2"/>
          </w:tcPr>
          <w:p>
            <w:pPr>
              <w:ind w:left="720"/>
              <w:spacing w:after="0"/>
              <w:rPr>
                <w:sz w:val="20"/>
                <w:szCs w:val="20"/>
                <w:color w:val="auto"/>
              </w:rPr>
            </w:pPr>
            <w:r>
              <w:rPr>
                <w:rFonts w:ascii="Arial" w:cs="Arial" w:eastAsia="Arial" w:hAnsi="Arial"/>
                <w:sz w:val="18"/>
                <w:szCs w:val="18"/>
                <w:color w:val="auto"/>
              </w:rPr>
              <w:t>Bruce D. Hertzke</w:t>
            </w:r>
          </w:p>
        </w:tc>
      </w:tr>
      <w:tr>
        <w:trPr>
          <w:trHeight w:val="216"/>
        </w:trPr>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2"/>
          </w:tcPr>
          <w:p>
            <w:pPr>
              <w:ind w:left="72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540" w:type="dxa"/>
            <w:vAlign w:val="bottom"/>
          </w:tcPr>
          <w:p>
            <w:pPr>
              <w:jc w:val="right"/>
              <w:ind w:right="3892"/>
              <w:spacing w:after="0"/>
              <w:rPr>
                <w:sz w:val="20"/>
                <w:szCs w:val="20"/>
                <w:color w:val="auto"/>
              </w:rPr>
            </w:pPr>
            <w:r>
              <w:rPr>
                <w:rFonts w:ascii="Arial" w:cs="Arial" w:eastAsia="Arial" w:hAnsi="Arial"/>
                <w:sz w:val="18"/>
                <w:szCs w:val="18"/>
                <w:color w:val="auto"/>
              </w:rPr>
              <w:t>(Principal Executive Officer)</w:t>
            </w:r>
          </w:p>
        </w:tc>
      </w:tr>
      <w:tr>
        <w:trPr>
          <w:trHeight w:val="702"/>
        </w:trPr>
        <w:tc>
          <w:tcPr>
            <w:tcW w:w="2200" w:type="dxa"/>
            <w:vAlign w:val="bottom"/>
            <w:gridSpan w:val="2"/>
          </w:tcPr>
          <w:p>
            <w:pPr>
              <w:spacing w:after="0"/>
              <w:rPr>
                <w:sz w:val="20"/>
                <w:szCs w:val="20"/>
                <w:color w:val="auto"/>
              </w:rPr>
            </w:pPr>
            <w:r>
              <w:rPr>
                <w:rFonts w:ascii="Arial" w:cs="Arial" w:eastAsia="Arial" w:hAnsi="Arial"/>
                <w:sz w:val="18"/>
                <w:szCs w:val="18"/>
                <w:color w:val="auto"/>
              </w:rPr>
              <w:t>Date   May 27, 2005</w:t>
            </w:r>
          </w:p>
        </w:tc>
        <w:tc>
          <w:tcPr>
            <w:tcW w:w="7260" w:type="dxa"/>
            <w:vAlign w:val="bottom"/>
            <w:gridSpan w:val="2"/>
          </w:tcPr>
          <w:p>
            <w:pPr>
              <w:ind w:left="720"/>
              <w:spacing w:after="0"/>
              <w:rPr>
                <w:sz w:val="20"/>
                <w:szCs w:val="20"/>
                <w:color w:val="auto"/>
              </w:rPr>
            </w:pPr>
            <w:r>
              <w:rPr>
                <w:rFonts w:ascii="Arial" w:cs="Arial" w:eastAsia="Arial" w:hAnsi="Arial"/>
                <w:sz w:val="18"/>
                <w:szCs w:val="18"/>
                <w:color w:val="auto"/>
              </w:rPr>
              <w:t>/s/ Edwin F. Barker</w:t>
            </w:r>
          </w:p>
        </w:tc>
      </w:tr>
      <w:tr>
        <w:trPr>
          <w:trHeight w:val="110"/>
        </w:trPr>
        <w:tc>
          <w:tcPr>
            <w:tcW w:w="540" w:type="dxa"/>
            <w:vAlign w:val="bottom"/>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6540" w:type="dxa"/>
            <w:vAlign w:val="bottom"/>
            <w:tcBorders>
              <w:bottom w:val="single" w:sz="8" w:color="auto"/>
            </w:tcBorders>
          </w:tcPr>
          <w:p>
            <w:pPr>
              <w:spacing w:after="0"/>
              <w:rPr>
                <w:sz w:val="9"/>
                <w:szCs w:val="9"/>
                <w:color w:val="auto"/>
              </w:rPr>
            </w:pPr>
          </w:p>
        </w:tc>
      </w:tr>
      <w:tr>
        <w:trPr>
          <w:trHeight w:val="309"/>
        </w:trPr>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260" w:type="dxa"/>
            <w:vAlign w:val="bottom"/>
            <w:gridSpan w:val="2"/>
          </w:tcPr>
          <w:p>
            <w:pPr>
              <w:ind w:left="720"/>
              <w:spacing w:after="0"/>
              <w:rPr>
                <w:sz w:val="20"/>
                <w:szCs w:val="20"/>
                <w:color w:val="auto"/>
              </w:rPr>
            </w:pPr>
            <w:r>
              <w:rPr>
                <w:rFonts w:ascii="Arial" w:cs="Arial" w:eastAsia="Arial" w:hAnsi="Arial"/>
                <w:sz w:val="18"/>
                <w:szCs w:val="18"/>
                <w:color w:val="auto"/>
              </w:rPr>
              <w:t>Edwin F. Barker</w:t>
            </w:r>
          </w:p>
        </w:tc>
      </w:tr>
      <w:tr>
        <w:trPr>
          <w:trHeight w:val="216"/>
        </w:trPr>
        <w:tc>
          <w:tcPr>
            <w:tcW w:w="5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7260" w:type="dxa"/>
            <w:vAlign w:val="bottom"/>
            <w:gridSpan w:val="2"/>
          </w:tcPr>
          <w:p>
            <w:pPr>
              <w:ind w:left="720"/>
              <w:spacing w:after="0"/>
              <w:rPr>
                <w:sz w:val="20"/>
                <w:szCs w:val="20"/>
                <w:color w:val="auto"/>
              </w:rPr>
            </w:pPr>
            <w:r>
              <w:rPr>
                <w:rFonts w:ascii="Arial" w:cs="Arial" w:eastAsia="Arial" w:hAnsi="Arial"/>
                <w:sz w:val="18"/>
                <w:szCs w:val="18"/>
                <w:color w:val="auto"/>
              </w:rPr>
              <w:t>President and Chief Financial Officer</w:t>
            </w:r>
          </w:p>
        </w:tc>
      </w:tr>
      <w:tr>
        <w:trPr>
          <w:trHeight w:val="222"/>
        </w:trPr>
        <w:tc>
          <w:tcPr>
            <w:tcW w:w="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540" w:type="dxa"/>
            <w:vAlign w:val="bottom"/>
          </w:tcPr>
          <w:p>
            <w:pPr>
              <w:jc w:val="right"/>
              <w:ind w:right="3892"/>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355" w:lineRule="exact"/>
        <w:rPr>
          <w:sz w:val="20"/>
          <w:szCs w:val="20"/>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Letter regarding Unaudited Interim Financial Information.</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May 27, 2005.</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May 27, 2005.</w:t>
      </w:r>
    </w:p>
    <w:p>
      <w:pPr>
        <w:spacing w:after="0" w:line="25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by the Chief Executive Officer pursuant to Section 1350, as adopted pursuant to Section 906 of the Sarbanes-Oxley Act of 2002 dated May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27, 2005.</w:t>
      </w:r>
    </w:p>
    <w:p>
      <w:pPr>
        <w:spacing w:after="0" w:line="24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5"/>
          <w:szCs w:val="15"/>
          <w:color w:val="auto"/>
        </w:rPr>
        <w:t>Certification by the Chief Financial Officer pursuant to Section 1350, as adopted pursuant to Section 906 of the Sarbanes-Oxley Act of 2002 dated May</w:t>
      </w:r>
    </w:p>
    <w:p>
      <w:pPr>
        <w:spacing w:after="0" w:line="1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27, 2005.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22"/>
          <w:szCs w:val="22"/>
          <w:b w:val="1"/>
          <w:bCs w:val="1"/>
          <w:color w:val="auto"/>
        </w:rPr>
        <w:t>Exhibit 15</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Forest City, Iowa</w:t>
      </w:r>
    </w:p>
    <w:p>
      <w:pPr>
        <w:spacing w:after="0" w:line="21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We have made a review, in accordance with standards of the Public Company Accounting Oversight Board (United States), of the unaudited interim financial information of Winnebago Industries, Inc. and subsidiaries for the periods ended February 26, 2005, and February 28, 2004, as indicated in our report dated April 5, 2005 (May 27, 2005 as to the effects of the restatement discussed in Note 12); because we did not perform an audit, we expressed no opinion on that information.</w:t>
      </w:r>
    </w:p>
    <w:p>
      <w:pPr>
        <w:spacing w:after="0" w:line="19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We are aware that our report referred to above, which is included in your Quarterly Report on Form 10-Q/A for the quarter ended February 26, 2005, is incorporated by reference in Registration Statements No. 2-40316, No. 2-82109, No. 33-21757, No. 33-59930, No. 333-31595, and No. 333-113246 on Form S-8.</w:t>
      </w:r>
    </w:p>
    <w:p>
      <w:pPr>
        <w:spacing w:after="0" w:line="1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also are aware that the aforementioned report, pursuant to Rule 436(c) under the Securities Act of 1933, is not considered a part of the Registration Statement prepared or certified by an accountant or a report prepared or certified by an accountant within the meaning of Sections 7 and 11 of that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1137285</wp:posOffset>
            </wp:positionV>
            <wp:extent cx="725043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112" w:right="259" w:bottom="1440" w:gutter="0" w:footer="0" w:header="0"/>
        </w:sectPr>
      </w:pPr>
    </w:p>
    <w:bookmarkStart w:id="19" w:name="page20"/>
    <w:bookmarkEnd w:id="19"/>
    <w:p>
      <w:pPr>
        <w:jc w:val="center"/>
        <w:ind w:right="-79"/>
        <w:spacing w:after="0"/>
        <w:rPr>
          <w:sz w:val="20"/>
          <w:szCs w:val="20"/>
          <w:color w:val="auto"/>
        </w:rPr>
      </w:pPr>
      <w:r>
        <w:rPr>
          <w:rFonts w:ascii="Arial" w:cs="Arial" w:eastAsia="Arial" w:hAnsi="Arial"/>
          <w:sz w:val="22"/>
          <w:szCs w:val="22"/>
          <w:b w:val="1"/>
          <w:bCs w:val="1"/>
          <w:color w:val="auto"/>
        </w:rPr>
        <w:t>Exhibit 31.1</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CERTIFICATION BY CHIEF EXECUTIVE OFFICER</w:t>
      </w:r>
    </w:p>
    <w:p>
      <w:pPr>
        <w:jc w:val="center"/>
        <w:ind w:right="-79"/>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79"/>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79"/>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Bruce D. Hertzke, Chief Executive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Winnebago Industries, Inc. (the “Registrant”);</w:t>
      </w:r>
    </w:p>
    <w:p>
      <w:pPr>
        <w:spacing w:after="0" w:line="252" w:lineRule="exact"/>
        <w:rPr>
          <w:rFonts w:ascii="Arial" w:cs="Arial" w:eastAsia="Arial" w:hAnsi="Arial"/>
          <w:sz w:val="18"/>
          <w:szCs w:val="18"/>
          <w:color w:val="auto"/>
        </w:rPr>
      </w:pPr>
    </w:p>
    <w:p>
      <w:pPr>
        <w:ind w:left="1180" w:right="4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hanging="618"/>
        <w:spacing w:after="0" w:line="259"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1760" w:hanging="631"/>
        <w:spacing w:after="0" w:line="306" w:lineRule="auto"/>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18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00" w:hanging="631"/>
        <w:spacing w:after="0" w:line="259"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380" w:hanging="631"/>
        <w:spacing w:after="0" w:line="332" w:lineRule="auto"/>
        <w:tabs>
          <w:tab w:leader="none" w:pos="1760"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20" w:hanging="631"/>
        <w:spacing w:after="0" w:line="268" w:lineRule="auto"/>
        <w:tabs>
          <w:tab w:leader="none" w:pos="17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May 27, 2005</w:t>
            </w:r>
          </w:p>
        </w:tc>
      </w:tr>
    </w:tbl>
    <w:p>
      <w:pPr>
        <w:spacing w:after="0" w:line="235" w:lineRule="exact"/>
        <w:rPr>
          <w:sz w:val="20"/>
          <w:szCs w:val="20"/>
          <w:color w:val="auto"/>
        </w:rPr>
      </w:pPr>
    </w:p>
    <w:p>
      <w:pPr>
        <w:ind w:left="406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80010</wp:posOffset>
            </wp:positionV>
            <wp:extent cx="231521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0" w:name="page21"/>
    <w:bookmarkEnd w:id="20"/>
    <w:p>
      <w:pPr>
        <w:jc w:val="center"/>
        <w:ind w:right="-79"/>
        <w:spacing w:after="0"/>
        <w:rPr>
          <w:sz w:val="20"/>
          <w:szCs w:val="20"/>
          <w:color w:val="auto"/>
        </w:rPr>
      </w:pPr>
      <w:r>
        <w:rPr>
          <w:rFonts w:ascii="Arial" w:cs="Arial" w:eastAsia="Arial" w:hAnsi="Arial"/>
          <w:sz w:val="22"/>
          <w:szCs w:val="22"/>
          <w:b w:val="1"/>
          <w:bCs w:val="1"/>
          <w:color w:val="auto"/>
        </w:rPr>
        <w:t>Exhibit 31.2</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CERTIFICATION BY CHIEF FINANCIAL OFFICER</w:t>
      </w:r>
    </w:p>
    <w:p>
      <w:pPr>
        <w:jc w:val="center"/>
        <w:ind w:right="-79"/>
        <w:spacing w:after="0" w:line="230" w:lineRule="auto"/>
        <w:rPr>
          <w:sz w:val="20"/>
          <w:szCs w:val="20"/>
          <w:color w:val="auto"/>
        </w:rPr>
      </w:pPr>
      <w:r>
        <w:rPr>
          <w:rFonts w:ascii="Arial" w:cs="Arial" w:eastAsia="Arial" w:hAnsi="Arial"/>
          <w:sz w:val="22"/>
          <w:szCs w:val="22"/>
          <w:b w:val="1"/>
          <w:bCs w:val="1"/>
          <w:color w:val="auto"/>
        </w:rPr>
        <w:t>PURSUANT TO 18 U.S.C. SECTION 1350,</w:t>
      </w:r>
    </w:p>
    <w:p>
      <w:pPr>
        <w:jc w:val="center"/>
        <w:ind w:right="-79"/>
        <w:spacing w:after="0" w:line="231" w:lineRule="auto"/>
        <w:rPr>
          <w:sz w:val="20"/>
          <w:szCs w:val="20"/>
          <w:color w:val="auto"/>
        </w:rPr>
      </w:pPr>
      <w:r>
        <w:rPr>
          <w:rFonts w:ascii="Arial" w:cs="Arial" w:eastAsia="Arial" w:hAnsi="Arial"/>
          <w:sz w:val="22"/>
          <w:szCs w:val="22"/>
          <w:b w:val="1"/>
          <w:bCs w:val="1"/>
          <w:color w:val="auto"/>
        </w:rPr>
        <w:t>AS ADOPTED PURSUANT TO SECTION 302</w:t>
      </w:r>
    </w:p>
    <w:p>
      <w:pPr>
        <w:jc w:val="center"/>
        <w:ind w:right="-79"/>
        <w:spacing w:after="0"/>
        <w:rPr>
          <w:sz w:val="20"/>
          <w:szCs w:val="20"/>
          <w:color w:val="auto"/>
        </w:rPr>
      </w:pPr>
      <w:r>
        <w:rPr>
          <w:rFonts w:ascii="Arial" w:cs="Arial" w:eastAsia="Arial" w:hAnsi="Arial"/>
          <w:sz w:val="22"/>
          <w:szCs w:val="22"/>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Edwin F. Barker, Chief Financial Officer of Winnebago Industries, Inc., certify that:</w:t>
      </w:r>
    </w:p>
    <w:p>
      <w:pPr>
        <w:spacing w:after="0" w:line="225" w:lineRule="exact"/>
        <w:rPr>
          <w:sz w:val="20"/>
          <w:szCs w:val="20"/>
          <w:color w:val="auto"/>
        </w:rPr>
      </w:pPr>
    </w:p>
    <w:p>
      <w:pPr>
        <w:ind w:left="1180" w:hanging="618"/>
        <w:spacing w:after="0"/>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Winnebago Industries, Inc. (“the Registrant”);</w:t>
      </w:r>
    </w:p>
    <w:p>
      <w:pPr>
        <w:spacing w:after="0" w:line="252" w:lineRule="exact"/>
        <w:rPr>
          <w:rFonts w:ascii="Arial" w:cs="Arial" w:eastAsia="Arial" w:hAnsi="Arial"/>
          <w:sz w:val="18"/>
          <w:szCs w:val="18"/>
          <w:color w:val="auto"/>
        </w:rPr>
      </w:pPr>
    </w:p>
    <w:p>
      <w:pPr>
        <w:ind w:left="1180" w:right="4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21" w:lineRule="exact"/>
        <w:rPr>
          <w:rFonts w:ascii="Arial" w:cs="Arial" w:eastAsia="Arial" w:hAnsi="Arial"/>
          <w:sz w:val="18"/>
          <w:szCs w:val="18"/>
          <w:color w:val="auto"/>
        </w:rPr>
      </w:pPr>
    </w:p>
    <w:p>
      <w:pPr>
        <w:ind w:left="1180" w:hanging="618"/>
        <w:spacing w:after="0" w:line="259"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21" w:lineRule="exact"/>
        <w:rPr>
          <w:rFonts w:ascii="Arial" w:cs="Arial" w:eastAsia="Arial" w:hAnsi="Arial"/>
          <w:sz w:val="18"/>
          <w:szCs w:val="18"/>
          <w:color w:val="auto"/>
        </w:rPr>
      </w:pPr>
    </w:p>
    <w:p>
      <w:pPr>
        <w:ind w:left="1180" w:right="8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12" w:lineRule="exact"/>
        <w:rPr>
          <w:rFonts w:ascii="Arial" w:cs="Arial" w:eastAsia="Arial" w:hAnsi="Arial"/>
          <w:sz w:val="18"/>
          <w:szCs w:val="18"/>
          <w:color w:val="auto"/>
        </w:rPr>
      </w:pPr>
    </w:p>
    <w:p>
      <w:pPr>
        <w:ind w:left="1760" w:hanging="631"/>
        <w:spacing w:after="0" w:line="306" w:lineRule="auto"/>
        <w:tabs>
          <w:tab w:leader="none" w:pos="1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7" w:lineRule="exact"/>
        <w:rPr>
          <w:rFonts w:ascii="Arial" w:cs="Arial" w:eastAsia="Arial" w:hAnsi="Arial"/>
          <w:sz w:val="16"/>
          <w:szCs w:val="16"/>
          <w:color w:val="auto"/>
        </w:rPr>
      </w:pPr>
    </w:p>
    <w:p>
      <w:pPr>
        <w:ind w:left="1760" w:right="18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based on such evaluation, presented in this Quarterly Report our conclusions about the effectiveness of the disclosure controls and procedures, as of end of the period covered by this Quarterly Report; and</w:t>
      </w:r>
    </w:p>
    <w:p>
      <w:pPr>
        <w:spacing w:after="0" w:line="221" w:lineRule="exact"/>
        <w:rPr>
          <w:rFonts w:ascii="Arial" w:cs="Arial" w:eastAsia="Arial" w:hAnsi="Arial"/>
          <w:sz w:val="18"/>
          <w:szCs w:val="18"/>
          <w:color w:val="auto"/>
        </w:rPr>
      </w:pPr>
    </w:p>
    <w:p>
      <w:pPr>
        <w:ind w:left="1760" w:right="200" w:hanging="631"/>
        <w:spacing w:after="0" w:line="259"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212" w:lineRule="exact"/>
        <w:rPr>
          <w:rFonts w:ascii="Arial" w:cs="Arial" w:eastAsia="Arial" w:hAnsi="Arial"/>
          <w:sz w:val="18"/>
          <w:szCs w:val="18"/>
          <w:color w:val="auto"/>
        </w:rPr>
      </w:pPr>
    </w:p>
    <w:p>
      <w:pPr>
        <w:ind w:left="1760" w:right="380" w:hanging="631"/>
        <w:spacing w:after="0" w:line="332" w:lineRule="auto"/>
        <w:tabs>
          <w:tab w:leader="none" w:pos="17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760" w:right="20" w:hanging="631"/>
        <w:spacing w:after="0" w:line="268" w:lineRule="auto"/>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w w:val="97"/>
              </w:rPr>
              <w:t>Date:</w:t>
            </w:r>
          </w:p>
        </w:tc>
        <w:tc>
          <w:tcPr>
            <w:tcW w:w="17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May 27, 2005</w:t>
            </w:r>
          </w:p>
        </w:tc>
      </w:tr>
    </w:tbl>
    <w:p>
      <w:pPr>
        <w:spacing w:after="0" w:line="235" w:lineRule="exact"/>
        <w:rPr>
          <w:sz w:val="20"/>
          <w:szCs w:val="20"/>
          <w:color w:val="auto"/>
        </w:rPr>
      </w:pPr>
    </w:p>
    <w:p>
      <w:pPr>
        <w:ind w:left="406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80010</wp:posOffset>
            </wp:positionV>
            <wp:extent cx="231521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40"/>
          </w:cols>
          <w:pgMar w:left="240" w:top="111" w:right="319" w:bottom="1440" w:gutter="0" w:footer="0" w:header="0"/>
        </w:sectPr>
      </w:pPr>
    </w:p>
    <w:bookmarkStart w:id="21" w:name="page22"/>
    <w:bookmarkEnd w:id="21"/>
    <w:p>
      <w:pPr>
        <w:jc w:val="center"/>
        <w:ind w:right="-119"/>
        <w:spacing w:after="0"/>
        <w:rPr>
          <w:sz w:val="20"/>
          <w:szCs w:val="20"/>
          <w:color w:val="auto"/>
        </w:rPr>
      </w:pPr>
      <w:r>
        <w:rPr>
          <w:rFonts w:ascii="Arial" w:cs="Arial" w:eastAsia="Arial" w:hAnsi="Arial"/>
          <w:sz w:val="22"/>
          <w:szCs w:val="22"/>
          <w:b w:val="1"/>
          <w:bCs w:val="1"/>
          <w:color w:val="auto"/>
        </w:rPr>
        <w:t>Exhibit 32.1</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CERTIFICATION PURSUANT TO SECTION 906 OF THE SARBANES-OXLEY ACT OF 2002</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(18 U.S.C. SECTION 1350)</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color w:val="auto"/>
        </w:rPr>
        <w:t>Bruce D. Hertzke, Chief Executive Officer, certifies that pursuant to 18 U.S.C. §1350 as adopted pursuant to §906 of the Sarbanes-Oxley Act of 2002, that:</w:t>
      </w:r>
    </w:p>
    <w:p>
      <w:pPr>
        <w:spacing w:after="0" w:line="248" w:lineRule="exact"/>
        <w:rPr>
          <w:sz w:val="20"/>
          <w:szCs w:val="20"/>
          <w:color w:val="auto"/>
        </w:rPr>
      </w:pPr>
    </w:p>
    <w:p>
      <w:pPr>
        <w:ind w:left="1180" w:hanging="618"/>
        <w:spacing w:after="0" w:line="259"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Quarterly Report on Form 10-Q/A (“periodic report”) of Winnebago Industries, Inc. (the “issuer”), for the quarter ended February 26,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200"/>
              <w:spacing w:after="0"/>
              <w:rPr>
                <w:sz w:val="20"/>
                <w:szCs w:val="20"/>
                <w:color w:val="auto"/>
              </w:rPr>
            </w:pPr>
            <w:r>
              <w:rPr>
                <w:rFonts w:ascii="Arial" w:cs="Arial" w:eastAsia="Arial" w:hAnsi="Arial"/>
                <w:sz w:val="18"/>
                <w:szCs w:val="18"/>
                <w:color w:val="auto"/>
                <w:w w:val="87"/>
              </w:rPr>
              <w:t>May 27, 2005</w:t>
            </w:r>
          </w:p>
        </w:tc>
      </w:tr>
    </w:tbl>
    <w:p>
      <w:pPr>
        <w:spacing w:after="0" w:line="210" w:lineRule="exact"/>
        <w:rPr>
          <w:sz w:val="20"/>
          <w:szCs w:val="20"/>
          <w:color w:val="auto"/>
        </w:rPr>
      </w:pPr>
    </w:p>
    <w:p>
      <w:pPr>
        <w:ind w:left="406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Bruce D. Hertzke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80010</wp:posOffset>
            </wp:positionV>
            <wp:extent cx="231521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Bruce D. Hertzke</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845185</wp:posOffset>
            </wp:positionV>
            <wp:extent cx="725043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20"/>
          </w:cols>
          <w:pgMar w:left="240" w:top="111" w:right="339" w:bottom="1440" w:gutter="0" w:footer="0" w:header="0"/>
        </w:sectPr>
      </w:pPr>
    </w:p>
    <w:bookmarkStart w:id="22" w:name="page23"/>
    <w:bookmarkEnd w:id="22"/>
    <w:p>
      <w:pPr>
        <w:jc w:val="center"/>
        <w:ind w:right="-119"/>
        <w:spacing w:after="0"/>
        <w:rPr>
          <w:sz w:val="20"/>
          <w:szCs w:val="20"/>
          <w:color w:val="auto"/>
        </w:rPr>
      </w:pPr>
      <w:r>
        <w:rPr>
          <w:rFonts w:ascii="Arial" w:cs="Arial" w:eastAsia="Arial" w:hAnsi="Arial"/>
          <w:sz w:val="22"/>
          <w:szCs w:val="22"/>
          <w:b w:val="1"/>
          <w:bCs w:val="1"/>
          <w:color w:val="auto"/>
        </w:rPr>
        <w:t>Exhibit 32.2</w:t>
      </w: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CERTIFICATION PURSUANT TO SECTION 906 OF THE SARBANES-OXLEY ACT OF 2002</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(18 U.S.C. SECTION 1350)</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color w:val="auto"/>
        </w:rPr>
        <w:t>Edwin F. Barker, Chief Financial Officer, certifies that pursuant to 18 U.S.C. §1350 as adopted pursuant to §906 of the Sarbanes-Oxley Act of 2002, that:</w:t>
      </w:r>
    </w:p>
    <w:p>
      <w:pPr>
        <w:spacing w:after="0" w:line="248" w:lineRule="exact"/>
        <w:rPr>
          <w:sz w:val="20"/>
          <w:szCs w:val="20"/>
          <w:color w:val="auto"/>
        </w:rPr>
      </w:pPr>
    </w:p>
    <w:p>
      <w:pPr>
        <w:ind w:left="1180" w:hanging="618"/>
        <w:spacing w:after="0" w:line="259"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This Quarterly Report on Form 10-Q/A (“periodic report”) of Winnebago Industries, Inc. (the “issuer”), for the quarter ended February 26, 2005 as filed with the Securities and Exchange Commission on the date of this certificate, which this statement accompanies, fully complies with the requirements of Section 13(a) or 15(d) of the Securities Exchange Act of 1934, and</w:t>
      </w:r>
    </w:p>
    <w:p>
      <w:pPr>
        <w:spacing w:after="0" w:line="221" w:lineRule="exact"/>
        <w:rPr>
          <w:rFonts w:ascii="Arial" w:cs="Arial" w:eastAsia="Arial" w:hAnsi="Arial"/>
          <w:sz w:val="18"/>
          <w:szCs w:val="18"/>
          <w:color w:val="auto"/>
        </w:rPr>
      </w:pPr>
    </w:p>
    <w:p>
      <w:pPr>
        <w:ind w:left="1180" w:right="40" w:hanging="618"/>
        <w:spacing w:after="0" w:line="268" w:lineRule="auto"/>
        <w:tabs>
          <w:tab w:leader="none" w:pos="1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1180" w:type="dxa"/>
            <w:vAlign w:val="bottom"/>
          </w:tcPr>
          <w:p>
            <w:pPr>
              <w:ind w:left="200"/>
              <w:spacing w:after="0"/>
              <w:rPr>
                <w:sz w:val="20"/>
                <w:szCs w:val="20"/>
                <w:color w:val="auto"/>
              </w:rPr>
            </w:pPr>
            <w:r>
              <w:rPr>
                <w:rFonts w:ascii="Arial" w:cs="Arial" w:eastAsia="Arial" w:hAnsi="Arial"/>
                <w:sz w:val="18"/>
                <w:szCs w:val="18"/>
                <w:color w:val="auto"/>
                <w:w w:val="87"/>
              </w:rPr>
              <w:t>May 27, 2005</w:t>
            </w:r>
          </w:p>
        </w:tc>
      </w:tr>
    </w:tbl>
    <w:p>
      <w:pPr>
        <w:spacing w:after="0" w:line="210" w:lineRule="exact"/>
        <w:rPr>
          <w:sz w:val="20"/>
          <w:szCs w:val="20"/>
          <w:color w:val="auto"/>
        </w:rPr>
      </w:pPr>
    </w:p>
    <w:p>
      <w:pPr>
        <w:ind w:left="4060"/>
        <w:spacing w:after="0"/>
        <w:tabs>
          <w:tab w:leader="none" w:pos="4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Edwin F. Barker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80010</wp:posOffset>
            </wp:positionV>
            <wp:extent cx="231521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Edwin F. Barker</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20"/>
      </w:cols>
      <w:pgMar w:left="24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3"/>
    </w:lvl>
  </w:abstractNum>
  <w:abstractNum w:abstractNumId="4">
    <w:nsid w:val="79E2A9E3"/>
    <w:multiLevelType w:val="hybridMultilevel"/>
    <w:lvl w:ilvl="0">
      <w:lvlJc w:val="left"/>
      <w:lvlText w:val="("/>
      <w:numFmt w:val="bullet"/>
      <w:start w:val="1"/>
    </w:lvl>
    <w:lvl w:ilvl="1">
      <w:lvlJc w:val="left"/>
      <w:lvlText w:val="(%2)"/>
      <w:numFmt w:val="lowerLetter"/>
      <w:start w:val="1"/>
    </w:lvl>
  </w:abstractNum>
  <w:abstractNum w:abstractNumId="5">
    <w:nsid w:val="7545E146"/>
    <w:multiLevelType w:val="hybridMultilevel"/>
    <w:lvl w:ilvl="0">
      <w:lvlJc w:val="left"/>
      <w:lvlText w:val="%1."/>
      <w:numFmt w:val="decimal"/>
      <w:start w:val="15"/>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2019-12-12T10:25:58Z</dcterms:created>
  <dcterms:modified xsi:type="dcterms:W3CDTF">2019-12-12T10:25:58Z</dcterms:modified>
</cp:coreProperties>
</file>