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80" w:lineRule="exact"/>
        <w:rPr>
          <w:sz w:val="24"/>
          <w:szCs w:val="24"/>
          <w:color w:val="auto"/>
        </w:rPr>
      </w:pPr>
    </w:p>
    <w:p>
      <w:pPr>
        <w:ind w:left="60"/>
        <w:spacing w:after="0"/>
        <w:rPr>
          <w:sz w:val="20"/>
          <w:szCs w:val="20"/>
          <w:color w:val="auto"/>
        </w:rPr>
      </w:pPr>
      <w:r>
        <w:rPr>
          <w:rFonts w:ascii="Arial" w:cs="Arial" w:eastAsia="Arial" w:hAnsi="Arial"/>
          <w:sz w:val="16"/>
          <w:szCs w:val="16"/>
          <w:color w:val="auto"/>
        </w:rPr>
        <w:t>(Mark One)</w:t>
      </w:r>
    </w:p>
    <w:p>
      <w:pPr>
        <w:spacing w:after="0" w:line="54" w:lineRule="exact"/>
        <w:rPr>
          <w:sz w:val="24"/>
          <w:szCs w:val="24"/>
          <w:color w:val="auto"/>
        </w:rPr>
      </w:pPr>
    </w:p>
    <w:p>
      <w:pPr>
        <w:ind w:left="60"/>
        <w:spacing w:after="0" w:line="161" w:lineRule="exact"/>
        <w:rPr>
          <w:sz w:val="20"/>
          <w:szCs w:val="20"/>
          <w:color w:val="auto"/>
        </w:rPr>
      </w:pPr>
      <w:r>
        <w:rPr>
          <w:rFonts w:ascii="MS PGothic" w:cs="MS PGothic" w:eastAsia="MS PGothic" w:hAnsi="MS PGothic"/>
          <w:sz w:val="16"/>
          <w:szCs w:val="16"/>
          <w:color w:val="auto"/>
        </w:rPr>
        <w:t>☒</w:t>
      </w:r>
    </w:p>
    <w:p>
      <w:pPr>
        <w:spacing w:after="0" w:line="54" w:lineRule="exact"/>
        <w:rPr>
          <w:sz w:val="24"/>
          <w:szCs w:val="24"/>
          <w:color w:val="auto"/>
        </w:rPr>
      </w:pPr>
    </w:p>
    <w:p>
      <w:pPr>
        <w:ind w:right="2620" w:firstLine="341"/>
        <w:spacing w:after="0" w:line="365" w:lineRule="auto"/>
        <w:rPr>
          <w:sz w:val="20"/>
          <w:szCs w:val="20"/>
          <w:color w:val="auto"/>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For the quarterly period ended May 30, 2026</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or</w:t>
      </w:r>
    </w:p>
    <w:p>
      <w:pPr>
        <w:spacing w:after="0" w:line="84" w:lineRule="exact"/>
        <w:rPr>
          <w:sz w:val="24"/>
          <w:szCs w:val="24"/>
          <w:color w:val="auto"/>
        </w:rPr>
      </w:pPr>
    </w:p>
    <w:p>
      <w:pPr>
        <w:ind w:left="300" w:right="2660" w:hanging="289"/>
        <w:spacing w:after="0" w:line="353" w:lineRule="auto"/>
        <w:tabs>
          <w:tab w:leader="none" w:pos="3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_________________ to _________________</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Commission File Number: 001-06403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1864360</wp:posOffset>
            </wp:positionH>
            <wp:positionV relativeFrom="paragraph">
              <wp:posOffset>83185</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WINNEBAGO INDUSTRIES, INC.</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32"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17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center"/>
              <w:ind w:right="479"/>
              <w:spacing w:after="0"/>
              <w:rPr>
                <w:sz w:val="20"/>
                <w:szCs w:val="20"/>
                <w:color w:val="auto"/>
              </w:rPr>
            </w:pPr>
            <w:r>
              <w:rPr>
                <w:rFonts w:ascii="Arial" w:cs="Arial" w:eastAsia="Arial" w:hAnsi="Arial"/>
                <w:sz w:val="16"/>
                <w:szCs w:val="16"/>
                <w:b w:val="1"/>
                <w:bCs w:val="1"/>
                <w:color w:val="auto"/>
              </w:rPr>
              <w:t>Minnesota</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4820" w:type="dxa"/>
            <w:vAlign w:val="bottom"/>
            <w:tcBorders>
              <w:bottom w:val="single" w:sz="8" w:color="auto"/>
            </w:tcBorders>
            <w:gridSpan w:val="3"/>
          </w:tcPr>
          <w:p>
            <w:pPr>
              <w:jc w:val="right"/>
              <w:ind w:right="1980"/>
              <w:spacing w:after="0"/>
              <w:rPr>
                <w:sz w:val="20"/>
                <w:szCs w:val="20"/>
                <w:color w:val="auto"/>
              </w:rPr>
            </w:pPr>
            <w:r>
              <w:rPr>
                <w:rFonts w:ascii="Arial" w:cs="Arial" w:eastAsia="Arial" w:hAnsi="Arial"/>
                <w:sz w:val="16"/>
                <w:szCs w:val="16"/>
                <w:b w:val="1"/>
                <w:bCs w:val="1"/>
                <w:color w:val="auto"/>
              </w:rPr>
              <w:t>42-0802678</w:t>
            </w:r>
          </w:p>
        </w:tc>
      </w:tr>
      <w:tr>
        <w:trPr>
          <w:trHeight w:val="212"/>
        </w:trPr>
        <w:tc>
          <w:tcPr>
            <w:tcW w:w="5760" w:type="dxa"/>
            <w:vAlign w:val="bottom"/>
            <w:gridSpan w:val="5"/>
          </w:tcPr>
          <w:p>
            <w:pPr>
              <w:jc w:val="center"/>
              <w:spacing w:after="0"/>
              <w:rPr>
                <w:sz w:val="20"/>
                <w:szCs w:val="20"/>
                <w:color w:val="auto"/>
              </w:rPr>
            </w:pPr>
            <w:r>
              <w:rPr>
                <w:rFonts w:ascii="Arial" w:cs="Arial" w:eastAsia="Arial" w:hAnsi="Arial"/>
                <w:sz w:val="16"/>
                <w:szCs w:val="16"/>
                <w:color w:val="auto"/>
              </w:rPr>
              <w:t>(State or other jurisdiction of incorporation or organization)</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780" w:type="dxa"/>
            <w:vAlign w:val="bottom"/>
            <w:gridSpan w:val="2"/>
          </w:tcPr>
          <w:p>
            <w:pPr>
              <w:jc w:val="center"/>
              <w:ind w:right="60"/>
              <w:spacing w:after="0"/>
              <w:rPr>
                <w:sz w:val="20"/>
                <w:szCs w:val="20"/>
                <w:color w:val="auto"/>
              </w:rPr>
            </w:pPr>
            <w:r>
              <w:rPr>
                <w:rFonts w:ascii="Arial" w:cs="Arial" w:eastAsia="Arial" w:hAnsi="Arial"/>
                <w:sz w:val="16"/>
                <w:szCs w:val="16"/>
                <w:color w:val="auto"/>
              </w:rPr>
              <w:t>(I.R.S. Employer Identification No.)</w:t>
            </w:r>
          </w:p>
        </w:tc>
      </w:tr>
      <w:tr>
        <w:trPr>
          <w:trHeight w:val="267"/>
        </w:trPr>
        <w:tc>
          <w:tcPr>
            <w:tcW w:w="1720" w:type="dxa"/>
            <w:vAlign w:val="bottom"/>
          </w:tcPr>
          <w:p>
            <w:pPr>
              <w:ind w:left="240"/>
              <w:spacing w:after="0"/>
              <w:rPr>
                <w:sz w:val="20"/>
                <w:szCs w:val="20"/>
                <w:color w:val="auto"/>
              </w:rPr>
            </w:pPr>
            <w:r>
              <w:rPr>
                <w:rFonts w:ascii="Arial" w:cs="Arial" w:eastAsia="Arial" w:hAnsi="Arial"/>
                <w:sz w:val="16"/>
                <w:szCs w:val="16"/>
                <w:b w:val="1"/>
                <w:bCs w:val="1"/>
                <w:color w:val="auto"/>
              </w:rPr>
              <w:t>13200 Pioneer Trail</w:t>
            </w:r>
          </w:p>
        </w:tc>
        <w:tc>
          <w:tcPr>
            <w:tcW w:w="240" w:type="dxa"/>
            <w:vAlign w:val="bottom"/>
          </w:tcPr>
          <w:p>
            <w:pPr>
              <w:spacing w:after="0"/>
              <w:rPr>
                <w:sz w:val="23"/>
                <w:szCs w:val="23"/>
                <w:color w:val="auto"/>
              </w:rPr>
            </w:pPr>
          </w:p>
        </w:tc>
        <w:tc>
          <w:tcPr>
            <w:tcW w:w="2400" w:type="dxa"/>
            <w:vAlign w:val="bottom"/>
          </w:tcPr>
          <w:p>
            <w:pPr>
              <w:ind w:left="520"/>
              <w:spacing w:after="0"/>
              <w:rPr>
                <w:sz w:val="20"/>
                <w:szCs w:val="20"/>
                <w:color w:val="auto"/>
              </w:rPr>
            </w:pPr>
            <w:r>
              <w:rPr>
                <w:rFonts w:ascii="Arial" w:cs="Arial" w:eastAsia="Arial" w:hAnsi="Arial"/>
                <w:sz w:val="16"/>
                <w:szCs w:val="16"/>
                <w:b w:val="1"/>
                <w:bCs w:val="1"/>
                <w:color w:val="auto"/>
              </w:rPr>
              <w:t>Eden Prairie</w:t>
            </w:r>
          </w:p>
        </w:tc>
        <w:tc>
          <w:tcPr>
            <w:tcW w:w="2100" w:type="dxa"/>
            <w:vAlign w:val="bottom"/>
            <w:gridSpan w:val="3"/>
          </w:tcPr>
          <w:p>
            <w:pPr>
              <w:jc w:val="right"/>
              <w:ind w:right="1220"/>
              <w:spacing w:after="0"/>
              <w:rPr>
                <w:sz w:val="20"/>
                <w:szCs w:val="20"/>
                <w:color w:val="auto"/>
              </w:rPr>
            </w:pPr>
            <w:r>
              <w:rPr>
                <w:rFonts w:ascii="Arial" w:cs="Arial" w:eastAsia="Arial" w:hAnsi="Arial"/>
                <w:sz w:val="16"/>
                <w:szCs w:val="16"/>
                <w:b w:val="1"/>
                <w:bCs w:val="1"/>
                <w:color w:val="auto"/>
              </w:rPr>
              <w:t>Minnesota</w:t>
            </w:r>
          </w:p>
        </w:tc>
        <w:tc>
          <w:tcPr>
            <w:tcW w:w="4820" w:type="dxa"/>
            <w:vAlign w:val="bottom"/>
            <w:gridSpan w:val="3"/>
          </w:tcPr>
          <w:p>
            <w:pPr>
              <w:jc w:val="right"/>
              <w:ind w:right="2200"/>
              <w:spacing w:after="0"/>
              <w:rPr>
                <w:sz w:val="20"/>
                <w:szCs w:val="20"/>
                <w:color w:val="auto"/>
              </w:rPr>
            </w:pPr>
            <w:r>
              <w:rPr>
                <w:rFonts w:ascii="Arial" w:cs="Arial" w:eastAsia="Arial" w:hAnsi="Arial"/>
                <w:sz w:val="16"/>
                <w:szCs w:val="16"/>
                <w:b w:val="1"/>
                <w:bCs w:val="1"/>
                <w:color w:val="auto"/>
              </w:rPr>
              <w:t>55347</w:t>
            </w:r>
          </w:p>
        </w:tc>
      </w:tr>
      <w:tr>
        <w:trPr>
          <w:trHeight w:val="212"/>
        </w:trPr>
        <w:tc>
          <w:tcPr>
            <w:tcW w:w="4360" w:type="dxa"/>
            <w:vAlign w:val="bottom"/>
            <w:tcBorders>
              <w:top w:val="single" w:sz="8" w:color="auto"/>
            </w:tcBorders>
            <w:gridSpan w:val="3"/>
          </w:tcPr>
          <w:p>
            <w:pPr>
              <w:jc w:val="center"/>
              <w:ind w:left="1319"/>
              <w:spacing w:after="0"/>
              <w:rPr>
                <w:sz w:val="20"/>
                <w:szCs w:val="20"/>
                <w:color w:val="auto"/>
              </w:rPr>
            </w:pPr>
            <w:r>
              <w:rPr>
                <w:rFonts w:ascii="Arial" w:cs="Arial" w:eastAsia="Arial" w:hAnsi="Arial"/>
                <w:sz w:val="16"/>
                <w:szCs w:val="16"/>
                <w:color w:val="auto"/>
              </w:rPr>
              <w:t>(Address of principal executive offices)</w:t>
            </w:r>
          </w:p>
        </w:tc>
        <w:tc>
          <w:tcPr>
            <w:tcW w:w="4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780" w:type="dxa"/>
            <w:vAlign w:val="bottom"/>
            <w:tcBorders>
              <w:top w:val="single" w:sz="8" w:color="auto"/>
            </w:tcBorders>
            <w:gridSpan w:val="2"/>
          </w:tcPr>
          <w:p>
            <w:pPr>
              <w:jc w:val="center"/>
              <w:ind w:right="60"/>
              <w:spacing w:after="0"/>
              <w:rPr>
                <w:sz w:val="20"/>
                <w:szCs w:val="20"/>
                <w:color w:val="auto"/>
              </w:rPr>
            </w:pPr>
            <w:r>
              <w:rPr>
                <w:rFonts w:ascii="Arial" w:cs="Arial" w:eastAsia="Arial" w:hAnsi="Arial"/>
                <w:sz w:val="16"/>
                <w:szCs w:val="16"/>
                <w:color w:val="auto"/>
              </w:rPr>
              <w:t>(Zip Code)</w:t>
            </w:r>
          </w:p>
        </w:tc>
      </w:tr>
      <w:tr>
        <w:trPr>
          <w:trHeight w:val="267"/>
        </w:trPr>
        <w:tc>
          <w:tcPr>
            <w:tcW w:w="1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6"/>
                <w:szCs w:val="16"/>
                <w:b w:val="1"/>
                <w:bCs w:val="1"/>
                <w:color w:val="auto"/>
              </w:rPr>
              <w:t>952-829-8600</w:t>
            </w:r>
          </w:p>
        </w:tc>
        <w:tc>
          <w:tcPr>
            <w:tcW w:w="40" w:type="dxa"/>
            <w:vAlign w:val="bottom"/>
            <w:tcBorders>
              <w:bottom w:val="single" w:sz="8" w:color="auto"/>
            </w:tcBorders>
          </w:tcPr>
          <w:p>
            <w:pPr>
              <w:spacing w:after="0"/>
              <w:rPr>
                <w:sz w:val="23"/>
                <w:szCs w:val="23"/>
                <w:color w:val="auto"/>
              </w:rPr>
            </w:pPr>
          </w:p>
        </w:tc>
        <w:tc>
          <w:tcPr>
            <w:tcW w:w="2520" w:type="dxa"/>
            <w:vAlign w:val="bottom"/>
            <w:tcBorders>
              <w:bottom w:val="single" w:sz="8" w:color="auto"/>
            </w:tcBorders>
          </w:tcPr>
          <w:p>
            <w:pPr>
              <w:spacing w:after="0"/>
              <w:rPr>
                <w:sz w:val="23"/>
                <w:szCs w:val="23"/>
                <w:color w:val="auto"/>
              </w:rPr>
            </w:pPr>
          </w:p>
        </w:tc>
        <w:tc>
          <w:tcPr>
            <w:tcW w:w="2260" w:type="dxa"/>
            <w:vAlign w:val="bottom"/>
          </w:tcPr>
          <w:p>
            <w:pPr>
              <w:spacing w:after="0"/>
              <w:rPr>
                <w:sz w:val="23"/>
                <w:szCs w:val="23"/>
                <w:color w:val="auto"/>
              </w:rPr>
            </w:pPr>
          </w:p>
        </w:tc>
      </w:tr>
      <w:tr>
        <w:trPr>
          <w:trHeight w:val="212"/>
        </w:trPr>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60" w:type="dxa"/>
            <w:vAlign w:val="bottom"/>
            <w:gridSpan w:val="6"/>
          </w:tcPr>
          <w:p>
            <w:pPr>
              <w:jc w:val="center"/>
              <w:ind w:left="199"/>
              <w:spacing w:after="0"/>
              <w:rPr>
                <w:sz w:val="20"/>
                <w:szCs w:val="20"/>
                <w:color w:val="auto"/>
              </w:rPr>
            </w:pPr>
            <w:r>
              <w:rPr>
                <w:rFonts w:ascii="Arial" w:cs="Arial" w:eastAsia="Arial" w:hAnsi="Arial"/>
                <w:sz w:val="16"/>
                <w:szCs w:val="16"/>
                <w:color w:val="auto"/>
              </w:rPr>
              <w:t>(Registrant's telephone number, including area code)</w:t>
            </w:r>
          </w:p>
        </w:tc>
        <w:tc>
          <w:tcPr>
            <w:tcW w:w="2260" w:type="dxa"/>
            <w:vAlign w:val="bottom"/>
          </w:tcPr>
          <w:p>
            <w:pPr>
              <w:spacing w:after="0"/>
              <w:rPr>
                <w:sz w:val="18"/>
                <w:szCs w:val="18"/>
                <w:color w:val="auto"/>
              </w:rPr>
            </w:pPr>
          </w:p>
        </w:tc>
      </w:tr>
      <w:tr>
        <w:trPr>
          <w:trHeight w:val="544"/>
        </w:trPr>
        <w:tc>
          <w:tcPr>
            <w:tcW w:w="436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r>
        <w:trPr>
          <w:trHeight w:val="216"/>
        </w:trPr>
        <w:tc>
          <w:tcPr>
            <w:tcW w:w="1720" w:type="dxa"/>
            <w:vAlign w:val="bottom"/>
            <w:tcBorders>
              <w:left w:val="single" w:sz="8" w:color="auto"/>
              <w:bottom w:val="single" w:sz="8" w:color="auto"/>
            </w:tcBorders>
          </w:tcPr>
          <w:p>
            <w:pPr>
              <w:spacing w:after="0"/>
              <w:rPr>
                <w:sz w:val="18"/>
                <w:szCs w:val="18"/>
                <w:color w:val="auto"/>
              </w:rPr>
            </w:pPr>
          </w:p>
        </w:tc>
        <w:tc>
          <w:tcPr>
            <w:tcW w:w="2640" w:type="dxa"/>
            <w:vAlign w:val="bottom"/>
            <w:tcBorders>
              <w:bottom w:val="single" w:sz="8" w:color="auto"/>
            </w:tcBorders>
            <w:gridSpan w:val="2"/>
          </w:tcPr>
          <w:p>
            <w:pPr>
              <w:jc w:val="center"/>
              <w:ind w:right="1239"/>
              <w:spacing w:after="0"/>
              <w:rPr>
                <w:sz w:val="20"/>
                <w:szCs w:val="20"/>
                <w:color w:val="auto"/>
              </w:rPr>
            </w:pPr>
            <w:r>
              <w:rPr>
                <w:rFonts w:ascii="Arial" w:cs="Arial" w:eastAsia="Arial" w:hAnsi="Arial"/>
                <w:sz w:val="16"/>
                <w:szCs w:val="16"/>
                <w:color w:val="auto"/>
                <w:w w:val="99"/>
              </w:rPr>
              <w:t>Title of each class</w:t>
            </w:r>
          </w:p>
        </w:tc>
        <w:tc>
          <w:tcPr>
            <w:tcW w:w="40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Trading Symbol(s)</w:t>
            </w:r>
          </w:p>
        </w:tc>
        <w:tc>
          <w:tcPr>
            <w:tcW w:w="4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color w:val="auto"/>
              </w:rPr>
              <w:t>Name of each exchange on which registered</w:t>
            </w:r>
          </w:p>
        </w:tc>
      </w:tr>
      <w:tr>
        <w:trPr>
          <w:trHeight w:val="210"/>
        </w:trPr>
        <w:tc>
          <w:tcPr>
            <w:tcW w:w="4360" w:type="dxa"/>
            <w:vAlign w:val="bottom"/>
            <w:tcBorders>
              <w:left w:val="single" w:sz="8" w:color="auto"/>
              <w:bottom w:val="single" w:sz="8" w:color="auto"/>
            </w:tcBorders>
            <w:gridSpan w:val="3"/>
          </w:tcPr>
          <w:p>
            <w:pPr>
              <w:jc w:val="center"/>
              <w:ind w:left="319"/>
              <w:spacing w:after="0"/>
              <w:rPr>
                <w:sz w:val="20"/>
                <w:szCs w:val="20"/>
                <w:color w:val="auto"/>
              </w:rPr>
            </w:pPr>
            <w:r>
              <w:rPr>
                <w:rFonts w:ascii="Arial" w:cs="Arial" w:eastAsia="Arial" w:hAnsi="Arial"/>
                <w:sz w:val="16"/>
                <w:szCs w:val="16"/>
                <w:color w:val="auto"/>
              </w:rPr>
              <w:t>Common Stock, $0.50 par value per share</w:t>
            </w:r>
          </w:p>
        </w:tc>
        <w:tc>
          <w:tcPr>
            <w:tcW w:w="40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WGO</w:t>
            </w:r>
          </w:p>
        </w:tc>
        <w:tc>
          <w:tcPr>
            <w:tcW w:w="4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6"/>
                <w:szCs w:val="16"/>
                <w:color w:val="auto"/>
              </w:rPr>
              <w:t>New York Stock Exchange</w:t>
            </w:r>
          </w:p>
        </w:tc>
      </w:tr>
    </w:tbl>
    <w:p>
      <w:pPr>
        <w:spacing w:after="0" w:line="319" w:lineRule="exact"/>
        <w:rPr>
          <w:sz w:val="24"/>
          <w:szCs w:val="24"/>
          <w:color w:val="auto"/>
        </w:rPr>
      </w:pPr>
    </w:p>
    <w:p>
      <w:pPr>
        <w:jc w:val="both"/>
        <w:spacing w:after="0" w:line="206"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7" w:lineRule="exact"/>
        <w:rPr>
          <w:sz w:val="24"/>
          <w:szCs w:val="24"/>
          <w:color w:val="auto"/>
        </w:rPr>
      </w:pPr>
    </w:p>
    <w:p>
      <w:pPr>
        <w:ind w:right="260"/>
        <w:spacing w:after="0" w:line="21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3" w:lineRule="exact"/>
        <w:rPr>
          <w:sz w:val="24"/>
          <w:szCs w:val="24"/>
          <w:color w:val="auto"/>
        </w:rPr>
      </w:pPr>
    </w:p>
    <w:p>
      <w:pPr>
        <w:ind w:right="60"/>
        <w:spacing w:after="0" w:line="27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5" w:lineRule="exact"/>
        <w:rPr>
          <w:sz w:val="24"/>
          <w:szCs w:val="24"/>
          <w:color w:val="auto"/>
        </w:rPr>
      </w:pPr>
    </w:p>
    <w:p>
      <w:pPr>
        <w:spacing w:after="0" w:line="184" w:lineRule="exact"/>
        <w:tabs>
          <w:tab w:leader="none" w:pos="2000" w:val="left"/>
          <w:tab w:leader="none" w:pos="358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Non-accelerated Filer </w:t>
      </w:r>
      <w:r>
        <w:rPr>
          <w:rFonts w:ascii="MS PGothic" w:cs="MS PGothic" w:eastAsia="MS PGothic" w:hAnsi="MS PGothic"/>
          <w:sz w:val="16"/>
          <w:szCs w:val="16"/>
          <w:color w:val="auto"/>
        </w:rPr>
        <w:t>☐</w:t>
      </w:r>
    </w:p>
    <w:p>
      <w:pPr>
        <w:spacing w:after="0" w:line="67" w:lineRule="exact"/>
        <w:rPr>
          <w:sz w:val="24"/>
          <w:szCs w:val="24"/>
          <w:color w:val="auto"/>
        </w:rPr>
      </w:pPr>
    </w:p>
    <w:p>
      <w:pPr>
        <w:ind w:left="180"/>
        <w:spacing w:after="0" w:line="184" w:lineRule="exact"/>
        <w:tabs>
          <w:tab w:leader="none" w:pos="2740" w:val="left"/>
        </w:tabs>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2" w:lineRule="exact"/>
        <w:rPr>
          <w:sz w:val="24"/>
          <w:szCs w:val="24"/>
          <w:color w:val="auto"/>
        </w:rPr>
      </w:pPr>
    </w:p>
    <w:p>
      <w:pPr>
        <w:ind w:right="160"/>
        <w:spacing w:after="0" w:line="21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80" w:lineRule="exact"/>
        <w:rPr>
          <w:sz w:val="24"/>
          <w:szCs w:val="24"/>
          <w:color w:val="auto"/>
        </w:rPr>
      </w:pPr>
    </w:p>
    <w:p>
      <w:pPr>
        <w:spacing w:after="0"/>
        <w:rPr>
          <w:sz w:val="20"/>
          <w:szCs w:val="20"/>
          <w:color w:val="auto"/>
        </w:rPr>
      </w:pPr>
      <w:r>
        <w:rPr>
          <w:rFonts w:ascii="Arial" w:cs="Arial" w:eastAsia="Arial" w:hAnsi="Arial"/>
          <w:sz w:val="16"/>
          <w:szCs w:val="16"/>
          <w:color w:val="auto"/>
        </w:rPr>
        <w:t>As of June 17, 2026, there were 28,268,893 shares of common stock, par value $0.50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490855</wp:posOffset>
            </wp:positionV>
            <wp:extent cx="71831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868" w:right="318"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Winnebago Industries,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Report on Form 10-Q</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Quarterly Period Ended May 30, 2026</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 w:type="dxa"/>
            <w:vAlign w:val="bottom"/>
            <w:gridSpan w:val="2"/>
          </w:tcPr>
          <w:p>
            <w:pPr>
              <w:spacing w:after="0"/>
              <w:rPr>
                <w:sz w:val="20"/>
                <w:szCs w:val="20"/>
                <w:color w:val="auto"/>
              </w:rPr>
            </w:pPr>
            <w:r>
              <w:rPr>
                <w:rFonts w:ascii="Arial" w:cs="Arial" w:eastAsia="Arial" w:hAnsi="Arial"/>
                <w:sz w:val="16"/>
                <w:szCs w:val="16"/>
                <w:b w:val="1"/>
                <w:bCs w:val="1"/>
                <w:color w:val="0000FF"/>
                <w:w w:val="94"/>
              </w:rPr>
              <w:t>PART I.</w:t>
            </w:r>
          </w:p>
        </w:tc>
        <w:tc>
          <w:tcPr>
            <w:tcW w:w="400" w:type="dxa"/>
            <w:vAlign w:val="bottom"/>
            <w:gridSpan w:val="3"/>
          </w:tcPr>
          <w:p>
            <w:pPr>
              <w:spacing w:after="0"/>
              <w:rPr>
                <w:sz w:val="16"/>
                <w:szCs w:val="16"/>
                <w:color w:val="auto"/>
              </w:rPr>
            </w:pPr>
          </w:p>
        </w:tc>
        <w:tc>
          <w:tcPr>
            <w:tcW w:w="6360" w:type="dxa"/>
            <w:vAlign w:val="bottom"/>
            <w:gridSpan w:val="17"/>
          </w:tcPr>
          <w:p>
            <w:pPr>
              <w:spacing w:after="0"/>
              <w:rPr>
                <w:sz w:val="20"/>
                <w:szCs w:val="20"/>
                <w:color w:val="auto"/>
              </w:rPr>
            </w:pPr>
            <w:r>
              <w:rPr>
                <w:rFonts w:ascii="Arial" w:cs="Arial" w:eastAsia="Arial" w:hAnsi="Arial"/>
                <w:sz w:val="16"/>
                <w:szCs w:val="16"/>
                <w:b w:val="1"/>
                <w:bCs w:val="1"/>
                <w:color w:val="0000FF"/>
              </w:rPr>
              <w:t>FINANCIAL INFORMATION</w:t>
            </w:r>
          </w:p>
        </w:tc>
        <w:tc>
          <w:tcPr>
            <w:tcW w:w="3900" w:type="dxa"/>
            <w:vAlign w:val="bottom"/>
            <w:gridSpan w:val="3"/>
          </w:tcPr>
          <w:p>
            <w:pPr>
              <w:jc w:val="right"/>
              <w:spacing w:after="0"/>
              <w:rPr>
                <w:sz w:val="20"/>
                <w:szCs w:val="20"/>
                <w:color w:val="auto"/>
              </w:rPr>
            </w:pPr>
            <w:r>
              <w:rPr>
                <w:rFonts w:ascii="Arial" w:cs="Arial" w:eastAsia="Arial" w:hAnsi="Arial"/>
                <w:sz w:val="16"/>
                <w:szCs w:val="16"/>
                <w:color w:val="0000FF"/>
              </w:rPr>
              <w:t>3</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60" w:type="dxa"/>
            <w:vAlign w:val="bottom"/>
            <w:gridSpan w:val="2"/>
          </w:tcPr>
          <w:p>
            <w:pPr>
              <w:spacing w:after="0"/>
              <w:rPr>
                <w:sz w:val="20"/>
                <w:szCs w:val="20"/>
                <w:color w:val="auto"/>
              </w:rPr>
            </w:pPr>
            <w:r>
              <w:rPr>
                <w:rFonts w:ascii="Arial" w:cs="Arial" w:eastAsia="Arial" w:hAnsi="Arial"/>
                <w:sz w:val="16"/>
                <w:szCs w:val="16"/>
                <w:color w:val="0000FF"/>
              </w:rPr>
              <w:t>Item 1.</w:t>
            </w:r>
          </w:p>
        </w:tc>
        <w:tc>
          <w:tcPr>
            <w:tcW w:w="400" w:type="dxa"/>
            <w:vAlign w:val="bottom"/>
            <w:gridSpan w:val="3"/>
          </w:tcPr>
          <w:p>
            <w:pPr>
              <w:spacing w:after="0"/>
              <w:rPr>
                <w:sz w:val="17"/>
                <w:szCs w:val="17"/>
                <w:color w:val="auto"/>
              </w:rPr>
            </w:pPr>
          </w:p>
        </w:tc>
        <w:tc>
          <w:tcPr>
            <w:tcW w:w="6360" w:type="dxa"/>
            <w:vAlign w:val="bottom"/>
            <w:gridSpan w:val="17"/>
          </w:tcPr>
          <w:p>
            <w:pPr>
              <w:spacing w:after="0"/>
              <w:rPr>
                <w:sz w:val="20"/>
                <w:szCs w:val="20"/>
                <w:color w:val="auto"/>
              </w:rPr>
            </w:pPr>
            <w:r>
              <w:rPr>
                <w:rFonts w:ascii="Arial" w:cs="Arial" w:eastAsia="Arial" w:hAnsi="Arial"/>
                <w:sz w:val="16"/>
                <w:szCs w:val="16"/>
                <w:color w:val="0000FF"/>
              </w:rPr>
              <w:t>Consolidated Financial Statements</w:t>
            </w:r>
          </w:p>
        </w:tc>
        <w:tc>
          <w:tcPr>
            <w:tcW w:w="3900" w:type="dxa"/>
            <w:vAlign w:val="bottom"/>
            <w:gridSpan w:val="3"/>
          </w:tcPr>
          <w:p>
            <w:pPr>
              <w:jc w:val="right"/>
              <w:spacing w:after="0"/>
              <w:rPr>
                <w:sz w:val="20"/>
                <w:szCs w:val="20"/>
                <w:color w:val="auto"/>
              </w:rPr>
            </w:pPr>
            <w:r>
              <w:rPr>
                <w:rFonts w:ascii="Arial" w:cs="Arial" w:eastAsia="Arial" w:hAnsi="Arial"/>
                <w:sz w:val="16"/>
                <w:szCs w:val="16"/>
                <w:color w:val="0000FF"/>
              </w:rPr>
              <w:t>3</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gridSpan w:val="9"/>
          </w:tcPr>
          <w:p>
            <w:pPr>
              <w:spacing w:after="0"/>
              <w:rPr>
                <w:sz w:val="20"/>
                <w:szCs w:val="20"/>
                <w:color w:val="auto"/>
              </w:rPr>
            </w:pPr>
            <w:r>
              <w:rPr>
                <w:rFonts w:ascii="Arial" w:cs="Arial" w:eastAsia="Arial" w:hAnsi="Arial"/>
                <w:sz w:val="16"/>
                <w:szCs w:val="16"/>
                <w:color w:val="0000FF"/>
              </w:rPr>
              <w:t>Consolidated Statements of Income</w:t>
            </w:r>
          </w:p>
        </w:tc>
        <w:tc>
          <w:tcPr>
            <w:tcW w:w="3580" w:type="dxa"/>
            <w:vAlign w:val="bottom"/>
            <w:gridSpan w:val="6"/>
          </w:tcPr>
          <w:p>
            <w:pPr>
              <w:spacing w:after="0"/>
              <w:rPr>
                <w:sz w:val="17"/>
                <w:szCs w:val="17"/>
                <w:color w:val="auto"/>
              </w:rPr>
            </w:pPr>
          </w:p>
        </w:tc>
        <w:tc>
          <w:tcPr>
            <w:tcW w:w="3900" w:type="dxa"/>
            <w:vAlign w:val="bottom"/>
            <w:gridSpan w:val="3"/>
          </w:tcPr>
          <w:p>
            <w:pPr>
              <w:jc w:val="right"/>
              <w:spacing w:after="0"/>
              <w:rPr>
                <w:sz w:val="20"/>
                <w:szCs w:val="20"/>
                <w:color w:val="auto"/>
              </w:rPr>
            </w:pPr>
            <w:r>
              <w:rPr>
                <w:rFonts w:ascii="Arial" w:cs="Arial" w:eastAsia="Arial" w:hAnsi="Arial"/>
                <w:sz w:val="16"/>
                <w:szCs w:val="16"/>
                <w:color w:val="0000FF"/>
              </w:rPr>
              <w:t>3</w:t>
            </w:r>
          </w:p>
        </w:tc>
      </w:tr>
      <w:tr>
        <w:trPr>
          <w:trHeight w:val="20"/>
        </w:trPr>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gridSpan w:val="7"/>
          </w:tcPr>
          <w:p>
            <w:pPr>
              <w:spacing w:after="0"/>
              <w:rPr>
                <w:sz w:val="20"/>
                <w:szCs w:val="20"/>
                <w:color w:val="auto"/>
              </w:rPr>
            </w:pPr>
            <w:r>
              <w:rPr>
                <w:rFonts w:ascii="Arial" w:cs="Arial" w:eastAsia="Arial" w:hAnsi="Arial"/>
                <w:sz w:val="16"/>
                <w:szCs w:val="16"/>
                <w:color w:val="0000FF"/>
              </w:rPr>
              <w:t>Consolidated Balance Sheets</w:t>
            </w:r>
          </w:p>
        </w:tc>
        <w:tc>
          <w:tcPr>
            <w:tcW w:w="440" w:type="dxa"/>
            <w:vAlign w:val="bottom"/>
            <w:gridSpan w:val="2"/>
          </w:tcPr>
          <w:p>
            <w:pPr>
              <w:spacing w:after="0"/>
              <w:rPr>
                <w:sz w:val="17"/>
                <w:szCs w:val="17"/>
                <w:color w:val="auto"/>
              </w:rPr>
            </w:pPr>
          </w:p>
        </w:tc>
        <w:tc>
          <w:tcPr>
            <w:tcW w:w="3580" w:type="dxa"/>
            <w:vAlign w:val="bottom"/>
            <w:gridSpan w:val="6"/>
          </w:tcPr>
          <w:p>
            <w:pPr>
              <w:spacing w:after="0"/>
              <w:rPr>
                <w:sz w:val="17"/>
                <w:szCs w:val="17"/>
                <w:color w:val="auto"/>
              </w:rPr>
            </w:pPr>
          </w:p>
        </w:tc>
        <w:tc>
          <w:tcPr>
            <w:tcW w:w="3900" w:type="dxa"/>
            <w:vAlign w:val="bottom"/>
            <w:gridSpan w:val="3"/>
          </w:tcPr>
          <w:p>
            <w:pPr>
              <w:jc w:val="right"/>
              <w:spacing w:after="0"/>
              <w:rPr>
                <w:sz w:val="20"/>
                <w:szCs w:val="20"/>
                <w:color w:val="auto"/>
              </w:rPr>
            </w:pPr>
            <w:r>
              <w:rPr>
                <w:rFonts w:ascii="Arial" w:cs="Arial" w:eastAsia="Arial" w:hAnsi="Arial"/>
                <w:sz w:val="16"/>
                <w:szCs w:val="16"/>
                <w:color w:val="0000FF"/>
              </w:rPr>
              <w:t>4</w:t>
            </w:r>
          </w:p>
        </w:tc>
      </w:tr>
      <w:tr>
        <w:trPr>
          <w:trHeight w:val="20"/>
        </w:trPr>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160" w:type="dxa"/>
            <w:vAlign w:val="bottom"/>
            <w:gridSpan w:val="15"/>
          </w:tcPr>
          <w:p>
            <w:pPr>
              <w:spacing w:after="0"/>
              <w:rPr>
                <w:sz w:val="20"/>
                <w:szCs w:val="20"/>
                <w:color w:val="auto"/>
              </w:rPr>
            </w:pPr>
            <w:r>
              <w:rPr>
                <w:rFonts w:ascii="Arial" w:cs="Arial" w:eastAsia="Arial" w:hAnsi="Arial"/>
                <w:sz w:val="16"/>
                <w:szCs w:val="16"/>
                <w:color w:val="0000FF"/>
              </w:rPr>
              <w:t>Consolidated Statements of Cash Flows</w:t>
            </w:r>
          </w:p>
        </w:tc>
        <w:tc>
          <w:tcPr>
            <w:tcW w:w="3900" w:type="dxa"/>
            <w:vAlign w:val="bottom"/>
            <w:gridSpan w:val="3"/>
          </w:tcPr>
          <w:p>
            <w:pPr>
              <w:jc w:val="right"/>
              <w:spacing w:after="0"/>
              <w:rPr>
                <w:sz w:val="20"/>
                <w:szCs w:val="20"/>
                <w:color w:val="auto"/>
              </w:rPr>
            </w:pPr>
            <w:r>
              <w:rPr>
                <w:rFonts w:ascii="Arial" w:cs="Arial" w:eastAsia="Arial" w:hAnsi="Arial"/>
                <w:sz w:val="16"/>
                <w:szCs w:val="16"/>
                <w:color w:val="0000FF"/>
              </w:rPr>
              <w:t>5</w:t>
            </w:r>
          </w:p>
        </w:tc>
      </w:tr>
      <w:tr>
        <w:trPr>
          <w:trHeight w:val="20"/>
        </w:trPr>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0" w:type="dxa"/>
            <w:vAlign w:val="bottom"/>
            <w:gridSpan w:val="14"/>
          </w:tcPr>
          <w:p>
            <w:pPr>
              <w:spacing w:after="0"/>
              <w:rPr>
                <w:sz w:val="20"/>
                <w:szCs w:val="20"/>
                <w:color w:val="auto"/>
              </w:rPr>
            </w:pPr>
            <w:r>
              <w:rPr>
                <w:rFonts w:ascii="Arial" w:cs="Arial" w:eastAsia="Arial" w:hAnsi="Arial"/>
                <w:sz w:val="16"/>
                <w:szCs w:val="16"/>
                <w:color w:val="0000FF"/>
              </w:rPr>
              <w:t>Consolidated Statements of Changes in Shareholders' Equity</w:t>
            </w:r>
          </w:p>
        </w:tc>
        <w:tc>
          <w:tcPr>
            <w:tcW w:w="1760" w:type="dxa"/>
            <w:vAlign w:val="bottom"/>
          </w:tcPr>
          <w:p>
            <w:pPr>
              <w:spacing w:after="0"/>
              <w:rPr>
                <w:sz w:val="17"/>
                <w:szCs w:val="17"/>
                <w:color w:val="auto"/>
              </w:rPr>
            </w:pPr>
          </w:p>
        </w:tc>
        <w:tc>
          <w:tcPr>
            <w:tcW w:w="3900" w:type="dxa"/>
            <w:vAlign w:val="bottom"/>
            <w:gridSpan w:val="3"/>
          </w:tcPr>
          <w:p>
            <w:pPr>
              <w:jc w:val="right"/>
              <w:spacing w:after="0"/>
              <w:rPr>
                <w:sz w:val="20"/>
                <w:szCs w:val="20"/>
                <w:color w:val="auto"/>
              </w:rPr>
            </w:pPr>
            <w:r>
              <w:rPr>
                <w:rFonts w:ascii="Arial" w:cs="Arial" w:eastAsia="Arial" w:hAnsi="Arial"/>
                <w:sz w:val="16"/>
                <w:szCs w:val="16"/>
                <w:color w:val="0000FF"/>
              </w:rPr>
              <w:t>7</w:t>
            </w:r>
          </w:p>
        </w:tc>
      </w:tr>
      <w:tr>
        <w:trPr>
          <w:trHeight w:val="20"/>
        </w:trPr>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gridSpan w:val="11"/>
          </w:tcPr>
          <w:p>
            <w:pPr>
              <w:spacing w:after="0"/>
              <w:rPr>
                <w:sz w:val="20"/>
                <w:szCs w:val="20"/>
                <w:color w:val="auto"/>
              </w:rPr>
            </w:pPr>
            <w:r>
              <w:rPr>
                <w:rFonts w:ascii="Arial" w:cs="Arial" w:eastAsia="Arial" w:hAnsi="Arial"/>
                <w:sz w:val="16"/>
                <w:szCs w:val="16"/>
                <w:color w:val="0000FF"/>
              </w:rPr>
              <w:t>Notes to Consolidated Financial Statements</w:t>
            </w:r>
          </w:p>
        </w:tc>
        <w:tc>
          <w:tcPr>
            <w:tcW w:w="1240" w:type="dxa"/>
            <w:vAlign w:val="bottom"/>
            <w:gridSpan w:val="3"/>
          </w:tcPr>
          <w:p>
            <w:pPr>
              <w:spacing w:after="0"/>
              <w:rPr>
                <w:sz w:val="17"/>
                <w:szCs w:val="17"/>
                <w:color w:val="auto"/>
              </w:rPr>
            </w:pPr>
          </w:p>
        </w:tc>
        <w:tc>
          <w:tcPr>
            <w:tcW w:w="1760" w:type="dxa"/>
            <w:vAlign w:val="bottom"/>
          </w:tcPr>
          <w:p>
            <w:pPr>
              <w:spacing w:after="0"/>
              <w:rPr>
                <w:sz w:val="17"/>
                <w:szCs w:val="17"/>
                <w:color w:val="auto"/>
              </w:rPr>
            </w:pPr>
          </w:p>
        </w:tc>
        <w:tc>
          <w:tcPr>
            <w:tcW w:w="3900" w:type="dxa"/>
            <w:vAlign w:val="bottom"/>
            <w:gridSpan w:val="3"/>
          </w:tcPr>
          <w:p>
            <w:pPr>
              <w:jc w:val="right"/>
              <w:spacing w:after="0"/>
              <w:rPr>
                <w:sz w:val="20"/>
                <w:szCs w:val="20"/>
                <w:color w:val="auto"/>
              </w:rPr>
            </w:pPr>
            <w:r>
              <w:rPr>
                <w:rFonts w:ascii="Arial" w:cs="Arial" w:eastAsia="Arial" w:hAnsi="Arial"/>
                <w:sz w:val="16"/>
                <w:szCs w:val="16"/>
                <w:color w:val="0000FF"/>
              </w:rPr>
              <w:t>9</w:t>
            </w:r>
          </w:p>
        </w:tc>
      </w:tr>
      <w:tr>
        <w:trPr>
          <w:trHeight w:val="20"/>
        </w:trPr>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960" w:type="dxa"/>
            <w:vAlign w:val="bottom"/>
            <w:gridSpan w:val="5"/>
          </w:tcPr>
          <w:p>
            <w:pPr>
              <w:spacing w:after="0"/>
              <w:rPr>
                <w:sz w:val="20"/>
                <w:szCs w:val="20"/>
                <w:color w:val="auto"/>
              </w:rPr>
            </w:pPr>
            <w:r>
              <w:rPr>
                <w:rFonts w:ascii="Arial" w:cs="Arial" w:eastAsia="Arial" w:hAnsi="Arial"/>
                <w:sz w:val="16"/>
                <w:szCs w:val="16"/>
                <w:color w:val="0000FF"/>
              </w:rPr>
              <w:t>Item 2.</w:t>
            </w:r>
          </w:p>
        </w:tc>
        <w:tc>
          <w:tcPr>
            <w:tcW w:w="6360" w:type="dxa"/>
            <w:vAlign w:val="bottom"/>
            <w:gridSpan w:val="17"/>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3900" w:type="dxa"/>
            <w:vAlign w:val="bottom"/>
            <w:gridSpan w:val="3"/>
          </w:tcPr>
          <w:p>
            <w:pPr>
              <w:jc w:val="right"/>
              <w:spacing w:after="0"/>
              <w:rPr>
                <w:sz w:val="20"/>
                <w:szCs w:val="20"/>
                <w:color w:val="auto"/>
              </w:rPr>
            </w:pPr>
            <w:r>
              <w:rPr>
                <w:rFonts w:ascii="Arial" w:cs="Arial" w:eastAsia="Arial" w:hAnsi="Arial"/>
                <w:sz w:val="16"/>
                <w:szCs w:val="16"/>
                <w:color w:val="0000FF"/>
              </w:rPr>
              <w:t>23</w:t>
            </w:r>
          </w:p>
        </w:tc>
      </w:tr>
      <w:tr>
        <w:trPr>
          <w:trHeight w:val="20"/>
        </w:trPr>
        <w:tc>
          <w:tcPr>
            <w:tcW w:w="48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gridSpan w:val="7"/>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960" w:type="dxa"/>
            <w:vAlign w:val="bottom"/>
            <w:gridSpan w:val="5"/>
          </w:tcPr>
          <w:p>
            <w:pPr>
              <w:spacing w:after="0"/>
              <w:rPr>
                <w:sz w:val="20"/>
                <w:szCs w:val="20"/>
                <w:color w:val="auto"/>
              </w:rPr>
            </w:pPr>
            <w:r>
              <w:rPr>
                <w:rFonts w:ascii="Arial" w:cs="Arial" w:eastAsia="Arial" w:hAnsi="Arial"/>
                <w:sz w:val="16"/>
                <w:szCs w:val="16"/>
                <w:color w:val="0000FF"/>
              </w:rPr>
              <w:t>Item 3.</w:t>
            </w:r>
          </w:p>
        </w:tc>
        <w:tc>
          <w:tcPr>
            <w:tcW w:w="6360" w:type="dxa"/>
            <w:vAlign w:val="bottom"/>
            <w:gridSpan w:val="17"/>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3900" w:type="dxa"/>
            <w:vAlign w:val="bottom"/>
            <w:gridSpan w:val="3"/>
          </w:tcPr>
          <w:p>
            <w:pPr>
              <w:jc w:val="right"/>
              <w:spacing w:after="0"/>
              <w:rPr>
                <w:sz w:val="20"/>
                <w:szCs w:val="20"/>
                <w:color w:val="auto"/>
              </w:rPr>
            </w:pPr>
            <w:r>
              <w:rPr>
                <w:rFonts w:ascii="Arial" w:cs="Arial" w:eastAsia="Arial" w:hAnsi="Arial"/>
                <w:sz w:val="16"/>
                <w:szCs w:val="16"/>
                <w:color w:val="0000FF"/>
              </w:rPr>
              <w:t>33</w:t>
            </w:r>
          </w:p>
        </w:tc>
      </w:tr>
      <w:tr>
        <w:trPr>
          <w:trHeight w:val="20"/>
        </w:trPr>
        <w:tc>
          <w:tcPr>
            <w:tcW w:w="48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gridSpan w:val="7"/>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960" w:type="dxa"/>
            <w:vAlign w:val="bottom"/>
            <w:gridSpan w:val="5"/>
          </w:tcPr>
          <w:p>
            <w:pPr>
              <w:spacing w:after="0"/>
              <w:rPr>
                <w:sz w:val="20"/>
                <w:szCs w:val="20"/>
                <w:color w:val="auto"/>
              </w:rPr>
            </w:pPr>
            <w:r>
              <w:rPr>
                <w:rFonts w:ascii="Arial" w:cs="Arial" w:eastAsia="Arial" w:hAnsi="Arial"/>
                <w:sz w:val="16"/>
                <w:szCs w:val="16"/>
                <w:color w:val="0000FF"/>
              </w:rPr>
              <w:t>Item 4.</w:t>
            </w:r>
          </w:p>
        </w:tc>
        <w:tc>
          <w:tcPr>
            <w:tcW w:w="6360" w:type="dxa"/>
            <w:vAlign w:val="bottom"/>
            <w:gridSpan w:val="17"/>
          </w:tcPr>
          <w:p>
            <w:pPr>
              <w:spacing w:after="0"/>
              <w:rPr>
                <w:sz w:val="20"/>
                <w:szCs w:val="20"/>
                <w:color w:val="auto"/>
              </w:rPr>
            </w:pPr>
            <w:r>
              <w:rPr>
                <w:rFonts w:ascii="Arial" w:cs="Arial" w:eastAsia="Arial" w:hAnsi="Arial"/>
                <w:sz w:val="16"/>
                <w:szCs w:val="16"/>
                <w:color w:val="0000FF"/>
              </w:rPr>
              <w:t>Controls and Procedures</w:t>
            </w:r>
          </w:p>
        </w:tc>
        <w:tc>
          <w:tcPr>
            <w:tcW w:w="3900" w:type="dxa"/>
            <w:vAlign w:val="bottom"/>
            <w:gridSpan w:val="3"/>
          </w:tcPr>
          <w:p>
            <w:pPr>
              <w:jc w:val="right"/>
              <w:spacing w:after="0"/>
              <w:rPr>
                <w:sz w:val="20"/>
                <w:szCs w:val="20"/>
                <w:color w:val="auto"/>
              </w:rPr>
            </w:pPr>
            <w:r>
              <w:rPr>
                <w:rFonts w:ascii="Arial" w:cs="Arial" w:eastAsia="Arial" w:hAnsi="Arial"/>
                <w:sz w:val="16"/>
                <w:szCs w:val="16"/>
                <w:color w:val="0000FF"/>
              </w:rPr>
              <w:t>33</w:t>
            </w:r>
          </w:p>
        </w:tc>
      </w:tr>
      <w:tr>
        <w:trPr>
          <w:trHeight w:val="20"/>
        </w:trPr>
        <w:tc>
          <w:tcPr>
            <w:tcW w:w="48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580" w:type="dxa"/>
            <w:vAlign w:val="bottom"/>
            <w:gridSpan w:val="8"/>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9"/>
        </w:trPr>
        <w:tc>
          <w:tcPr>
            <w:tcW w:w="620" w:type="dxa"/>
            <w:vAlign w:val="bottom"/>
            <w:gridSpan w:val="4"/>
          </w:tcPr>
          <w:p>
            <w:pPr>
              <w:spacing w:after="0"/>
              <w:rPr>
                <w:sz w:val="20"/>
                <w:szCs w:val="20"/>
                <w:color w:val="auto"/>
              </w:rPr>
            </w:pPr>
            <w:r>
              <w:rPr>
                <w:rFonts w:ascii="Arial" w:cs="Arial" w:eastAsia="Arial" w:hAnsi="Arial"/>
                <w:sz w:val="16"/>
                <w:szCs w:val="16"/>
                <w:b w:val="1"/>
                <w:bCs w:val="1"/>
                <w:color w:val="0000FF"/>
                <w:w w:val="97"/>
              </w:rPr>
              <w:t>PART II.</w:t>
            </w:r>
          </w:p>
        </w:tc>
        <w:tc>
          <w:tcPr>
            <w:tcW w:w="340" w:type="dxa"/>
            <w:vAlign w:val="bottom"/>
          </w:tcPr>
          <w:p>
            <w:pPr>
              <w:spacing w:after="0"/>
              <w:rPr>
                <w:sz w:val="24"/>
                <w:szCs w:val="24"/>
                <w:color w:val="auto"/>
              </w:rPr>
            </w:pPr>
          </w:p>
        </w:tc>
        <w:tc>
          <w:tcPr>
            <w:tcW w:w="6360" w:type="dxa"/>
            <w:vAlign w:val="bottom"/>
            <w:gridSpan w:val="17"/>
          </w:tcPr>
          <w:p>
            <w:pPr>
              <w:spacing w:after="0"/>
              <w:rPr>
                <w:sz w:val="20"/>
                <w:szCs w:val="20"/>
                <w:color w:val="auto"/>
              </w:rPr>
            </w:pPr>
            <w:r>
              <w:rPr>
                <w:rFonts w:ascii="Arial" w:cs="Arial" w:eastAsia="Arial" w:hAnsi="Arial"/>
                <w:sz w:val="16"/>
                <w:szCs w:val="16"/>
                <w:b w:val="1"/>
                <w:bCs w:val="1"/>
                <w:color w:val="0000FF"/>
              </w:rPr>
              <w:t>OTHER INFORMATION</w:t>
            </w:r>
          </w:p>
        </w:tc>
        <w:tc>
          <w:tcPr>
            <w:tcW w:w="3900" w:type="dxa"/>
            <w:vAlign w:val="bottom"/>
            <w:gridSpan w:val="3"/>
          </w:tcPr>
          <w:p>
            <w:pPr>
              <w:jc w:val="right"/>
              <w:spacing w:after="0"/>
              <w:rPr>
                <w:sz w:val="20"/>
                <w:szCs w:val="20"/>
                <w:color w:val="auto"/>
              </w:rPr>
            </w:pPr>
            <w:r>
              <w:rPr>
                <w:rFonts w:ascii="Arial" w:cs="Arial" w:eastAsia="Arial" w:hAnsi="Arial"/>
                <w:sz w:val="16"/>
                <w:szCs w:val="16"/>
                <w:color w:val="0000FF"/>
              </w:rPr>
              <w:t>34</w:t>
            </w:r>
          </w:p>
        </w:tc>
      </w:tr>
      <w:tr>
        <w:trPr>
          <w:trHeight w:val="196"/>
        </w:trPr>
        <w:tc>
          <w:tcPr>
            <w:tcW w:w="600" w:type="dxa"/>
            <w:vAlign w:val="bottom"/>
            <w:tcBorders>
              <w:top w:val="single" w:sz="8" w:color="0000FF"/>
            </w:tcBorders>
            <w:gridSpan w:val="3"/>
          </w:tcPr>
          <w:p>
            <w:pPr>
              <w:spacing w:after="0"/>
              <w:rPr>
                <w:sz w:val="20"/>
                <w:szCs w:val="20"/>
                <w:color w:val="auto"/>
              </w:rPr>
            </w:pPr>
            <w:r>
              <w:rPr>
                <w:rFonts w:ascii="Arial" w:cs="Arial" w:eastAsia="Arial" w:hAnsi="Arial"/>
                <w:sz w:val="16"/>
                <w:szCs w:val="16"/>
                <w:color w:val="0000FF"/>
              </w:rPr>
              <w:t>Item 1.</w:t>
            </w:r>
          </w:p>
        </w:tc>
        <w:tc>
          <w:tcPr>
            <w:tcW w:w="20" w:type="dxa"/>
            <w:vAlign w:val="bottom"/>
            <w:tcBorders>
              <w:top w:val="single" w:sz="8" w:color="0000FF"/>
            </w:tcBorders>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tcBorders>
              <w:top w:val="single" w:sz="8" w:color="0000FF"/>
            </w:tcBorders>
            <w:gridSpan w:val="7"/>
          </w:tcPr>
          <w:p>
            <w:pPr>
              <w:spacing w:after="0"/>
              <w:rPr>
                <w:sz w:val="20"/>
                <w:szCs w:val="20"/>
                <w:color w:val="auto"/>
              </w:rPr>
            </w:pPr>
            <w:r>
              <w:rPr>
                <w:rFonts w:ascii="Arial" w:cs="Arial" w:eastAsia="Arial" w:hAnsi="Arial"/>
                <w:sz w:val="16"/>
                <w:szCs w:val="16"/>
                <w:color w:val="0000FF"/>
              </w:rPr>
              <w:t>Legal Proceedings</w:t>
            </w:r>
          </w:p>
        </w:tc>
        <w:tc>
          <w:tcPr>
            <w:tcW w:w="4560" w:type="dxa"/>
            <w:vAlign w:val="bottom"/>
            <w:gridSpan w:val="10"/>
          </w:tcPr>
          <w:p>
            <w:pPr>
              <w:spacing w:after="0"/>
              <w:rPr>
                <w:sz w:val="17"/>
                <w:szCs w:val="17"/>
                <w:color w:val="auto"/>
              </w:rPr>
            </w:pPr>
          </w:p>
        </w:tc>
        <w:tc>
          <w:tcPr>
            <w:tcW w:w="372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34</w:t>
            </w:r>
          </w:p>
        </w:tc>
      </w:tr>
      <w:tr>
        <w:trPr>
          <w:trHeight w:val="196"/>
        </w:trPr>
        <w:tc>
          <w:tcPr>
            <w:tcW w:w="600" w:type="dxa"/>
            <w:vAlign w:val="bottom"/>
            <w:tcBorders>
              <w:top w:val="single" w:sz="8" w:color="0000FF"/>
            </w:tcBorders>
            <w:gridSpan w:val="3"/>
          </w:tcPr>
          <w:p>
            <w:pPr>
              <w:spacing w:after="0"/>
              <w:rPr>
                <w:sz w:val="20"/>
                <w:szCs w:val="20"/>
                <w:color w:val="auto"/>
              </w:rPr>
            </w:pPr>
            <w:r>
              <w:rPr>
                <w:rFonts w:ascii="Arial" w:cs="Arial" w:eastAsia="Arial" w:hAnsi="Arial"/>
                <w:sz w:val="16"/>
                <w:szCs w:val="16"/>
                <w:color w:val="0000FF"/>
                <w:w w:val="97"/>
              </w:rPr>
              <w:t>Item 1A.</w:t>
            </w:r>
          </w:p>
        </w:tc>
        <w:tc>
          <w:tcPr>
            <w:tcW w:w="360" w:type="dxa"/>
            <w:vAlign w:val="bottom"/>
            <w:gridSpan w:val="2"/>
          </w:tcPr>
          <w:p>
            <w:pPr>
              <w:spacing w:after="0"/>
              <w:rPr>
                <w:sz w:val="17"/>
                <w:szCs w:val="17"/>
                <w:color w:val="auto"/>
              </w:rPr>
            </w:pPr>
          </w:p>
        </w:tc>
        <w:tc>
          <w:tcPr>
            <w:tcW w:w="1340" w:type="dxa"/>
            <w:vAlign w:val="bottom"/>
            <w:tcBorders>
              <w:top w:val="single" w:sz="8" w:color="0000FF"/>
            </w:tcBorders>
            <w:gridSpan w:val="6"/>
          </w:tcPr>
          <w:p>
            <w:pPr>
              <w:spacing w:after="0"/>
              <w:rPr>
                <w:sz w:val="20"/>
                <w:szCs w:val="20"/>
                <w:color w:val="auto"/>
              </w:rPr>
            </w:pPr>
            <w:r>
              <w:rPr>
                <w:rFonts w:ascii="Arial" w:cs="Arial" w:eastAsia="Arial" w:hAnsi="Arial"/>
                <w:sz w:val="16"/>
                <w:szCs w:val="16"/>
                <w:color w:val="0000FF"/>
              </w:rPr>
              <w:t>Risk Factors</w:t>
            </w:r>
          </w:p>
        </w:tc>
        <w:tc>
          <w:tcPr>
            <w:tcW w:w="5020" w:type="dxa"/>
            <w:vAlign w:val="bottom"/>
            <w:gridSpan w:val="11"/>
          </w:tcPr>
          <w:p>
            <w:pPr>
              <w:spacing w:after="0"/>
              <w:rPr>
                <w:sz w:val="17"/>
                <w:szCs w:val="17"/>
                <w:color w:val="auto"/>
              </w:rPr>
            </w:pPr>
          </w:p>
        </w:tc>
        <w:tc>
          <w:tcPr>
            <w:tcW w:w="3900" w:type="dxa"/>
            <w:vAlign w:val="bottom"/>
            <w:gridSpan w:val="3"/>
          </w:tcPr>
          <w:p>
            <w:pPr>
              <w:jc w:val="right"/>
              <w:spacing w:after="0"/>
              <w:rPr>
                <w:sz w:val="20"/>
                <w:szCs w:val="20"/>
                <w:color w:val="auto"/>
              </w:rPr>
            </w:pPr>
            <w:r>
              <w:rPr>
                <w:rFonts w:ascii="Arial" w:cs="Arial" w:eastAsia="Arial" w:hAnsi="Arial"/>
                <w:sz w:val="16"/>
                <w:szCs w:val="16"/>
                <w:color w:val="0000FF"/>
              </w:rPr>
              <w:t>34</w:t>
            </w: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20" w:type="dxa"/>
            <w:vAlign w:val="bottom"/>
            <w:gridSpan w:val="10"/>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60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rPr>
              <w:t>Item 2.</w:t>
            </w:r>
          </w:p>
        </w:tc>
        <w:tc>
          <w:tcPr>
            <w:tcW w:w="360" w:type="dxa"/>
            <w:vAlign w:val="bottom"/>
            <w:tcBorders>
              <w:bottom w:val="single" w:sz="8" w:color="0000FF"/>
            </w:tcBorders>
            <w:gridSpan w:val="2"/>
          </w:tcPr>
          <w:p>
            <w:pPr>
              <w:spacing w:after="0"/>
              <w:rPr>
                <w:sz w:val="17"/>
                <w:szCs w:val="17"/>
                <w:color w:val="auto"/>
              </w:rPr>
            </w:pPr>
          </w:p>
        </w:tc>
        <w:tc>
          <w:tcPr>
            <w:tcW w:w="4380" w:type="dxa"/>
            <w:vAlign w:val="bottom"/>
            <w:tcBorders>
              <w:bottom w:val="single" w:sz="8" w:color="0000FF"/>
            </w:tcBorders>
            <w:gridSpan w:val="15"/>
          </w:tcPr>
          <w:p>
            <w:pPr>
              <w:spacing w:after="0"/>
              <w:rPr>
                <w:sz w:val="20"/>
                <w:szCs w:val="20"/>
                <w:color w:val="auto"/>
              </w:rPr>
            </w:pPr>
            <w:r>
              <w:rPr>
                <w:rFonts w:ascii="Arial" w:cs="Arial" w:eastAsia="Arial" w:hAnsi="Arial"/>
                <w:sz w:val="16"/>
                <w:szCs w:val="16"/>
                <w:color w:val="0000FF"/>
              </w:rPr>
              <w:t>Unregistered Sales of Equity Securities and Use of Proceeds</w:t>
            </w:r>
          </w:p>
        </w:tc>
        <w:tc>
          <w:tcPr>
            <w:tcW w:w="1980" w:type="dxa"/>
            <w:vAlign w:val="bottom"/>
            <w:gridSpan w:val="2"/>
          </w:tcPr>
          <w:p>
            <w:pPr>
              <w:spacing w:after="0"/>
              <w:rPr>
                <w:sz w:val="17"/>
                <w:szCs w:val="17"/>
                <w:color w:val="auto"/>
              </w:rPr>
            </w:pPr>
          </w:p>
        </w:tc>
        <w:tc>
          <w:tcPr>
            <w:tcW w:w="3900" w:type="dxa"/>
            <w:vAlign w:val="bottom"/>
            <w:gridSpan w:val="3"/>
          </w:tcPr>
          <w:p>
            <w:pPr>
              <w:jc w:val="right"/>
              <w:spacing w:after="0"/>
              <w:rPr>
                <w:sz w:val="20"/>
                <w:szCs w:val="20"/>
                <w:color w:val="auto"/>
              </w:rPr>
            </w:pPr>
            <w:r>
              <w:rPr>
                <w:rFonts w:ascii="Arial" w:cs="Arial" w:eastAsia="Arial" w:hAnsi="Arial"/>
                <w:sz w:val="16"/>
                <w:szCs w:val="16"/>
                <w:color w:val="0000FF"/>
              </w:rPr>
              <w:t>34</w:t>
            </w:r>
          </w:p>
        </w:tc>
      </w:tr>
      <w:tr>
        <w:trPr>
          <w:trHeight w:val="196"/>
        </w:trPr>
        <w:tc>
          <w:tcPr>
            <w:tcW w:w="960" w:type="dxa"/>
            <w:vAlign w:val="bottom"/>
            <w:gridSpan w:val="5"/>
          </w:tcPr>
          <w:p>
            <w:pPr>
              <w:spacing w:after="0"/>
              <w:rPr>
                <w:sz w:val="20"/>
                <w:szCs w:val="20"/>
                <w:color w:val="auto"/>
              </w:rPr>
            </w:pPr>
            <w:r>
              <w:rPr>
                <w:rFonts w:ascii="Arial" w:cs="Arial" w:eastAsia="Arial" w:hAnsi="Arial"/>
                <w:sz w:val="16"/>
                <w:szCs w:val="16"/>
                <w:color w:val="0000FF"/>
              </w:rPr>
              <w:t>Item 5.</w:t>
            </w:r>
          </w:p>
        </w:tc>
        <w:tc>
          <w:tcPr>
            <w:tcW w:w="6360" w:type="dxa"/>
            <w:vAlign w:val="bottom"/>
            <w:gridSpan w:val="17"/>
          </w:tcPr>
          <w:p>
            <w:pPr>
              <w:spacing w:after="0"/>
              <w:rPr>
                <w:sz w:val="20"/>
                <w:szCs w:val="20"/>
                <w:color w:val="auto"/>
              </w:rPr>
            </w:pPr>
            <w:r>
              <w:rPr>
                <w:rFonts w:ascii="Arial" w:cs="Arial" w:eastAsia="Arial" w:hAnsi="Arial"/>
                <w:sz w:val="16"/>
                <w:szCs w:val="16"/>
                <w:color w:val="0000FF"/>
              </w:rPr>
              <w:t>Other Information</w:t>
            </w:r>
          </w:p>
        </w:tc>
        <w:tc>
          <w:tcPr>
            <w:tcW w:w="3900" w:type="dxa"/>
            <w:vAlign w:val="bottom"/>
            <w:gridSpan w:val="3"/>
          </w:tcPr>
          <w:p>
            <w:pPr>
              <w:jc w:val="right"/>
              <w:spacing w:after="0"/>
              <w:rPr>
                <w:sz w:val="20"/>
                <w:szCs w:val="20"/>
                <w:color w:val="auto"/>
              </w:rPr>
            </w:pPr>
            <w:r>
              <w:rPr>
                <w:rFonts w:ascii="Arial" w:cs="Arial" w:eastAsia="Arial" w:hAnsi="Arial"/>
                <w:sz w:val="16"/>
                <w:szCs w:val="16"/>
                <w:color w:val="0000FF"/>
              </w:rPr>
              <w:t>34</w:t>
            </w:r>
          </w:p>
        </w:tc>
      </w:tr>
      <w:tr>
        <w:trPr>
          <w:trHeight w:val="20"/>
        </w:trPr>
        <w:tc>
          <w:tcPr>
            <w:tcW w:w="480" w:type="dxa"/>
            <w:vAlign w:val="bottom"/>
            <w:shd w:val="clear" w:color="auto" w:fill="0000FF"/>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100" w:type="dxa"/>
            <w:vAlign w:val="bottom"/>
            <w:gridSpan w:val="1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960" w:type="dxa"/>
            <w:vAlign w:val="bottom"/>
            <w:gridSpan w:val="5"/>
          </w:tcPr>
          <w:p>
            <w:pPr>
              <w:spacing w:after="0"/>
              <w:rPr>
                <w:sz w:val="20"/>
                <w:szCs w:val="20"/>
                <w:color w:val="auto"/>
              </w:rPr>
            </w:pPr>
            <w:r>
              <w:rPr>
                <w:rFonts w:ascii="Arial" w:cs="Arial" w:eastAsia="Arial" w:hAnsi="Arial"/>
                <w:sz w:val="16"/>
                <w:szCs w:val="16"/>
                <w:color w:val="0000FF"/>
              </w:rPr>
              <w:t>Item 6.</w:t>
            </w:r>
          </w:p>
        </w:tc>
        <w:tc>
          <w:tcPr>
            <w:tcW w:w="6360" w:type="dxa"/>
            <w:vAlign w:val="bottom"/>
            <w:gridSpan w:val="17"/>
          </w:tcPr>
          <w:p>
            <w:pPr>
              <w:spacing w:after="0"/>
              <w:rPr>
                <w:sz w:val="20"/>
                <w:szCs w:val="20"/>
                <w:color w:val="auto"/>
              </w:rPr>
            </w:pPr>
            <w:r>
              <w:rPr>
                <w:rFonts w:ascii="Arial" w:cs="Arial" w:eastAsia="Arial" w:hAnsi="Arial"/>
                <w:sz w:val="16"/>
                <w:szCs w:val="16"/>
                <w:color w:val="0000FF"/>
              </w:rPr>
              <w:t>Exhibits</w:t>
            </w:r>
          </w:p>
        </w:tc>
        <w:tc>
          <w:tcPr>
            <w:tcW w:w="3900" w:type="dxa"/>
            <w:vAlign w:val="bottom"/>
            <w:gridSpan w:val="3"/>
          </w:tcPr>
          <w:p>
            <w:pPr>
              <w:jc w:val="right"/>
              <w:spacing w:after="0"/>
              <w:rPr>
                <w:sz w:val="20"/>
                <w:szCs w:val="20"/>
                <w:color w:val="auto"/>
              </w:rPr>
            </w:pPr>
            <w:r>
              <w:rPr>
                <w:rFonts w:ascii="Arial" w:cs="Arial" w:eastAsia="Arial" w:hAnsi="Arial"/>
                <w:sz w:val="16"/>
                <w:szCs w:val="16"/>
                <w:color w:val="0000FF"/>
              </w:rPr>
              <w:t>35</w:t>
            </w:r>
          </w:p>
        </w:tc>
      </w:tr>
      <w:tr>
        <w:trPr>
          <w:trHeight w:val="20"/>
        </w:trPr>
        <w:tc>
          <w:tcPr>
            <w:tcW w:w="480" w:type="dxa"/>
            <w:vAlign w:val="bottom"/>
            <w:shd w:val="clear" w:color="auto" w:fill="0000FF"/>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780" w:type="dxa"/>
            <w:vAlign w:val="bottom"/>
            <w:gridSpan w:val="14"/>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53"/>
        </w:trPr>
        <w:tc>
          <w:tcPr>
            <w:tcW w:w="7320" w:type="dxa"/>
            <w:vAlign w:val="bottom"/>
            <w:gridSpan w:val="22"/>
          </w:tcPr>
          <w:p>
            <w:pPr>
              <w:spacing w:after="0"/>
              <w:rPr>
                <w:sz w:val="20"/>
                <w:szCs w:val="20"/>
                <w:color w:val="auto"/>
              </w:rPr>
            </w:pPr>
            <w:r>
              <w:rPr>
                <w:rFonts w:ascii="Arial" w:cs="Arial" w:eastAsia="Arial" w:hAnsi="Arial"/>
                <w:sz w:val="16"/>
                <w:szCs w:val="16"/>
                <w:b w:val="1"/>
                <w:bCs w:val="1"/>
                <w:color w:val="0000FF"/>
              </w:rPr>
              <w:t>SIGNATURES</w:t>
            </w:r>
          </w:p>
        </w:tc>
        <w:tc>
          <w:tcPr>
            <w:tcW w:w="3900" w:type="dxa"/>
            <w:vAlign w:val="bottom"/>
            <w:gridSpan w:val="3"/>
          </w:tcPr>
          <w:p>
            <w:pPr>
              <w:jc w:val="right"/>
              <w:spacing w:after="0"/>
              <w:rPr>
                <w:sz w:val="20"/>
                <w:szCs w:val="20"/>
                <w:color w:val="auto"/>
              </w:rPr>
            </w:pPr>
            <w:r>
              <w:rPr>
                <w:rFonts w:ascii="Arial" w:cs="Arial" w:eastAsia="Arial" w:hAnsi="Arial"/>
                <w:sz w:val="16"/>
                <w:szCs w:val="16"/>
                <w:color w:val="0000FF"/>
              </w:rPr>
              <w:t>36</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79375</wp:posOffset>
            </wp:positionV>
            <wp:extent cx="71831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20"/>
          </w:cols>
          <w:pgMar w:left="360" w:top="1003" w:right="338"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126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8"/>
              </w:rPr>
              <w:t>Table of Contents</w:t>
            </w:r>
          </w:p>
        </w:tc>
        <w:tc>
          <w:tcPr>
            <w:tcW w:w="3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918"/>
        </w:trPr>
        <w:tc>
          <w:tcPr>
            <w:tcW w:w="4380" w:type="dxa"/>
            <w:vAlign w:val="bottom"/>
            <w:gridSpan w:val="2"/>
          </w:tcPr>
          <w:p>
            <w:pPr>
              <w:spacing w:after="0"/>
              <w:rPr>
                <w:sz w:val="20"/>
                <w:szCs w:val="20"/>
                <w:color w:val="auto"/>
              </w:rPr>
            </w:pPr>
            <w:r>
              <w:rPr>
                <w:rFonts w:ascii="Arial" w:cs="Arial" w:eastAsia="Arial" w:hAnsi="Arial"/>
                <w:sz w:val="16"/>
                <w:szCs w:val="16"/>
                <w:b w:val="1"/>
                <w:bCs w:val="1"/>
                <w:color w:val="auto"/>
              </w:rPr>
              <w:t>PART I. FINANCIAL INFORMATION</w:t>
            </w: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32"/>
        </w:trPr>
        <w:tc>
          <w:tcPr>
            <w:tcW w:w="4380" w:type="dxa"/>
            <w:vAlign w:val="bottom"/>
            <w:gridSpan w:val="2"/>
          </w:tcPr>
          <w:p>
            <w:pPr>
              <w:spacing w:after="0"/>
              <w:rPr>
                <w:sz w:val="20"/>
                <w:szCs w:val="20"/>
                <w:color w:val="auto"/>
              </w:rPr>
            </w:pPr>
            <w:r>
              <w:rPr>
                <w:rFonts w:ascii="Arial" w:cs="Arial" w:eastAsia="Arial" w:hAnsi="Arial"/>
                <w:sz w:val="16"/>
                <w:szCs w:val="16"/>
                <w:b w:val="1"/>
                <w:bCs w:val="1"/>
                <w:color w:val="auto"/>
              </w:rPr>
              <w:t>Item 1. Consolidated Financial Statements</w:t>
            </w: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06"/>
        </w:trPr>
        <w:tc>
          <w:tcPr>
            <w:tcW w:w="438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3"/>
        </w:trPr>
        <w:tc>
          <w:tcPr>
            <w:tcW w:w="4380" w:type="dxa"/>
            <w:vAlign w:val="bottom"/>
            <w:gridSpan w:val="2"/>
          </w:tcPr>
          <w:p>
            <w:pPr>
              <w:spacing w:after="0"/>
              <w:rPr>
                <w:sz w:val="20"/>
                <w:szCs w:val="20"/>
                <w:color w:val="auto"/>
              </w:rPr>
            </w:pPr>
            <w:r>
              <w:rPr>
                <w:rFonts w:ascii="Arial" w:cs="Arial" w:eastAsia="Arial" w:hAnsi="Arial"/>
                <w:sz w:val="16"/>
                <w:szCs w:val="16"/>
                <w:b w:val="1"/>
                <w:bCs w:val="1"/>
                <w:color w:val="auto"/>
              </w:rPr>
              <w:t>Consolidated Statements of Income</w:t>
            </w: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29"/>
        </w:trPr>
        <w:tc>
          <w:tcPr>
            <w:tcW w:w="438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3"/>
        </w:trPr>
        <w:tc>
          <w:tcPr>
            <w:tcW w:w="12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4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millions, except per share data)</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May 30, 2026</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May 31, 2025</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May 30, 2026</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May 31, 2025</w:t>
            </w:r>
          </w:p>
        </w:tc>
      </w:tr>
      <w:tr>
        <w:trPr>
          <w:trHeight w:val="209"/>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2,058.8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2,020.9</w:t>
            </w:r>
          </w:p>
        </w:tc>
      </w:tr>
      <w:tr>
        <w:trPr>
          <w:trHeight w:val="216"/>
        </w:trPr>
        <w:tc>
          <w:tcPr>
            <w:tcW w:w="4380" w:type="dxa"/>
            <w:vAlign w:val="bottom"/>
            <w:gridSpan w:val="2"/>
          </w:tcPr>
          <w:p>
            <w:pPr>
              <w:ind w:left="20"/>
              <w:spacing w:after="0"/>
              <w:rPr>
                <w:sz w:val="20"/>
                <w:szCs w:val="20"/>
                <w:color w:val="auto"/>
              </w:rPr>
            </w:pPr>
            <w:r>
              <w:rPr>
                <w:rFonts w:ascii="Arial" w:cs="Arial" w:eastAsia="Arial" w:hAnsi="Arial"/>
                <w:sz w:val="16"/>
                <w:szCs w:val="16"/>
                <w:color w:val="auto"/>
              </w:rPr>
              <w:t>Cost of goods sold</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603.8</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669.1</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1,789.3</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1,755.0</w:t>
            </w:r>
          </w:p>
        </w:tc>
      </w:tr>
      <w:tr>
        <w:trPr>
          <w:trHeight w:val="210"/>
        </w:trPr>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94.9</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269.5</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265.9</w:t>
            </w:r>
          </w:p>
        </w:tc>
      </w:tr>
      <w:tr>
        <w:trPr>
          <w:trHeight w:val="209"/>
        </w:trPr>
        <w:tc>
          <w:tcPr>
            <w:tcW w:w="4380" w:type="dxa"/>
            <w:vAlign w:val="bottom"/>
            <w:gridSpan w:val="2"/>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66.5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204.7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212.1</w:t>
            </w:r>
          </w:p>
        </w:tc>
      </w:tr>
      <w:tr>
        <w:trPr>
          <w:trHeight w:val="216"/>
        </w:trPr>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w:t>
            </w:r>
          </w:p>
        </w:tc>
      </w:tr>
      <w:tr>
        <w:trPr>
          <w:trHeight w:val="210"/>
        </w:trPr>
        <w:tc>
          <w:tcPr>
            <w:tcW w:w="4380" w:type="dxa"/>
            <w:vAlign w:val="bottom"/>
            <w:gridSpan w:val="2"/>
          </w:tcPr>
          <w:p>
            <w:pPr>
              <w:ind w:left="2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220.9</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228.8</w:t>
            </w:r>
          </w:p>
        </w:tc>
      </w:tr>
      <w:tr>
        <w:trPr>
          <w:trHeight w:val="209"/>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r>
      <w:tr>
        <w:trPr>
          <w:trHeight w:val="216"/>
        </w:trPr>
        <w:tc>
          <w:tcPr>
            <w:tcW w:w="4380" w:type="dxa"/>
            <w:vAlign w:val="bottom"/>
            <w:gridSpan w:val="2"/>
          </w:tcPr>
          <w:p>
            <w:pPr>
              <w:ind w:left="20"/>
              <w:spacing w:after="0"/>
              <w:rPr>
                <w:sz w:val="20"/>
                <w:szCs w:val="20"/>
                <w:color w:val="auto"/>
              </w:rPr>
            </w:pPr>
            <w:r>
              <w:rPr>
                <w:rFonts w:ascii="Arial" w:cs="Arial" w:eastAsia="Arial" w:hAnsi="Arial"/>
                <w:sz w:val="16"/>
                <w:szCs w:val="16"/>
                <w:color w:val="auto"/>
              </w:rPr>
              <w:t>Interest expense, net</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19.3</w:t>
            </w:r>
          </w:p>
        </w:tc>
      </w:tr>
      <w:tr>
        <w:trPr>
          <w:trHeight w:val="216"/>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Loss on note repurchase</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6"/>
        </w:trPr>
        <w:tc>
          <w:tcPr>
            <w:tcW w:w="4380" w:type="dxa"/>
            <w:vAlign w:val="bottom"/>
            <w:gridSpan w:val="2"/>
          </w:tcPr>
          <w:p>
            <w:pPr>
              <w:ind w:left="20"/>
              <w:spacing w:after="0"/>
              <w:rPr>
                <w:sz w:val="20"/>
                <w:szCs w:val="20"/>
                <w:color w:val="auto"/>
              </w:rPr>
            </w:pPr>
            <w:r>
              <w:rPr>
                <w:rFonts w:ascii="Arial" w:cs="Arial" w:eastAsia="Arial" w:hAnsi="Arial"/>
                <w:sz w:val="16"/>
                <w:szCs w:val="16"/>
                <w:color w:val="auto"/>
              </w:rPr>
              <w:t>Non-operating income</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09"/>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r>
      <w:tr>
        <w:trPr>
          <w:trHeight w:val="216"/>
        </w:trPr>
        <w:tc>
          <w:tcPr>
            <w:tcW w:w="4380" w:type="dxa"/>
            <w:vAlign w:val="bottom"/>
            <w:gridSpan w:val="2"/>
          </w:tcPr>
          <w:p>
            <w:pPr>
              <w:ind w:left="20"/>
              <w:spacing w:after="0"/>
              <w:rPr>
                <w:sz w:val="20"/>
                <w:szCs w:val="20"/>
                <w:color w:val="auto"/>
              </w:rPr>
            </w:pPr>
            <w:r>
              <w:rPr>
                <w:rFonts w:ascii="Arial" w:cs="Arial" w:eastAsia="Arial" w:hAnsi="Arial"/>
                <w:sz w:val="16"/>
                <w:szCs w:val="16"/>
                <w:color w:val="auto"/>
              </w:rPr>
              <w:t>Income tax provision</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r>
      <w:tr>
        <w:trPr>
          <w:trHeight w:val="230"/>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0"/>
        </w:trPr>
        <w:tc>
          <w:tcPr>
            <w:tcW w:w="438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12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6"/>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Earnings per common share:</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4380" w:type="dxa"/>
            <w:vAlign w:val="bottom"/>
            <w:gridSpan w:val="2"/>
          </w:tcPr>
          <w:p>
            <w:pPr>
              <w:ind w:left="220"/>
              <w:spacing w:after="0"/>
              <w:rPr>
                <w:sz w:val="20"/>
                <w:szCs w:val="20"/>
                <w:color w:val="auto"/>
              </w:rPr>
            </w:pPr>
            <w:r>
              <w:rPr>
                <w:rFonts w:ascii="Arial" w:cs="Arial" w:eastAsia="Arial" w:hAnsi="Arial"/>
                <w:sz w:val="16"/>
                <w:szCs w:val="16"/>
                <w:color w:val="auto"/>
              </w:rPr>
              <w:t>Basic</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0.51</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0.63</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0.88</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0.43</w:t>
            </w:r>
          </w:p>
        </w:tc>
      </w:tr>
      <w:tr>
        <w:trPr>
          <w:trHeight w:val="216"/>
        </w:trPr>
        <w:tc>
          <w:tcPr>
            <w:tcW w:w="43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0.51</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0.42</w:t>
            </w:r>
          </w:p>
        </w:tc>
      </w:tr>
      <w:tr>
        <w:trPr>
          <w:trHeight w:val="243"/>
        </w:trPr>
        <w:tc>
          <w:tcPr>
            <w:tcW w:w="438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16"/>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4380" w:type="dxa"/>
            <w:vAlign w:val="bottom"/>
            <w:gridSpan w:val="2"/>
          </w:tcPr>
          <w:p>
            <w:pPr>
              <w:ind w:left="220"/>
              <w:spacing w:after="0"/>
              <w:rPr>
                <w:sz w:val="20"/>
                <w:szCs w:val="20"/>
                <w:color w:val="auto"/>
              </w:rPr>
            </w:pPr>
            <w:r>
              <w:rPr>
                <w:rFonts w:ascii="Arial" w:cs="Arial" w:eastAsia="Arial" w:hAnsi="Arial"/>
                <w:sz w:val="16"/>
                <w:szCs w:val="16"/>
                <w:color w:val="auto"/>
              </w:rPr>
              <w:t>Basic</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28.3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28.2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28.3</w:t>
            </w:r>
          </w:p>
        </w:tc>
      </w:tr>
      <w:tr>
        <w:trPr>
          <w:trHeight w:val="216"/>
        </w:trPr>
        <w:tc>
          <w:tcPr>
            <w:tcW w:w="43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70485</wp:posOffset>
            </wp:positionV>
            <wp:extent cx="71831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3" w:right="318"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Balance Sheets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May 30, 2026</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August 30, 2025</w:t>
            </w:r>
          </w:p>
        </w:tc>
      </w:tr>
      <w:tr>
        <w:trPr>
          <w:trHeight w:val="196"/>
        </w:trPr>
        <w:tc>
          <w:tcPr>
            <w:tcW w:w="7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(Unaudited)</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02"/>
        </w:trPr>
        <w:tc>
          <w:tcPr>
            <w:tcW w:w="776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3"/>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assets</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189"/>
        </w:trPr>
        <w:tc>
          <w:tcPr>
            <w:tcW w:w="776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57.1</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174.0</w:t>
            </w:r>
          </w:p>
        </w:tc>
      </w:tr>
      <w:tr>
        <w:trPr>
          <w:trHeight w:val="203"/>
        </w:trPr>
        <w:tc>
          <w:tcPr>
            <w:tcW w:w="7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Receivables, less allowance for credit losses ($0.5 and $0.5, respectively)</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186.1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192.0</w:t>
            </w:r>
          </w:p>
        </w:tc>
      </w:tr>
      <w:tr>
        <w:trPr>
          <w:trHeight w:val="198"/>
        </w:trPr>
        <w:tc>
          <w:tcPr>
            <w:tcW w:w="7760" w:type="dxa"/>
            <w:vAlign w:val="bottom"/>
          </w:tcPr>
          <w:p>
            <w:pPr>
              <w:ind w:left="140"/>
              <w:spacing w:after="0"/>
              <w:rPr>
                <w:sz w:val="20"/>
                <w:szCs w:val="20"/>
                <w:color w:val="auto"/>
              </w:rPr>
            </w:pPr>
            <w:r>
              <w:rPr>
                <w:rFonts w:ascii="Arial" w:cs="Arial" w:eastAsia="Arial" w:hAnsi="Arial"/>
                <w:sz w:val="14"/>
                <w:szCs w:val="14"/>
                <w:color w:val="auto"/>
              </w:rPr>
              <w:t>Inventories, net</w:t>
            </w:r>
          </w:p>
        </w:tc>
        <w:tc>
          <w:tcPr>
            <w:tcW w:w="260" w:type="dxa"/>
            <w:vAlign w:val="bottom"/>
          </w:tcPr>
          <w:p>
            <w:pPr>
              <w:spacing w:after="0"/>
              <w:rPr>
                <w:sz w:val="17"/>
                <w:szCs w:val="17"/>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435.2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396.4</w:t>
            </w:r>
          </w:p>
        </w:tc>
      </w:tr>
      <w:tr>
        <w:trPr>
          <w:trHeight w:val="193"/>
        </w:trPr>
        <w:tc>
          <w:tcPr>
            <w:tcW w:w="7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29.8</w:t>
            </w:r>
          </w:p>
        </w:tc>
      </w:tr>
      <w:tr>
        <w:trPr>
          <w:trHeight w:val="196"/>
        </w:trPr>
        <w:tc>
          <w:tcPr>
            <w:tcW w:w="77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current assets</w:t>
            </w: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711.3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792.2</w:t>
            </w:r>
          </w:p>
        </w:tc>
      </w:tr>
      <w:tr>
        <w:trPr>
          <w:trHeight w:val="196"/>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and equipment, net</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319.9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333.0</w:t>
            </w:r>
          </w:p>
        </w:tc>
      </w:tr>
    </w:tbl>
    <w:p>
      <w:pPr>
        <w:spacing w:after="0" w:line="1" w:lineRule="exact"/>
        <w:rPr>
          <w:sz w:val="20"/>
          <w:szCs w:val="20"/>
          <w:color w:val="auto"/>
        </w:rPr>
      </w:pPr>
    </w:p>
    <w:p>
      <w:pPr>
        <w:sectPr>
          <w:pgSz w:w="11920" w:h="16838" w:orient="portrait"/>
          <w:cols w:equalWidth="0" w:num="1">
            <w:col w:w="11260"/>
          </w:cols>
          <w:pgMar w:left="340" w:top="116" w:right="318" w:bottom="1440" w:gutter="0" w:footer="0" w:header="0"/>
        </w:sectPr>
      </w:pPr>
    </w:p>
    <w:p>
      <w:pPr>
        <w:ind w:left="20"/>
        <w:spacing w:after="0"/>
        <w:rPr>
          <w:sz w:val="20"/>
          <w:szCs w:val="20"/>
          <w:color w:val="auto"/>
        </w:rPr>
      </w:pPr>
      <w:r>
        <w:rPr>
          <w:rFonts w:ascii="Arial" w:cs="Arial" w:eastAsia="Arial" w:hAnsi="Arial"/>
          <w:sz w:val="14"/>
          <w:szCs w:val="14"/>
          <w:color w:val="auto"/>
        </w:rPr>
        <w:t>Goodwill</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intangible assets, net</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Investment in life insurance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Operating lease assets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long-term assets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6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484.2</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484.2</w:t>
            </w:r>
          </w:p>
        </w:tc>
      </w:tr>
      <w:tr>
        <w:trPr>
          <w:trHeight w:val="194"/>
        </w:trPr>
        <w:tc>
          <w:tcPr>
            <w:tcW w:w="6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440.7</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456.9</w:t>
            </w:r>
          </w:p>
        </w:tc>
      </w:tr>
      <w:tr>
        <w:trPr>
          <w:trHeight w:val="203"/>
        </w:trPr>
        <w:tc>
          <w:tcPr>
            <w:tcW w:w="6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27.1</w:t>
            </w:r>
          </w:p>
        </w:tc>
      </w:tr>
      <w:tr>
        <w:trPr>
          <w:trHeight w:val="197"/>
        </w:trPr>
        <w:tc>
          <w:tcPr>
            <w:tcW w:w="6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37.2</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41.6</w:t>
            </w:r>
          </w:p>
        </w:tc>
      </w:tr>
      <w:tr>
        <w:trPr>
          <w:trHeight w:val="198"/>
        </w:trPr>
        <w:tc>
          <w:tcPr>
            <w:tcW w:w="6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19.4</w:t>
            </w:r>
          </w:p>
        </w:tc>
      </w:tr>
      <w:tr>
        <w:trPr>
          <w:trHeight w:val="200"/>
        </w:trPr>
        <w:tc>
          <w:tcPr>
            <w:tcW w:w="6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2,038.5</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2,154.4</w:t>
            </w:r>
          </w:p>
        </w:tc>
      </w:tr>
      <w:tr>
        <w:trPr>
          <w:trHeight w:val="21"/>
        </w:trPr>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-4922520</wp:posOffset>
            </wp:positionH>
            <wp:positionV relativeFrom="paragraph">
              <wp:posOffset>-676275</wp:posOffset>
            </wp:positionV>
            <wp:extent cx="714057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0575" cy="128905"/>
                    </a:xfrm>
                    <a:prstGeom prst="rect">
                      <a:avLst/>
                    </a:prstGeom>
                    <a:noFill/>
                  </pic:spPr>
                </pic:pic>
              </a:graphicData>
            </a:graphic>
          </wp:anchor>
        </w:drawing>
        <w:drawing>
          <wp:anchor simplePos="0" relativeHeight="251657728" behindDoc="1" locked="0" layoutInCell="0" allowOverlap="1">
            <wp:simplePos x="0" y="0"/>
            <wp:positionH relativeFrom="column">
              <wp:posOffset>-4922520</wp:posOffset>
            </wp:positionH>
            <wp:positionV relativeFrom="paragraph">
              <wp:posOffset>-419100</wp:posOffset>
            </wp:positionV>
            <wp:extent cx="7140575" cy="1200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0575" cy="120015"/>
                    </a:xfrm>
                    <a:prstGeom prst="rect">
                      <a:avLst/>
                    </a:prstGeom>
                    <a:noFill/>
                  </pic:spPr>
                </pic:pic>
              </a:graphicData>
            </a:graphic>
          </wp:anchor>
        </w:drawing>
        <w:drawing>
          <wp:anchor simplePos="0" relativeHeight="251657728" behindDoc="1" locked="0" layoutInCell="0" allowOverlap="1">
            <wp:simplePos x="0" y="0"/>
            <wp:positionH relativeFrom="column">
              <wp:posOffset>-4922520</wp:posOffset>
            </wp:positionH>
            <wp:positionV relativeFrom="paragraph">
              <wp:posOffset>-170815</wp:posOffset>
            </wp:positionV>
            <wp:extent cx="7140575"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0575" cy="154305"/>
                    </a:xfrm>
                    <a:prstGeom prst="rect">
                      <a:avLst/>
                    </a:prstGeom>
                    <a:noFill/>
                  </pic:spPr>
                </pic:pic>
              </a:graphicData>
            </a:graphic>
          </wp:anchor>
        </w:drawing>
      </w:r>
    </w:p>
    <w:p>
      <w:pPr>
        <w:spacing w:after="0" w:line="189" w:lineRule="exact"/>
        <w:rPr>
          <w:sz w:val="20"/>
          <w:szCs w:val="20"/>
          <w:color w:val="auto"/>
        </w:rPr>
      </w:pPr>
    </w:p>
    <w:p>
      <w:pPr>
        <w:sectPr>
          <w:pgSz w:w="11920" w:h="16838" w:orient="portrait"/>
          <w:cols w:equalWidth="0" w:num="2">
            <w:col w:w="7040" w:space="720"/>
            <w:col w:w="3500"/>
          </w:cols>
          <w:pgMar w:left="340" w:top="116" w:right="318"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6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98"/>
        </w:trPr>
        <w:tc>
          <w:tcPr>
            <w:tcW w:w="776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7"/>
        </w:trPr>
        <w:tc>
          <w:tcPr>
            <w:tcW w:w="7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6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113.5</w:t>
            </w:r>
          </w:p>
        </w:tc>
        <w:tc>
          <w:tcPr>
            <w:tcW w:w="72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129.3</w:t>
            </w:r>
          </w:p>
        </w:tc>
      </w:tr>
      <w:tr>
        <w:trPr>
          <w:trHeight w:val="189"/>
        </w:trPr>
        <w:tc>
          <w:tcPr>
            <w:tcW w:w="7760" w:type="dxa"/>
            <w:vAlign w:val="bottom"/>
          </w:tcPr>
          <w:p>
            <w:pPr>
              <w:ind w:left="140"/>
              <w:spacing w:after="0"/>
              <w:rPr>
                <w:sz w:val="20"/>
                <w:szCs w:val="20"/>
                <w:color w:val="auto"/>
              </w:rPr>
            </w:pPr>
            <w:r>
              <w:rPr>
                <w:rFonts w:ascii="Arial" w:cs="Arial" w:eastAsia="Arial" w:hAnsi="Arial"/>
                <w:sz w:val="14"/>
                <w:szCs w:val="14"/>
                <w:color w:val="auto"/>
              </w:rPr>
              <w:t>Accrued expenses:</w:t>
            </w:r>
          </w:p>
        </w:tc>
        <w:tc>
          <w:tcPr>
            <w:tcW w:w="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3"/>
        </w:trPr>
        <w:tc>
          <w:tcPr>
            <w:tcW w:w="7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compensation</w:t>
            </w: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40.1</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41.1</w:t>
            </w:r>
          </w:p>
        </w:tc>
      </w:tr>
      <w:tr>
        <w:trPr>
          <w:trHeight w:val="198"/>
        </w:trPr>
        <w:tc>
          <w:tcPr>
            <w:tcW w:w="7760" w:type="dxa"/>
            <w:vAlign w:val="bottom"/>
          </w:tcPr>
          <w:p>
            <w:pPr>
              <w:ind w:left="220"/>
              <w:spacing w:after="0"/>
              <w:rPr>
                <w:sz w:val="20"/>
                <w:szCs w:val="20"/>
                <w:color w:val="auto"/>
              </w:rPr>
            </w:pPr>
            <w:r>
              <w:rPr>
                <w:rFonts w:ascii="Arial" w:cs="Arial" w:eastAsia="Arial" w:hAnsi="Arial"/>
                <w:sz w:val="14"/>
                <w:szCs w:val="14"/>
                <w:color w:val="auto"/>
              </w:rPr>
              <w:t>Product warranties</w:t>
            </w:r>
          </w:p>
        </w:tc>
        <w:tc>
          <w:tcPr>
            <w:tcW w:w="6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72.3</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72.9</w:t>
            </w:r>
          </w:p>
        </w:tc>
      </w:tr>
      <w:tr>
        <w:trPr>
          <w:trHeight w:val="193"/>
        </w:trPr>
        <w:tc>
          <w:tcPr>
            <w:tcW w:w="7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Self-insurance</w:t>
            </w:r>
          </w:p>
        </w:tc>
        <w:tc>
          <w:tcPr>
            <w:tcW w:w="6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16.2</w:t>
            </w:r>
          </w:p>
        </w:tc>
      </w:tr>
      <w:tr>
        <w:trPr>
          <w:trHeight w:val="198"/>
        </w:trPr>
        <w:tc>
          <w:tcPr>
            <w:tcW w:w="7760" w:type="dxa"/>
            <w:vAlign w:val="bottom"/>
          </w:tcPr>
          <w:p>
            <w:pPr>
              <w:ind w:left="220"/>
              <w:spacing w:after="0"/>
              <w:rPr>
                <w:sz w:val="20"/>
                <w:szCs w:val="20"/>
                <w:color w:val="auto"/>
              </w:rPr>
            </w:pPr>
            <w:r>
              <w:rPr>
                <w:rFonts w:ascii="Arial" w:cs="Arial" w:eastAsia="Arial" w:hAnsi="Arial"/>
                <w:sz w:val="14"/>
                <w:szCs w:val="14"/>
                <w:color w:val="auto"/>
              </w:rPr>
              <w:t>Promotional</w:t>
            </w:r>
          </w:p>
        </w:tc>
        <w:tc>
          <w:tcPr>
            <w:tcW w:w="6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31.0</w:t>
            </w:r>
          </w:p>
        </w:tc>
      </w:tr>
      <w:tr>
        <w:trPr>
          <w:trHeight w:val="206"/>
        </w:trPr>
        <w:tc>
          <w:tcPr>
            <w:tcW w:w="7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interest and dividends</w:t>
            </w: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13.4</w:t>
            </w: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Other current liabilities</w:t>
            </w:r>
          </w:p>
        </w:tc>
        <w:tc>
          <w:tcPr>
            <w:tcW w:w="6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22.6</w:t>
            </w: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23.2</w:t>
            </w:r>
          </w:p>
        </w:tc>
      </w:tr>
      <w:tr>
        <w:trPr>
          <w:trHeight w:val="196"/>
        </w:trPr>
        <w:tc>
          <w:tcPr>
            <w:tcW w:w="7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liabilities</w:t>
            </w:r>
          </w:p>
        </w:tc>
        <w:tc>
          <w:tcPr>
            <w:tcW w:w="6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299.7</w:t>
            </w: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327.1</w:t>
            </w:r>
          </w:p>
        </w:tc>
      </w:tr>
      <w:tr>
        <w:trPr>
          <w:trHeight w:val="179"/>
        </w:trPr>
        <w:tc>
          <w:tcPr>
            <w:tcW w:w="7760" w:type="dxa"/>
            <w:vAlign w:val="bottom"/>
          </w:tcPr>
          <w:p>
            <w:pPr>
              <w:ind w:left="40"/>
              <w:spacing w:after="0"/>
              <w:rPr>
                <w:sz w:val="20"/>
                <w:szCs w:val="20"/>
                <w:color w:val="auto"/>
              </w:rPr>
            </w:pPr>
            <w:r>
              <w:rPr>
                <w:rFonts w:ascii="Arial" w:cs="Arial" w:eastAsia="Arial" w:hAnsi="Arial"/>
                <w:sz w:val="14"/>
                <w:szCs w:val="14"/>
                <w:color w:val="auto"/>
              </w:rPr>
              <w:t>Non-current liabilities</w:t>
            </w: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6"/>
        </w:trPr>
        <w:tc>
          <w:tcPr>
            <w:tcW w:w="7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Long-term debt, net</w:t>
            </w: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442.9</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540.5</w:t>
            </w:r>
          </w:p>
        </w:tc>
      </w:tr>
      <w:tr>
        <w:trPr>
          <w:trHeight w:val="189"/>
        </w:trPr>
        <w:tc>
          <w:tcPr>
            <w:tcW w:w="7760" w:type="dxa"/>
            <w:vAlign w:val="bottom"/>
          </w:tcPr>
          <w:p>
            <w:pPr>
              <w:ind w:left="140"/>
              <w:spacing w:after="0"/>
              <w:rPr>
                <w:sz w:val="20"/>
                <w:szCs w:val="20"/>
                <w:color w:val="auto"/>
              </w:rPr>
            </w:pPr>
            <w:r>
              <w:rPr>
                <w:rFonts w:ascii="Arial" w:cs="Arial" w:eastAsia="Arial" w:hAnsi="Arial"/>
                <w:sz w:val="14"/>
                <w:szCs w:val="14"/>
                <w:color w:val="auto"/>
              </w:rPr>
              <w:t>Deferred income tax liabilities, net</w:t>
            </w:r>
          </w:p>
        </w:tc>
        <w:tc>
          <w:tcPr>
            <w:tcW w:w="6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5.9</w:t>
            </w:r>
          </w:p>
        </w:tc>
      </w:tr>
      <w:tr>
        <w:trPr>
          <w:trHeight w:val="203"/>
        </w:trPr>
        <w:tc>
          <w:tcPr>
            <w:tcW w:w="7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Unrecognized tax benefits</w:t>
            </w: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w:t>
            </w:r>
          </w:p>
        </w:tc>
      </w:tr>
      <w:tr>
        <w:trPr>
          <w:trHeight w:val="198"/>
        </w:trPr>
        <w:tc>
          <w:tcPr>
            <w:tcW w:w="7760" w:type="dxa"/>
            <w:vAlign w:val="bottom"/>
          </w:tcPr>
          <w:p>
            <w:pPr>
              <w:ind w:left="140"/>
              <w:spacing w:after="0"/>
              <w:rPr>
                <w:sz w:val="20"/>
                <w:szCs w:val="20"/>
                <w:color w:val="auto"/>
              </w:rPr>
            </w:pPr>
            <w:r>
              <w:rPr>
                <w:rFonts w:ascii="Arial" w:cs="Arial" w:eastAsia="Arial" w:hAnsi="Arial"/>
                <w:sz w:val="14"/>
                <w:szCs w:val="14"/>
                <w:color w:val="auto"/>
              </w:rPr>
              <w:t>Long-term operating lease liabilities</w:t>
            </w:r>
          </w:p>
        </w:tc>
        <w:tc>
          <w:tcPr>
            <w:tcW w:w="6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39.3</w:t>
            </w:r>
          </w:p>
        </w:tc>
      </w:tr>
      <w:tr>
        <w:trPr>
          <w:trHeight w:val="193"/>
        </w:trPr>
        <w:tc>
          <w:tcPr>
            <w:tcW w:w="7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compensation benefits, net of current portion</w:t>
            </w:r>
          </w:p>
        </w:tc>
        <w:tc>
          <w:tcPr>
            <w:tcW w:w="6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w:t>
            </w:r>
          </w:p>
        </w:tc>
      </w:tr>
      <w:tr>
        <w:trPr>
          <w:trHeight w:val="203"/>
        </w:trPr>
        <w:tc>
          <w:tcPr>
            <w:tcW w:w="7760" w:type="dxa"/>
            <w:vAlign w:val="bottom"/>
          </w:tcPr>
          <w:p>
            <w:pPr>
              <w:ind w:left="140"/>
              <w:spacing w:after="0"/>
              <w:rPr>
                <w:sz w:val="20"/>
                <w:szCs w:val="20"/>
                <w:color w:val="auto"/>
              </w:rPr>
            </w:pPr>
            <w:r>
              <w:rPr>
                <w:rFonts w:ascii="Arial" w:cs="Arial" w:eastAsia="Arial" w:hAnsi="Arial"/>
                <w:sz w:val="14"/>
                <w:szCs w:val="14"/>
                <w:color w:val="auto"/>
              </w:rPr>
              <w:t>Other long-term liabilities</w:t>
            </w:r>
          </w:p>
        </w:tc>
        <w:tc>
          <w:tcPr>
            <w:tcW w:w="6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7.0</w:t>
            </w:r>
          </w:p>
        </w:tc>
      </w:tr>
      <w:tr>
        <w:trPr>
          <w:trHeight w:val="196"/>
        </w:trPr>
        <w:tc>
          <w:tcPr>
            <w:tcW w:w="776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Total liabilities</w:t>
            </w:r>
          </w:p>
        </w:tc>
        <w:tc>
          <w:tcPr>
            <w:tcW w:w="6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804.1</w:t>
            </w: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929.7</w:t>
            </w:r>
          </w:p>
        </w:tc>
      </w:tr>
      <w:tr>
        <w:trPr>
          <w:trHeight w:val="178"/>
        </w:trPr>
        <w:tc>
          <w:tcPr>
            <w:tcW w:w="7760" w:type="dxa"/>
            <w:vAlign w:val="bottom"/>
          </w:tcPr>
          <w:p>
            <w:pPr>
              <w:ind w:left="20"/>
              <w:spacing w:after="0"/>
              <w:rPr>
                <w:sz w:val="20"/>
                <w:szCs w:val="20"/>
                <w:color w:val="auto"/>
              </w:rPr>
            </w:pPr>
            <w:r>
              <w:rPr>
                <w:rFonts w:ascii="Arial" w:cs="Arial" w:eastAsia="Arial" w:hAnsi="Arial"/>
                <w:sz w:val="14"/>
                <w:szCs w:val="14"/>
                <w:color w:val="auto"/>
              </w:rPr>
              <w:t>Contingent liabilities and commitments (Note 9)</w:t>
            </w: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7"/>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Shareholders' equity:</w:t>
            </w: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89"/>
        </w:trPr>
        <w:tc>
          <w:tcPr>
            <w:tcW w:w="7760" w:type="dxa"/>
            <w:vAlign w:val="bottom"/>
          </w:tcPr>
          <w:p>
            <w:pPr>
              <w:ind w:left="140"/>
              <w:spacing w:after="0"/>
              <w:rPr>
                <w:sz w:val="20"/>
                <w:szCs w:val="20"/>
                <w:color w:val="auto"/>
              </w:rPr>
            </w:pPr>
            <w:r>
              <w:rPr>
                <w:rFonts w:ascii="Arial" w:cs="Arial" w:eastAsia="Arial" w:hAnsi="Arial"/>
                <w:sz w:val="14"/>
                <w:szCs w:val="14"/>
                <w:color w:val="auto"/>
              </w:rPr>
              <w:t>Preferred stock, par value $0.01: 10.0 shares authorized; zero shares issued and outstanding</w:t>
            </w:r>
          </w:p>
        </w:tc>
        <w:tc>
          <w:tcPr>
            <w:tcW w:w="6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7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Common stock, par value $0.50: 120.0 shares authorized; 51.8 shares issued</w:t>
            </w: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25.9</w:t>
            </w:r>
          </w:p>
        </w:tc>
      </w:tr>
      <w:tr>
        <w:trPr>
          <w:trHeight w:val="198"/>
        </w:trPr>
        <w:tc>
          <w:tcPr>
            <w:tcW w:w="7760" w:type="dxa"/>
            <w:vAlign w:val="bottom"/>
          </w:tcPr>
          <w:p>
            <w:pPr>
              <w:ind w:left="140"/>
              <w:spacing w:after="0"/>
              <w:rPr>
                <w:sz w:val="20"/>
                <w:szCs w:val="20"/>
                <w:color w:val="auto"/>
              </w:rPr>
            </w:pPr>
            <w:r>
              <w:rPr>
                <w:rFonts w:ascii="Arial" w:cs="Arial" w:eastAsia="Arial" w:hAnsi="Arial"/>
                <w:sz w:val="14"/>
                <w:szCs w:val="14"/>
                <w:color w:val="auto"/>
              </w:rPr>
              <w:t>Additional paid-in capital</w:t>
            </w:r>
          </w:p>
        </w:tc>
        <w:tc>
          <w:tcPr>
            <w:tcW w:w="6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213.4</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203.3</w:t>
            </w:r>
          </w:p>
        </w:tc>
      </w:tr>
      <w:tr>
        <w:trPr>
          <w:trHeight w:val="193"/>
        </w:trPr>
        <w:tc>
          <w:tcPr>
            <w:tcW w:w="7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Retained earnings</w:t>
            </w:r>
          </w:p>
        </w:tc>
        <w:tc>
          <w:tcPr>
            <w:tcW w:w="6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1,704.4</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1,710.0</w:t>
            </w:r>
          </w:p>
        </w:tc>
      </w:tr>
      <w:tr>
        <w:trPr>
          <w:trHeight w:val="198"/>
        </w:trPr>
        <w:tc>
          <w:tcPr>
            <w:tcW w:w="7760" w:type="dxa"/>
            <w:vAlign w:val="bottom"/>
          </w:tcPr>
          <w:p>
            <w:pPr>
              <w:ind w:left="140"/>
              <w:spacing w:after="0"/>
              <w:rPr>
                <w:sz w:val="20"/>
                <w:szCs w:val="20"/>
                <w:color w:val="auto"/>
              </w:rPr>
            </w:pPr>
            <w:r>
              <w:rPr>
                <w:rFonts w:ascii="Arial" w:cs="Arial" w:eastAsia="Arial" w:hAnsi="Arial"/>
                <w:sz w:val="14"/>
                <w:szCs w:val="14"/>
                <w:color w:val="auto"/>
              </w:rPr>
              <w:t>Accumulated other comprehensive loss</w:t>
            </w:r>
          </w:p>
        </w:tc>
        <w:tc>
          <w:tcPr>
            <w:tcW w:w="6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207"/>
        </w:trPr>
        <w:tc>
          <w:tcPr>
            <w:tcW w:w="7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Treasury stock, at cost: 23.6 and 23.8 shares, respectively</w:t>
            </w:r>
          </w:p>
        </w:tc>
        <w:tc>
          <w:tcPr>
            <w:tcW w:w="6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(708.9)</w:t>
            </w: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(714.1)</w:t>
            </w:r>
          </w:p>
        </w:tc>
      </w:tr>
      <w:tr>
        <w:trPr>
          <w:trHeight w:val="183"/>
        </w:trPr>
        <w:tc>
          <w:tcPr>
            <w:tcW w:w="7760" w:type="dxa"/>
            <w:vAlign w:val="bottom"/>
          </w:tcPr>
          <w:p>
            <w:pPr>
              <w:ind w:left="220"/>
              <w:spacing w:after="0"/>
              <w:rPr>
                <w:sz w:val="20"/>
                <w:szCs w:val="20"/>
                <w:color w:val="auto"/>
              </w:rPr>
            </w:pPr>
            <w:r>
              <w:rPr>
                <w:rFonts w:ascii="Arial" w:cs="Arial" w:eastAsia="Arial" w:hAnsi="Arial"/>
                <w:sz w:val="14"/>
                <w:szCs w:val="14"/>
                <w:b w:val="1"/>
                <w:bCs w:val="1"/>
                <w:color w:val="auto"/>
              </w:rPr>
              <w:t>Total shareholders' equity</w:t>
            </w:r>
          </w:p>
        </w:tc>
        <w:tc>
          <w:tcPr>
            <w:tcW w:w="6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1,234.4</w:t>
            </w:r>
          </w:p>
        </w:tc>
        <w:tc>
          <w:tcPr>
            <w:tcW w:w="10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1,224.7</w:t>
            </w:r>
          </w:p>
        </w:tc>
      </w:tr>
      <w:tr>
        <w:trPr>
          <w:trHeight w:val="216"/>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shareholders' equity</w:t>
            </w:r>
          </w:p>
        </w:tc>
        <w:tc>
          <w:tcPr>
            <w:tcW w:w="620" w:type="dxa"/>
            <w:vAlign w:val="bottom"/>
            <w:shd w:val="clear" w:color="auto" w:fill="CCEEFF"/>
          </w:tcPr>
          <w:p>
            <w:pPr>
              <w:jc w:val="right"/>
              <w:ind w:right="44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2,038.5</w:t>
            </w:r>
          </w:p>
        </w:tc>
        <w:tc>
          <w:tcPr>
            <w:tcW w:w="72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2,154.4</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70485</wp:posOffset>
            </wp:positionV>
            <wp:extent cx="71831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7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4"/>
          </w:tcPr>
          <w:p>
            <w:pPr>
              <w:jc w:val="right"/>
              <w:ind w:right="1028"/>
              <w:spacing w:after="0"/>
              <w:rPr>
                <w:sz w:val="20"/>
                <w:szCs w:val="20"/>
                <w:color w:val="auto"/>
              </w:rPr>
            </w:pPr>
            <w:r>
              <w:rPr>
                <w:rFonts w:ascii="Arial" w:cs="Arial" w:eastAsia="Arial" w:hAnsi="Arial"/>
                <w:sz w:val="14"/>
                <w:szCs w:val="14"/>
                <w:b w:val="1"/>
                <w:bCs w:val="1"/>
                <w:color w:val="auto"/>
              </w:rPr>
              <w:t>Nine Months Ended</w:t>
            </w:r>
          </w:p>
        </w:tc>
      </w:tr>
      <w:tr>
        <w:trPr>
          <w:trHeight w:val="198"/>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May 30, 2026</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May 31, 2025</w:t>
            </w:r>
          </w:p>
        </w:tc>
      </w:tr>
      <w:tr>
        <w:trPr>
          <w:trHeight w:val="183"/>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198"/>
        </w:trPr>
        <w:tc>
          <w:tcPr>
            <w:tcW w:w="772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24.8</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12.0</w:t>
            </w:r>
          </w:p>
        </w:tc>
      </w:tr>
      <w:tr>
        <w:trPr>
          <w:trHeight w:val="207"/>
        </w:trPr>
        <w:tc>
          <w:tcPr>
            <w:tcW w:w="7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Adjustments to reconcile net income to net cash provided by (used in) operating activities</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189"/>
        </w:trPr>
        <w:tc>
          <w:tcPr>
            <w:tcW w:w="7720" w:type="dxa"/>
            <w:vAlign w:val="bottom"/>
          </w:tcPr>
          <w:p>
            <w:pPr>
              <w:ind w:left="220"/>
              <w:spacing w:after="0"/>
              <w:rPr>
                <w:sz w:val="20"/>
                <w:szCs w:val="20"/>
                <w:color w:val="auto"/>
              </w:rPr>
            </w:pPr>
            <w:r>
              <w:rPr>
                <w:rFonts w:ascii="Arial" w:cs="Arial" w:eastAsia="Arial" w:hAnsi="Arial"/>
                <w:sz w:val="14"/>
                <w:szCs w:val="14"/>
                <w:color w:val="auto"/>
              </w:rPr>
              <w:t>Depreciation</w:t>
            </w: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28.8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28.7</w:t>
            </w:r>
          </w:p>
        </w:tc>
      </w:tr>
      <w:tr>
        <w:trPr>
          <w:trHeight w:val="203"/>
        </w:trPr>
        <w:tc>
          <w:tcPr>
            <w:tcW w:w="7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16.7</w:t>
            </w:r>
          </w:p>
        </w:tc>
      </w:tr>
      <w:tr>
        <w:trPr>
          <w:trHeight w:val="198"/>
        </w:trPr>
        <w:tc>
          <w:tcPr>
            <w:tcW w:w="7720" w:type="dxa"/>
            <w:vAlign w:val="bottom"/>
          </w:tcPr>
          <w:p>
            <w:pPr>
              <w:ind w:left="220"/>
              <w:spacing w:after="0"/>
              <w:rPr>
                <w:sz w:val="20"/>
                <w:szCs w:val="20"/>
                <w:color w:val="auto"/>
              </w:rPr>
            </w:pPr>
            <w:r>
              <w:rPr>
                <w:rFonts w:ascii="Arial" w:cs="Arial" w:eastAsia="Arial" w:hAnsi="Arial"/>
                <w:sz w:val="14"/>
                <w:szCs w:val="14"/>
                <w:color w:val="auto"/>
              </w:rPr>
              <w:t>Amortization of debt issuance costs</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2.3</w:t>
            </w:r>
          </w:p>
        </w:tc>
      </w:tr>
      <w:tr>
        <w:trPr>
          <w:trHeight w:val="193"/>
        </w:trPr>
        <w:tc>
          <w:tcPr>
            <w:tcW w:w="7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Last in, first-out ("LIFO") expense</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r>
      <w:tr>
        <w:trPr>
          <w:trHeight w:val="198"/>
        </w:trPr>
        <w:tc>
          <w:tcPr>
            <w:tcW w:w="772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12.2</w:t>
            </w:r>
          </w:p>
        </w:tc>
      </w:tr>
      <w:tr>
        <w:trPr>
          <w:trHeight w:val="207"/>
        </w:trPr>
        <w:tc>
          <w:tcPr>
            <w:tcW w:w="7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income taxes</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r>
      <w:tr>
        <w:trPr>
          <w:trHeight w:val="189"/>
        </w:trPr>
        <w:tc>
          <w:tcPr>
            <w:tcW w:w="7720" w:type="dxa"/>
            <w:vAlign w:val="bottom"/>
          </w:tcPr>
          <w:p>
            <w:pPr>
              <w:ind w:left="220"/>
              <w:spacing w:after="0"/>
              <w:rPr>
                <w:sz w:val="20"/>
                <w:szCs w:val="20"/>
                <w:color w:val="auto"/>
              </w:rPr>
            </w:pPr>
            <w:r>
              <w:rPr>
                <w:rFonts w:ascii="Arial" w:cs="Arial" w:eastAsia="Arial" w:hAnsi="Arial"/>
                <w:sz w:val="14"/>
                <w:szCs w:val="14"/>
                <w:color w:val="auto"/>
              </w:rPr>
              <w:t>Deferred compensation expense</w:t>
            </w: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7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Loss on note repurchase</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r>
      <w:tr>
        <w:trPr>
          <w:trHeight w:val="198"/>
        </w:trPr>
        <w:tc>
          <w:tcPr>
            <w:tcW w:w="7720" w:type="dxa"/>
            <w:vAlign w:val="bottom"/>
          </w:tcPr>
          <w:p>
            <w:pPr>
              <w:ind w:left="220"/>
              <w:spacing w:after="0"/>
              <w:rPr>
                <w:sz w:val="20"/>
                <w:szCs w:val="20"/>
                <w:color w:val="auto"/>
              </w:rPr>
            </w:pPr>
            <w:r>
              <w:rPr>
                <w:rFonts w:ascii="Arial" w:cs="Arial" w:eastAsia="Arial" w:hAnsi="Arial"/>
                <w:sz w:val="14"/>
                <w:szCs w:val="14"/>
                <w:color w:val="auto"/>
              </w:rPr>
              <w:t>Asset impairment</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1.2</w:t>
            </w:r>
          </w:p>
        </w:tc>
      </w:tr>
      <w:tr>
        <w:trPr>
          <w:trHeight w:val="193"/>
        </w:trPr>
        <w:tc>
          <w:tcPr>
            <w:tcW w:w="7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Restructuring and related costs</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9"/>
        </w:trPr>
        <w:tc>
          <w:tcPr>
            <w:tcW w:w="7720" w:type="dxa"/>
            <w:vAlign w:val="bottom"/>
          </w:tcPr>
          <w:p>
            <w:pPr>
              <w:ind w:left="220"/>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06"/>
        </w:trPr>
        <w:tc>
          <w:tcPr>
            <w:tcW w:w="7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Change in operating assets and liabilities, net of assets and liabilities acquired</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189"/>
        </w:trPr>
        <w:tc>
          <w:tcPr>
            <w:tcW w:w="7720" w:type="dxa"/>
            <w:vAlign w:val="bottom"/>
          </w:tcPr>
          <w:p>
            <w:pPr>
              <w:ind w:left="220"/>
              <w:spacing w:after="0"/>
              <w:rPr>
                <w:sz w:val="20"/>
                <w:szCs w:val="20"/>
                <w:color w:val="auto"/>
              </w:rPr>
            </w:pPr>
            <w:r>
              <w:rPr>
                <w:rFonts w:ascii="Arial" w:cs="Arial" w:eastAsia="Arial" w:hAnsi="Arial"/>
                <w:sz w:val="14"/>
                <w:szCs w:val="14"/>
                <w:color w:val="auto"/>
              </w:rPr>
              <w:t>Receivables, net</w:t>
            </w: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(59.0)</w:t>
            </w:r>
          </w:p>
        </w:tc>
      </w:tr>
      <w:tr>
        <w:trPr>
          <w:trHeight w:val="203"/>
        </w:trPr>
        <w:tc>
          <w:tcPr>
            <w:tcW w:w="7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Inventories, net</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w:t>
            </w:r>
          </w:p>
        </w:tc>
      </w:tr>
      <w:tr>
        <w:trPr>
          <w:trHeight w:val="198"/>
        </w:trPr>
        <w:tc>
          <w:tcPr>
            <w:tcW w:w="7720" w:type="dxa"/>
            <w:vAlign w:val="bottom"/>
          </w:tcPr>
          <w:p>
            <w:pPr>
              <w:ind w:left="220"/>
              <w:spacing w:after="0"/>
              <w:rPr>
                <w:sz w:val="20"/>
                <w:szCs w:val="20"/>
                <w:color w:val="auto"/>
              </w:rPr>
            </w:pPr>
            <w:r>
              <w:rPr>
                <w:rFonts w:ascii="Arial" w:cs="Arial" w:eastAsia="Arial" w:hAnsi="Arial"/>
                <w:sz w:val="14"/>
                <w:szCs w:val="14"/>
                <w:color w:val="auto"/>
              </w:rPr>
              <w:t>Prepaid expenses and other assets</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7.2</w:t>
            </w:r>
          </w:p>
        </w:tc>
      </w:tr>
      <w:tr>
        <w:trPr>
          <w:trHeight w:val="193"/>
        </w:trPr>
        <w:tc>
          <w:tcPr>
            <w:tcW w:w="7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payable</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r>
      <w:tr>
        <w:trPr>
          <w:trHeight w:val="198"/>
        </w:trPr>
        <w:tc>
          <w:tcPr>
            <w:tcW w:w="7720" w:type="dxa"/>
            <w:vAlign w:val="bottom"/>
          </w:tcPr>
          <w:p>
            <w:pPr>
              <w:ind w:left="220"/>
              <w:spacing w:after="0"/>
              <w:rPr>
                <w:sz w:val="20"/>
                <w:szCs w:val="20"/>
                <w:color w:val="auto"/>
              </w:rPr>
            </w:pPr>
            <w:r>
              <w:rPr>
                <w:rFonts w:ascii="Arial" w:cs="Arial" w:eastAsia="Arial" w:hAnsi="Arial"/>
                <w:sz w:val="14"/>
                <w:szCs w:val="14"/>
                <w:color w:val="auto"/>
              </w:rPr>
              <w:t>Income taxes and unrecognized tax benefits</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4.3</w:t>
            </w:r>
          </w:p>
        </w:tc>
      </w:tr>
      <w:tr>
        <w:trPr>
          <w:trHeight w:val="207"/>
        </w:trPr>
        <w:tc>
          <w:tcPr>
            <w:tcW w:w="7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 and other liabilities</w:t>
            </w:r>
          </w:p>
        </w:tc>
        <w:tc>
          <w:tcPr>
            <w:tcW w:w="2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w:t>
            </w:r>
          </w:p>
        </w:tc>
      </w:tr>
      <w:tr>
        <w:trPr>
          <w:trHeight w:val="183"/>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26.2</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(52.5)</w:t>
            </w:r>
          </w:p>
        </w:tc>
      </w:tr>
      <w:tr>
        <w:trPr>
          <w:trHeight w:val="210"/>
        </w:trPr>
        <w:tc>
          <w:tcPr>
            <w:tcW w:w="7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02"/>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89"/>
        </w:trPr>
        <w:tc>
          <w:tcPr>
            <w:tcW w:w="7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Purchases of property, plant, and equipment</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r>
      <w:tr>
        <w:trPr>
          <w:trHeight w:val="198"/>
        </w:trPr>
        <w:tc>
          <w:tcPr>
            <w:tcW w:w="7720" w:type="dxa"/>
            <w:vAlign w:val="bottom"/>
          </w:tcPr>
          <w:p>
            <w:pPr>
              <w:ind w:left="140"/>
              <w:spacing w:after="0"/>
              <w:rPr>
                <w:sz w:val="20"/>
                <w:szCs w:val="20"/>
                <w:color w:val="auto"/>
              </w:rPr>
            </w:pPr>
            <w:r>
              <w:rPr>
                <w:rFonts w:ascii="Arial" w:cs="Arial" w:eastAsia="Arial" w:hAnsi="Arial"/>
                <w:sz w:val="14"/>
                <w:szCs w:val="14"/>
                <w:color w:val="auto"/>
              </w:rPr>
              <w:t>Proceeds from sale of property, plant, and equipment</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2.1</w:t>
            </w:r>
          </w:p>
        </w:tc>
      </w:tr>
      <w:tr>
        <w:trPr>
          <w:trHeight w:val="207"/>
        </w:trPr>
        <w:tc>
          <w:tcPr>
            <w:tcW w:w="7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2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r>
      <w:tr>
        <w:trPr>
          <w:trHeight w:val="183"/>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(11.3)</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(25.5)</w:t>
            </w:r>
          </w:p>
        </w:tc>
      </w:tr>
      <w:tr>
        <w:trPr>
          <w:trHeight w:val="210"/>
        </w:trPr>
        <w:tc>
          <w:tcPr>
            <w:tcW w:w="7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03"/>
        </w:trPr>
        <w:tc>
          <w:tcPr>
            <w:tcW w:w="7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Borrowings on long-term debt</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15.3</w:t>
            </w:r>
          </w:p>
        </w:tc>
      </w:tr>
      <w:tr>
        <w:trPr>
          <w:trHeight w:val="198"/>
        </w:trPr>
        <w:tc>
          <w:tcPr>
            <w:tcW w:w="7720" w:type="dxa"/>
            <w:vAlign w:val="bottom"/>
          </w:tcPr>
          <w:p>
            <w:pPr>
              <w:ind w:left="140"/>
              <w:spacing w:after="0"/>
              <w:rPr>
                <w:sz w:val="20"/>
                <w:szCs w:val="20"/>
                <w:color w:val="auto"/>
              </w:rPr>
            </w:pPr>
            <w:r>
              <w:rPr>
                <w:rFonts w:ascii="Arial" w:cs="Arial" w:eastAsia="Arial" w:hAnsi="Arial"/>
                <w:sz w:val="14"/>
                <w:szCs w:val="14"/>
                <w:color w:val="auto"/>
              </w:rPr>
              <w:t>Repayments on long-term debt</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(103.0)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(175.2)</w:t>
            </w:r>
          </w:p>
        </w:tc>
      </w:tr>
      <w:tr>
        <w:trPr>
          <w:trHeight w:val="193"/>
        </w:trPr>
        <w:tc>
          <w:tcPr>
            <w:tcW w:w="7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Payments of cash dividends</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r>
      <w:tr>
        <w:trPr>
          <w:trHeight w:val="198"/>
        </w:trPr>
        <w:tc>
          <w:tcPr>
            <w:tcW w:w="7720" w:type="dxa"/>
            <w:vAlign w:val="bottom"/>
          </w:tcPr>
          <w:p>
            <w:pPr>
              <w:ind w:left="140"/>
              <w:spacing w:after="0"/>
              <w:rPr>
                <w:sz w:val="20"/>
                <w:szCs w:val="20"/>
                <w:color w:val="auto"/>
              </w:rPr>
            </w:pPr>
            <w:r>
              <w:rPr>
                <w:rFonts w:ascii="Arial" w:cs="Arial" w:eastAsia="Arial" w:hAnsi="Arial"/>
                <w:sz w:val="14"/>
                <w:szCs w:val="14"/>
                <w:color w:val="auto"/>
              </w:rPr>
              <w:t>Payments for repurchases of common stock</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(53.6)</w:t>
            </w:r>
          </w:p>
        </w:tc>
      </w:tr>
      <w:tr>
        <w:trPr>
          <w:trHeight w:val="207"/>
        </w:trPr>
        <w:tc>
          <w:tcPr>
            <w:tcW w:w="7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2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0.4</w:t>
            </w:r>
          </w:p>
        </w:tc>
      </w:tr>
      <w:tr>
        <w:trPr>
          <w:trHeight w:val="183"/>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Net cash used in financing activities</w:t>
            </w: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(131.8)</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(242.4)</w:t>
            </w:r>
          </w:p>
        </w:tc>
      </w:tr>
      <w:tr>
        <w:trPr>
          <w:trHeight w:val="210"/>
        </w:trPr>
        <w:tc>
          <w:tcPr>
            <w:tcW w:w="7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198"/>
        </w:trPr>
        <w:tc>
          <w:tcPr>
            <w:tcW w:w="7720" w:type="dxa"/>
            <w:vAlign w:val="bottom"/>
          </w:tcPr>
          <w:p>
            <w:pPr>
              <w:ind w:left="20"/>
              <w:spacing w:after="0"/>
              <w:rPr>
                <w:sz w:val="20"/>
                <w:szCs w:val="20"/>
                <w:color w:val="auto"/>
              </w:rPr>
            </w:pPr>
            <w:r>
              <w:rPr>
                <w:rFonts w:ascii="Arial" w:cs="Arial" w:eastAsia="Arial" w:hAnsi="Arial"/>
                <w:sz w:val="14"/>
                <w:szCs w:val="14"/>
                <w:color w:val="auto"/>
              </w:rPr>
              <w:t>Net decrease in cash and cash equivalents</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(116.9)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(320.4)</w:t>
            </w:r>
          </w:p>
        </w:tc>
      </w:tr>
      <w:tr>
        <w:trPr>
          <w:trHeight w:val="193"/>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26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174.0</w:t>
            </w:r>
          </w:p>
        </w:tc>
        <w:tc>
          <w:tcPr>
            <w:tcW w:w="1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330.9</w:t>
            </w:r>
          </w:p>
        </w:tc>
      </w:tr>
      <w:tr>
        <w:trPr>
          <w:trHeight w:val="196"/>
        </w:trPr>
        <w:tc>
          <w:tcPr>
            <w:tcW w:w="7720" w:type="dxa"/>
            <w:vAlign w:val="bottom"/>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57.1</w:t>
            </w:r>
          </w:p>
        </w:tc>
        <w:tc>
          <w:tcPr>
            <w:tcW w:w="3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10.5</w:t>
            </w: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79375</wp:posOffset>
            </wp:positionV>
            <wp:extent cx="71831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4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Disclosures</w:t>
            </w:r>
          </w:p>
        </w:tc>
        <w:tc>
          <w:tcPr>
            <w:tcW w:w="2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0"/>
        </w:trPr>
        <w:tc>
          <w:tcPr>
            <w:tcW w:w="5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taxes paid, net</w:t>
            </w:r>
          </w:p>
        </w:tc>
        <w:tc>
          <w:tcPr>
            <w:tcW w:w="272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82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w:t>
            </w:r>
          </w:p>
        </w:tc>
      </w:tr>
      <w:tr>
        <w:trPr>
          <w:trHeight w:val="198"/>
        </w:trPr>
        <w:tc>
          <w:tcPr>
            <w:tcW w:w="5740" w:type="dxa"/>
            <w:vAlign w:val="bottom"/>
          </w:tcPr>
          <w:p>
            <w:pPr>
              <w:ind w:left="140"/>
              <w:spacing w:after="0"/>
              <w:rPr>
                <w:sz w:val="20"/>
                <w:szCs w:val="20"/>
                <w:color w:val="auto"/>
              </w:rPr>
            </w:pPr>
            <w:r>
              <w:rPr>
                <w:rFonts w:ascii="Arial" w:cs="Arial" w:eastAsia="Arial" w:hAnsi="Arial"/>
                <w:sz w:val="14"/>
                <w:szCs w:val="14"/>
                <w:color w:val="auto"/>
              </w:rPr>
              <w:t>Interest paid</w:t>
            </w:r>
          </w:p>
        </w:tc>
        <w:tc>
          <w:tcPr>
            <w:tcW w:w="272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13.3</w:t>
            </w:r>
          </w:p>
        </w:tc>
        <w:tc>
          <w:tcPr>
            <w:tcW w:w="82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17.3</w:t>
            </w:r>
          </w:p>
        </w:tc>
      </w:tr>
      <w:tr>
        <w:trPr>
          <w:trHeight w:val="220"/>
        </w:trPr>
        <w:tc>
          <w:tcPr>
            <w:tcW w:w="574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02"/>
        </w:trPr>
        <w:tc>
          <w:tcPr>
            <w:tcW w:w="5740" w:type="dxa"/>
            <w:vAlign w:val="bottom"/>
          </w:tcPr>
          <w:p>
            <w:pPr>
              <w:ind w:left="20"/>
              <w:spacing w:after="0"/>
              <w:rPr>
                <w:sz w:val="20"/>
                <w:szCs w:val="20"/>
                <w:color w:val="auto"/>
              </w:rPr>
            </w:pPr>
            <w:r>
              <w:rPr>
                <w:rFonts w:ascii="Arial" w:cs="Arial" w:eastAsia="Arial" w:hAnsi="Arial"/>
                <w:sz w:val="14"/>
                <w:szCs w:val="14"/>
                <w:b w:val="1"/>
                <w:bCs w:val="1"/>
                <w:color w:val="auto"/>
              </w:rPr>
              <w:t>Non-cash investing and financing activities</w:t>
            </w:r>
          </w:p>
        </w:tc>
        <w:tc>
          <w:tcPr>
            <w:tcW w:w="2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89"/>
        </w:trPr>
        <w:tc>
          <w:tcPr>
            <w:tcW w:w="5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Capital expenditures in accounts payable</w:t>
            </w:r>
          </w:p>
        </w:tc>
        <w:tc>
          <w:tcPr>
            <w:tcW w:w="272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82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w:t>
            </w:r>
          </w:p>
        </w:tc>
      </w:tr>
      <w:tr>
        <w:trPr>
          <w:trHeight w:val="198"/>
        </w:trPr>
        <w:tc>
          <w:tcPr>
            <w:tcW w:w="5740" w:type="dxa"/>
            <w:vAlign w:val="bottom"/>
          </w:tcPr>
          <w:p>
            <w:pPr>
              <w:ind w:left="140"/>
              <w:spacing w:after="0"/>
              <w:rPr>
                <w:sz w:val="20"/>
                <w:szCs w:val="20"/>
                <w:color w:val="auto"/>
              </w:rPr>
            </w:pPr>
            <w:r>
              <w:rPr>
                <w:rFonts w:ascii="Arial" w:cs="Arial" w:eastAsia="Arial" w:hAnsi="Arial"/>
                <w:sz w:val="14"/>
                <w:szCs w:val="14"/>
                <w:color w:val="auto"/>
              </w:rPr>
              <w:t>Dividends declared not yet paid</w:t>
            </w:r>
          </w:p>
        </w:tc>
        <w:tc>
          <w:tcPr>
            <w:tcW w:w="272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11.4</w:t>
            </w:r>
          </w:p>
        </w:tc>
        <w:tc>
          <w:tcPr>
            <w:tcW w:w="82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10.5</w:t>
            </w:r>
          </w:p>
        </w:tc>
      </w:tr>
      <w:tr>
        <w:trPr>
          <w:trHeight w:val="207"/>
        </w:trPr>
        <w:tc>
          <w:tcPr>
            <w:tcW w:w="5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Increase in lease assets in exchange for lease liabilities:</w:t>
            </w:r>
          </w:p>
        </w:tc>
        <w:tc>
          <w:tcPr>
            <w:tcW w:w="27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89"/>
        </w:trPr>
        <w:tc>
          <w:tcPr>
            <w:tcW w:w="5740" w:type="dxa"/>
            <w:vAlign w:val="bottom"/>
          </w:tcPr>
          <w:p>
            <w:pPr>
              <w:ind w:left="220"/>
              <w:spacing w:after="0"/>
              <w:rPr>
                <w:sz w:val="20"/>
                <w:szCs w:val="20"/>
                <w:color w:val="auto"/>
              </w:rPr>
            </w:pPr>
            <w:r>
              <w:rPr>
                <w:rFonts w:ascii="Arial" w:cs="Arial" w:eastAsia="Arial" w:hAnsi="Arial"/>
                <w:sz w:val="14"/>
                <w:szCs w:val="14"/>
                <w:color w:val="auto"/>
              </w:rPr>
              <w:t>Operating leases</w:t>
            </w:r>
          </w:p>
        </w:tc>
        <w:tc>
          <w:tcPr>
            <w:tcW w:w="272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82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2.3</w:t>
            </w:r>
          </w:p>
        </w:tc>
      </w:tr>
      <w:tr>
        <w:trPr>
          <w:trHeight w:val="203"/>
        </w:trPr>
        <w:tc>
          <w:tcPr>
            <w:tcW w:w="5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Finance leases</w:t>
            </w:r>
          </w:p>
        </w:tc>
        <w:tc>
          <w:tcPr>
            <w:tcW w:w="27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0.2</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70485</wp:posOffset>
            </wp:positionV>
            <wp:extent cx="71831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Changes in Shareholders' Equity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6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Three Months Ended May 30, 2026</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660" w:type="dxa"/>
            <w:vAlign w:val="bottom"/>
          </w:tcPr>
          <w:p>
            <w:pPr>
              <w:spacing w:after="0"/>
              <w:rPr>
                <w:sz w:val="20"/>
                <w:szCs w:val="20"/>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20"/>
                <w:szCs w:val="20"/>
                <w:color w:val="auto"/>
              </w:rPr>
            </w:pPr>
          </w:p>
        </w:tc>
        <w:tc>
          <w:tcPr>
            <w:tcW w:w="88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8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Accumulated Other</w:t>
            </w:r>
          </w:p>
        </w:tc>
        <w:tc>
          <w:tcPr>
            <w:tcW w:w="186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2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Retained</w:t>
            </w:r>
          </w:p>
        </w:tc>
        <w:tc>
          <w:tcPr>
            <w:tcW w:w="148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Total Shareholders'</w:t>
            </w:r>
          </w:p>
        </w:tc>
        <w:tc>
          <w:tcPr>
            <w:tcW w:w="0" w:type="dxa"/>
            <w:vAlign w:val="bottom"/>
          </w:tcPr>
          <w:p>
            <w:pPr>
              <w:spacing w:after="0"/>
              <w:rPr>
                <w:sz w:val="1"/>
                <w:szCs w:val="1"/>
                <w:color w:val="auto"/>
              </w:rPr>
            </w:pPr>
          </w:p>
        </w:tc>
      </w:tr>
      <w:tr>
        <w:trPr>
          <w:trHeight w:val="135"/>
        </w:trPr>
        <w:tc>
          <w:tcPr>
            <w:tcW w:w="26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1"/>
                <w:szCs w:val="11"/>
                <w:color w:val="auto"/>
              </w:rPr>
            </w:pPr>
          </w:p>
        </w:tc>
        <w:tc>
          <w:tcPr>
            <w:tcW w:w="8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1"/>
                <w:szCs w:val="11"/>
                <w:color w:val="auto"/>
              </w:rPr>
            </w:pPr>
          </w:p>
        </w:tc>
        <w:tc>
          <w:tcPr>
            <w:tcW w:w="88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jc w:val="center"/>
              <w:ind w:right="88"/>
              <w:spacing w:after="0" w:line="135" w:lineRule="exact"/>
              <w:rPr>
                <w:sz w:val="20"/>
                <w:szCs w:val="20"/>
                <w:color w:val="auto"/>
              </w:rPr>
            </w:pPr>
            <w:r>
              <w:rPr>
                <w:rFonts w:ascii="Arial" w:cs="Arial" w:eastAsia="Arial" w:hAnsi="Arial"/>
                <w:sz w:val="14"/>
                <w:szCs w:val="14"/>
                <w:b w:val="1"/>
                <w:bCs w:val="1"/>
                <w:color w:val="auto"/>
              </w:rPr>
              <w:t>Comprehensive</w:t>
            </w:r>
          </w:p>
        </w:tc>
        <w:tc>
          <w:tcPr>
            <w:tcW w:w="8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1"/>
                <w:szCs w:val="11"/>
                <w:color w:val="auto"/>
              </w:rPr>
            </w:pPr>
          </w:p>
        </w:tc>
        <w:tc>
          <w:tcPr>
            <w:tcW w:w="8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66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Income (Loss)</w:t>
            </w:r>
          </w:p>
        </w:tc>
        <w:tc>
          <w:tcPr>
            <w:tcW w:w="8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February 28, 2026</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1,710.2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8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(23.6)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(709.0)</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1,235.1</w:t>
            </w:r>
          </w:p>
        </w:tc>
        <w:tc>
          <w:tcPr>
            <w:tcW w:w="0" w:type="dxa"/>
            <w:vAlign w:val="bottom"/>
          </w:tcPr>
          <w:p>
            <w:pPr>
              <w:spacing w:after="0"/>
              <w:rPr>
                <w:sz w:val="1"/>
                <w:szCs w:val="1"/>
                <w:color w:val="auto"/>
              </w:rPr>
            </w:pPr>
          </w:p>
        </w:tc>
      </w:tr>
      <w:tr>
        <w:trPr>
          <w:trHeight w:val="198"/>
        </w:trPr>
        <w:tc>
          <w:tcPr>
            <w:tcW w:w="266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5.2</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ind w:left="6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53"/>
        </w:trPr>
        <w:tc>
          <w:tcPr>
            <w:tcW w:w="266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Issuance of stock for employee benefit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stock-based awards, net</w:t>
            </w:r>
          </w:p>
        </w:tc>
        <w:tc>
          <w:tcPr>
            <w:tcW w:w="8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140"/>
              <w:spacing w:after="0" w:line="149" w:lineRule="exact"/>
              <w:rPr>
                <w:sz w:val="20"/>
                <w:szCs w:val="20"/>
                <w:color w:val="auto"/>
              </w:rPr>
            </w:pPr>
            <w:r>
              <w:rPr>
                <w:rFonts w:ascii="Arial" w:cs="Arial" w:eastAsia="Arial" w:hAnsi="Arial"/>
                <w:sz w:val="14"/>
                <w:szCs w:val="14"/>
                <w:color w:val="auto"/>
              </w:rPr>
              <w:t>Common stock dividends; $0.70 per</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(20.3)</w:t>
            </w:r>
          </w:p>
        </w:tc>
        <w:tc>
          <w:tcPr>
            <w:tcW w:w="160" w:type="dxa"/>
            <w:vAlign w:val="bottom"/>
          </w:tcPr>
          <w:p>
            <w:pPr>
              <w:spacing w:after="0"/>
              <w:rPr>
                <w:sz w:val="12"/>
                <w:szCs w:val="12"/>
                <w:color w:val="auto"/>
              </w:rPr>
            </w:pP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ind w:left="6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198"/>
        </w:trPr>
        <w:tc>
          <w:tcPr>
            <w:tcW w:w="2660" w:type="dxa"/>
            <w:vAlign w:val="bottom"/>
          </w:tcPr>
          <w:p>
            <w:pPr>
              <w:ind w:left="140"/>
              <w:spacing w:after="0"/>
              <w:rPr>
                <w:sz w:val="20"/>
                <w:szCs w:val="20"/>
                <w:color w:val="auto"/>
              </w:rPr>
            </w:pPr>
            <w:r>
              <w:rPr>
                <w:rFonts w:ascii="Arial" w:cs="Arial" w:eastAsia="Arial" w:hAnsi="Arial"/>
                <w:sz w:val="14"/>
                <w:szCs w:val="14"/>
                <w:color w:val="auto"/>
              </w:rPr>
              <w:t>share</w:t>
            </w:r>
          </w:p>
        </w:tc>
        <w:tc>
          <w:tcPr>
            <w:tcW w:w="8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96"/>
        </w:trPr>
        <w:tc>
          <w:tcPr>
            <w:tcW w:w="2660" w:type="dxa"/>
            <w:vAlign w:val="bottom"/>
          </w:tcPr>
          <w:p>
            <w:pPr>
              <w:ind w:left="20"/>
              <w:spacing w:after="0"/>
              <w:rPr>
                <w:sz w:val="20"/>
                <w:szCs w:val="20"/>
                <w:color w:val="auto"/>
              </w:rPr>
            </w:pPr>
            <w:r>
              <w:rPr>
                <w:rFonts w:ascii="Arial" w:cs="Arial" w:eastAsia="Arial" w:hAnsi="Arial"/>
                <w:sz w:val="14"/>
                <w:szCs w:val="14"/>
                <w:color w:val="auto"/>
              </w:rPr>
              <w:t>Balances at May 30, 2026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51.8</w:t>
            </w:r>
          </w:p>
        </w:tc>
        <w:tc>
          <w:tcPr>
            <w:tcW w:w="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1,704.4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84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(23.6)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(708.9)</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1,234.4</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gridSpan w:val="4"/>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66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Three Months Ended May 31, 2025</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20"/>
                <w:szCs w:val="20"/>
                <w:color w:val="auto"/>
              </w:rPr>
            </w:pPr>
          </w:p>
        </w:tc>
        <w:tc>
          <w:tcPr>
            <w:tcW w:w="88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8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Accumulated Other</w:t>
            </w:r>
          </w:p>
        </w:tc>
        <w:tc>
          <w:tcPr>
            <w:tcW w:w="186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2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Retained</w:t>
            </w:r>
          </w:p>
        </w:tc>
        <w:tc>
          <w:tcPr>
            <w:tcW w:w="148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Total Shareholders'</w:t>
            </w:r>
          </w:p>
        </w:tc>
        <w:tc>
          <w:tcPr>
            <w:tcW w:w="0" w:type="dxa"/>
            <w:vAlign w:val="bottom"/>
          </w:tcPr>
          <w:p>
            <w:pPr>
              <w:spacing w:after="0"/>
              <w:rPr>
                <w:sz w:val="1"/>
                <w:szCs w:val="1"/>
                <w:color w:val="auto"/>
              </w:rPr>
            </w:pPr>
          </w:p>
        </w:tc>
      </w:tr>
      <w:tr>
        <w:trPr>
          <w:trHeight w:val="148"/>
        </w:trPr>
        <w:tc>
          <w:tcPr>
            <w:tcW w:w="26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2"/>
                <w:szCs w:val="12"/>
                <w:color w:val="auto"/>
              </w:rPr>
            </w:pPr>
          </w:p>
        </w:tc>
        <w:tc>
          <w:tcPr>
            <w:tcW w:w="8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8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rPr>
              <w:t>Comprehensive</w:t>
            </w:r>
          </w:p>
        </w:tc>
        <w:tc>
          <w:tcPr>
            <w:tcW w:w="8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2"/>
                <w:szCs w:val="12"/>
                <w:color w:val="auto"/>
              </w:rPr>
            </w:pPr>
          </w:p>
        </w:tc>
        <w:tc>
          <w:tcPr>
            <w:tcW w:w="8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6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Income (Loss)</w:t>
            </w:r>
          </w:p>
        </w:tc>
        <w:tc>
          <w:tcPr>
            <w:tcW w:w="8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March 1, 2025</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1,708.0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8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(23.9)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(716.2)</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1,216.3</w:t>
            </w:r>
          </w:p>
        </w:tc>
        <w:tc>
          <w:tcPr>
            <w:tcW w:w="0" w:type="dxa"/>
            <w:vAlign w:val="bottom"/>
          </w:tcPr>
          <w:p>
            <w:pPr>
              <w:spacing w:after="0"/>
              <w:rPr>
                <w:sz w:val="1"/>
                <w:szCs w:val="1"/>
                <w:color w:val="auto"/>
              </w:rPr>
            </w:pPr>
          </w:p>
        </w:tc>
      </w:tr>
      <w:tr>
        <w:trPr>
          <w:trHeight w:val="189"/>
        </w:trPr>
        <w:tc>
          <w:tcPr>
            <w:tcW w:w="266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ind w:left="6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6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Issuance of stock for employee benefit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30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2"/>
        </w:trPr>
        <w:tc>
          <w:tcPr>
            <w:tcW w:w="2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stock-based awards, net</w:t>
            </w:r>
          </w:p>
        </w:tc>
        <w:tc>
          <w:tcPr>
            <w:tcW w:w="8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660" w:type="dxa"/>
            <w:vAlign w:val="bottom"/>
          </w:tcPr>
          <w:p>
            <w:pPr>
              <w:ind w:left="140"/>
              <w:spacing w:after="0" w:line="149" w:lineRule="exact"/>
              <w:rPr>
                <w:sz w:val="20"/>
                <w:szCs w:val="20"/>
                <w:color w:val="auto"/>
              </w:rPr>
            </w:pPr>
            <w:r>
              <w:rPr>
                <w:rFonts w:ascii="Arial" w:cs="Arial" w:eastAsia="Arial" w:hAnsi="Arial"/>
                <w:sz w:val="14"/>
                <w:szCs w:val="14"/>
                <w:color w:val="auto"/>
              </w:rPr>
              <w:t>Common stock dividends; $0.68 per</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(19.3)</w:t>
            </w:r>
          </w:p>
        </w:tc>
        <w:tc>
          <w:tcPr>
            <w:tcW w:w="160" w:type="dxa"/>
            <w:vAlign w:val="bottom"/>
          </w:tcPr>
          <w:p>
            <w:pPr>
              <w:spacing w:after="0"/>
              <w:rPr>
                <w:sz w:val="12"/>
                <w:szCs w:val="12"/>
                <w:color w:val="auto"/>
              </w:rPr>
            </w:pP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ind w:left="6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89"/>
        </w:trPr>
        <w:tc>
          <w:tcPr>
            <w:tcW w:w="2660" w:type="dxa"/>
            <w:vAlign w:val="bottom"/>
          </w:tcPr>
          <w:p>
            <w:pPr>
              <w:ind w:left="140"/>
              <w:spacing w:after="0"/>
              <w:rPr>
                <w:sz w:val="20"/>
                <w:szCs w:val="20"/>
                <w:color w:val="auto"/>
              </w:rPr>
            </w:pPr>
            <w:r>
              <w:rPr>
                <w:rFonts w:ascii="Arial" w:cs="Arial" w:eastAsia="Arial" w:hAnsi="Arial"/>
                <w:sz w:val="14"/>
                <w:szCs w:val="14"/>
                <w:color w:val="auto"/>
              </w:rPr>
              <w:t>share</w:t>
            </w:r>
          </w:p>
        </w:tc>
        <w:tc>
          <w:tcPr>
            <w:tcW w:w="8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87"/>
        </w:trPr>
        <w:tc>
          <w:tcPr>
            <w:tcW w:w="2660" w:type="dxa"/>
            <w:vAlign w:val="bottom"/>
          </w:tcPr>
          <w:p>
            <w:pPr>
              <w:ind w:left="20"/>
              <w:spacing w:after="0"/>
              <w:rPr>
                <w:sz w:val="20"/>
                <w:szCs w:val="20"/>
                <w:color w:val="auto"/>
              </w:rPr>
            </w:pPr>
            <w:r>
              <w:rPr>
                <w:rFonts w:ascii="Arial" w:cs="Arial" w:eastAsia="Arial" w:hAnsi="Arial"/>
                <w:sz w:val="14"/>
                <w:szCs w:val="14"/>
                <w:color w:val="auto"/>
              </w:rPr>
              <w:t>Balances at May 31, 2025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51.8</w:t>
            </w:r>
          </w:p>
        </w:tc>
        <w:tc>
          <w:tcPr>
            <w:tcW w:w="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1,706.3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84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(23.9)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(716.1)</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1,215.9</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79375</wp:posOffset>
            </wp:positionV>
            <wp:extent cx="71831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6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Nine Months Ended May 30, 2026</w:t>
            </w:r>
          </w:p>
        </w:tc>
        <w:tc>
          <w:tcPr>
            <w:tcW w:w="7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660" w:type="dxa"/>
            <w:vAlign w:val="bottom"/>
          </w:tcPr>
          <w:p>
            <w:pPr>
              <w:spacing w:after="0"/>
              <w:rPr>
                <w:sz w:val="19"/>
                <w:szCs w:val="19"/>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19"/>
                <w:szCs w:val="19"/>
                <w:color w:val="auto"/>
              </w:rPr>
            </w:pPr>
          </w:p>
        </w:tc>
        <w:tc>
          <w:tcPr>
            <w:tcW w:w="88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8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2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Retained</w:t>
            </w:r>
          </w:p>
        </w:tc>
        <w:tc>
          <w:tcPr>
            <w:tcW w:w="14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Total Shareholders'</w:t>
            </w:r>
          </w:p>
        </w:tc>
        <w:tc>
          <w:tcPr>
            <w:tcW w:w="0" w:type="dxa"/>
            <w:vAlign w:val="bottom"/>
          </w:tcPr>
          <w:p>
            <w:pPr>
              <w:spacing w:after="0"/>
              <w:rPr>
                <w:sz w:val="1"/>
                <w:szCs w:val="1"/>
                <w:color w:val="auto"/>
              </w:rPr>
            </w:pPr>
          </w:p>
        </w:tc>
      </w:tr>
      <w:tr>
        <w:trPr>
          <w:trHeight w:val="149"/>
        </w:trPr>
        <w:tc>
          <w:tcPr>
            <w:tcW w:w="2660" w:type="dxa"/>
            <w:vAlign w:val="bottom"/>
            <w:vMerge w:val="restart"/>
          </w:tcPr>
          <w:p>
            <w:pPr>
              <w:ind w:left="20"/>
              <w:spacing w:after="0"/>
              <w:rPr>
                <w:sz w:val="20"/>
                <w:szCs w:val="20"/>
                <w:color w:val="auto"/>
              </w:rPr>
            </w:pPr>
            <w:r>
              <w:rPr>
                <w:rFonts w:ascii="Arial" w:cs="Arial" w:eastAsia="Arial" w:hAnsi="Arial"/>
                <w:sz w:val="14"/>
                <w:szCs w:val="14"/>
                <w:color w:val="auto"/>
              </w:rPr>
              <w:t>(in millions, except per share data)</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2"/>
                <w:szCs w:val="12"/>
                <w:color w:val="auto"/>
              </w:rPr>
            </w:pPr>
          </w:p>
        </w:tc>
        <w:tc>
          <w:tcPr>
            <w:tcW w:w="8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8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Comprehensive</w:t>
            </w:r>
          </w:p>
        </w:tc>
        <w:tc>
          <w:tcPr>
            <w:tcW w:w="7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2"/>
                <w:szCs w:val="12"/>
                <w:color w:val="auto"/>
              </w:rPr>
            </w:pPr>
          </w:p>
        </w:tc>
        <w:tc>
          <w:tcPr>
            <w:tcW w:w="8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6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Income (Loss)</w:t>
            </w:r>
          </w:p>
        </w:tc>
        <w:tc>
          <w:tcPr>
            <w:tcW w:w="7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August 30, 2025</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(714.1)</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1,224.7</w:t>
            </w:r>
          </w:p>
        </w:tc>
        <w:tc>
          <w:tcPr>
            <w:tcW w:w="0" w:type="dxa"/>
            <w:vAlign w:val="bottom"/>
          </w:tcPr>
          <w:p>
            <w:pPr>
              <w:spacing w:after="0"/>
              <w:rPr>
                <w:sz w:val="1"/>
                <w:szCs w:val="1"/>
                <w:color w:val="auto"/>
              </w:rPr>
            </w:pPr>
          </w:p>
        </w:tc>
      </w:tr>
      <w:tr>
        <w:trPr>
          <w:trHeight w:val="198"/>
        </w:trPr>
        <w:tc>
          <w:tcPr>
            <w:tcW w:w="266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15.7</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53"/>
        </w:trPr>
        <w:tc>
          <w:tcPr>
            <w:tcW w:w="266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Issuance of stock for employee benefit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4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6.8</w:t>
            </w: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stock-based awards, net</w:t>
            </w:r>
          </w:p>
        </w:tc>
        <w:tc>
          <w:tcPr>
            <w:tcW w:w="8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gridSpan w:val="2"/>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660" w:type="dxa"/>
            <w:vAlign w:val="bottom"/>
          </w:tcPr>
          <w:p>
            <w:pPr>
              <w:ind w:left="140"/>
              <w:spacing w:after="0"/>
              <w:rPr>
                <w:sz w:val="20"/>
                <w:szCs w:val="20"/>
                <w:color w:val="auto"/>
              </w:rPr>
            </w:pPr>
            <w:r>
              <w:rPr>
                <w:rFonts w:ascii="Arial" w:cs="Arial" w:eastAsia="Arial" w:hAnsi="Arial"/>
                <w:sz w:val="14"/>
                <w:szCs w:val="14"/>
                <w:color w:val="auto"/>
              </w:rPr>
              <w:t>Repurchase of common stock</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53"/>
        </w:trPr>
        <w:tc>
          <w:tcPr>
            <w:tcW w:w="266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Common stock dividends; $1.05 per</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160" w:type="dxa"/>
            <w:vAlign w:val="bottom"/>
            <w:shd w:val="clear" w:color="auto" w:fill="CCEEFF"/>
          </w:tcPr>
          <w:p>
            <w:pPr>
              <w:spacing w:after="0"/>
              <w:rPr>
                <w:sz w:val="13"/>
                <w:szCs w:val="13"/>
                <w:color w:val="auto"/>
              </w:rPr>
            </w:pPr>
          </w:p>
        </w:tc>
        <w:tc>
          <w:tcPr>
            <w:tcW w:w="14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w:t>
            </w:r>
          </w:p>
        </w:tc>
        <w:tc>
          <w:tcPr>
            <w:tcW w:w="8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gridSpan w:val="2"/>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208"/>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May 30, 2026</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1,704.4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(708.9)</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1,234.4</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460" w:type="dxa"/>
            <w:vAlign w:val="bottom"/>
            <w:tcBorders>
              <w:top w:val="single" w:sz="8" w:color="CCEEFF"/>
              <w:bottom w:val="single" w:sz="8" w:color="auto"/>
            </w:tcBorders>
            <w:gridSpan w:val="4"/>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266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Nine Months Ended May 31, 2025</w:t>
            </w: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660" w:type="dxa"/>
            <w:vAlign w:val="bottom"/>
          </w:tcPr>
          <w:p>
            <w:pPr>
              <w:spacing w:after="0"/>
              <w:rPr>
                <w:sz w:val="19"/>
                <w:szCs w:val="19"/>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19"/>
                <w:szCs w:val="19"/>
                <w:color w:val="auto"/>
              </w:rPr>
            </w:pPr>
          </w:p>
        </w:tc>
        <w:tc>
          <w:tcPr>
            <w:tcW w:w="88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8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2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Retained</w:t>
            </w:r>
          </w:p>
        </w:tc>
        <w:tc>
          <w:tcPr>
            <w:tcW w:w="14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Total Shareholders'</w:t>
            </w:r>
          </w:p>
        </w:tc>
        <w:tc>
          <w:tcPr>
            <w:tcW w:w="0" w:type="dxa"/>
            <w:vAlign w:val="bottom"/>
          </w:tcPr>
          <w:p>
            <w:pPr>
              <w:spacing w:after="0"/>
              <w:rPr>
                <w:sz w:val="1"/>
                <w:szCs w:val="1"/>
                <w:color w:val="auto"/>
              </w:rPr>
            </w:pPr>
          </w:p>
        </w:tc>
      </w:tr>
      <w:tr>
        <w:trPr>
          <w:trHeight w:val="148"/>
        </w:trPr>
        <w:tc>
          <w:tcPr>
            <w:tcW w:w="2660" w:type="dxa"/>
            <w:vAlign w:val="bottom"/>
            <w:vMerge w:val="restart"/>
          </w:tcPr>
          <w:p>
            <w:pPr>
              <w:ind w:left="20"/>
              <w:spacing w:after="0"/>
              <w:rPr>
                <w:sz w:val="20"/>
                <w:szCs w:val="20"/>
                <w:color w:val="auto"/>
              </w:rPr>
            </w:pPr>
            <w:r>
              <w:rPr>
                <w:rFonts w:ascii="Arial" w:cs="Arial" w:eastAsia="Arial" w:hAnsi="Arial"/>
                <w:sz w:val="14"/>
                <w:szCs w:val="14"/>
                <w:color w:val="auto"/>
              </w:rPr>
              <w:t>(in millions, except per share data)</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2"/>
                <w:szCs w:val="12"/>
                <w:color w:val="auto"/>
              </w:rPr>
            </w:pPr>
          </w:p>
        </w:tc>
        <w:tc>
          <w:tcPr>
            <w:tcW w:w="8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8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Comprehensive</w:t>
            </w:r>
          </w:p>
        </w:tc>
        <w:tc>
          <w:tcPr>
            <w:tcW w:w="7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2"/>
                <w:szCs w:val="12"/>
                <w:color w:val="auto"/>
              </w:rPr>
            </w:pPr>
          </w:p>
        </w:tc>
        <w:tc>
          <w:tcPr>
            <w:tcW w:w="8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6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Income (Loss)</w:t>
            </w:r>
          </w:p>
        </w:tc>
        <w:tc>
          <w:tcPr>
            <w:tcW w:w="7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August 31, 2024</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1,723.3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(669.7)</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1,273.3</w:t>
            </w:r>
          </w:p>
        </w:tc>
        <w:tc>
          <w:tcPr>
            <w:tcW w:w="0" w:type="dxa"/>
            <w:vAlign w:val="bottom"/>
          </w:tcPr>
          <w:p>
            <w:pPr>
              <w:spacing w:after="0"/>
              <w:rPr>
                <w:sz w:val="1"/>
                <w:szCs w:val="1"/>
                <w:color w:val="auto"/>
              </w:rPr>
            </w:pPr>
          </w:p>
        </w:tc>
      </w:tr>
      <w:tr>
        <w:trPr>
          <w:trHeight w:val="198"/>
        </w:trPr>
        <w:tc>
          <w:tcPr>
            <w:tcW w:w="266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12.1</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53"/>
        </w:trPr>
        <w:tc>
          <w:tcPr>
            <w:tcW w:w="266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Issuance of stock for employee benefit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4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7.1</w:t>
            </w: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stock-based awards, net</w:t>
            </w:r>
          </w:p>
        </w:tc>
        <w:tc>
          <w:tcPr>
            <w:tcW w:w="8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gridSpan w:val="2"/>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660" w:type="dxa"/>
            <w:vAlign w:val="bottom"/>
          </w:tcPr>
          <w:p>
            <w:pPr>
              <w:ind w:left="140"/>
              <w:spacing w:after="0"/>
              <w:rPr>
                <w:sz w:val="20"/>
                <w:szCs w:val="20"/>
                <w:color w:val="auto"/>
              </w:rPr>
            </w:pPr>
            <w:r>
              <w:rPr>
                <w:rFonts w:ascii="Arial" w:cs="Arial" w:eastAsia="Arial" w:hAnsi="Arial"/>
                <w:sz w:val="14"/>
                <w:szCs w:val="14"/>
                <w:color w:val="auto"/>
              </w:rPr>
              <w:t>Repurchase of common stock</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(0.5)</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(1.1)</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(53.6)</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(54.1)</w:t>
            </w:r>
          </w:p>
        </w:tc>
        <w:tc>
          <w:tcPr>
            <w:tcW w:w="0" w:type="dxa"/>
            <w:vAlign w:val="bottom"/>
          </w:tcPr>
          <w:p>
            <w:pPr>
              <w:spacing w:after="0"/>
              <w:rPr>
                <w:sz w:val="1"/>
                <w:szCs w:val="1"/>
                <w:color w:val="auto"/>
              </w:rPr>
            </w:pPr>
          </w:p>
        </w:tc>
      </w:tr>
      <w:tr>
        <w:trPr>
          <w:trHeight w:val="153"/>
        </w:trPr>
        <w:tc>
          <w:tcPr>
            <w:tcW w:w="266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Common stock dividends; $1.02 per</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60" w:type="dxa"/>
            <w:vAlign w:val="bottom"/>
            <w:shd w:val="clear" w:color="auto" w:fill="CCEEFF"/>
          </w:tcPr>
          <w:p>
            <w:pPr>
              <w:spacing w:after="0"/>
              <w:rPr>
                <w:sz w:val="13"/>
                <w:szCs w:val="13"/>
                <w:color w:val="auto"/>
              </w:rPr>
            </w:pPr>
          </w:p>
        </w:tc>
        <w:tc>
          <w:tcPr>
            <w:tcW w:w="14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w:t>
            </w:r>
          </w:p>
        </w:tc>
        <w:tc>
          <w:tcPr>
            <w:tcW w:w="8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gridSpan w:val="2"/>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08"/>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May 31, 2025</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1,706.3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(716.1)</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1,215.9</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70485</wp:posOffset>
            </wp:positionV>
            <wp:extent cx="71831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(All amounts are in millions, except share and per share data, unless otherwise designated)</w:t>
      </w:r>
    </w:p>
    <w:p>
      <w:pPr>
        <w:spacing w:after="0" w:line="240"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1.</w:t>
        <w:tab/>
        <w:t>Basis of Presentation</w:t>
      </w:r>
    </w:p>
    <w:p>
      <w:pPr>
        <w:spacing w:after="0" w:line="16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consolidated financial statements include the accounts of Winnebago Industries, Inc. and its wholly-owned subsidiaries. Intercompany account balances and transactions have been eliminated in consolidation.</w:t>
      </w:r>
    </w:p>
    <w:p>
      <w:pPr>
        <w:spacing w:after="0" w:line="188" w:lineRule="exact"/>
        <w:rPr>
          <w:sz w:val="20"/>
          <w:szCs w:val="20"/>
          <w:color w:val="auto"/>
        </w:rPr>
      </w:pPr>
    </w:p>
    <w:p>
      <w:pPr>
        <w:ind w:right="600"/>
        <w:spacing w:after="0" w:line="291" w:lineRule="auto"/>
        <w:rPr>
          <w:sz w:val="20"/>
          <w:szCs w:val="20"/>
          <w:color w:val="auto"/>
        </w:rPr>
      </w:pPr>
      <w:r>
        <w:rPr>
          <w:rFonts w:ascii="Arial" w:cs="Arial" w:eastAsia="Arial" w:hAnsi="Arial"/>
          <w:sz w:val="16"/>
          <w:szCs w:val="16"/>
          <w:color w:val="auto"/>
        </w:rPr>
        <w:t>The use of the terms "Winnebago Industries," "Winnebago," "we," "our," and "us" in this Quarterly Report on Form 10-Q, unless the context otherwise requires, refers to Winnebago Industries, Inc. and its wholly owned subsidiaries.</w:t>
      </w:r>
    </w:p>
    <w:p>
      <w:pPr>
        <w:spacing w:after="0" w:line="188"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The interim unaudited consolidated financial statements included herein are prepared pursuant to the rules and regulations of the United States (“U.S.”) Securities and Exchange Commission (“SEC”). The information furnished in these consolidated financial statements includes normal recurring adjustments, unless noted otherwise in the Notes to Consolidated Financial Statements, and reflects all adjustments that are, in management’s opinion, necessary for a fair presentation of such financial statements. The consolidated financial statements are prepared in accordance with U.S. Generally Accepted Accounting Principles (“GAAP”). GAAP requires us to make estimates and assumptions that affect amounts reported. Certain information and footnote disclosures normally included in financial statements prepared in accordance with GAAP have been condensed or omitted pursuant to SEC rules and regulations.</w:t>
      </w:r>
    </w:p>
    <w:p>
      <w:pPr>
        <w:spacing w:after="0" w:line="199" w:lineRule="exact"/>
        <w:rPr>
          <w:sz w:val="20"/>
          <w:szCs w:val="20"/>
          <w:color w:val="auto"/>
        </w:rPr>
      </w:pPr>
    </w:p>
    <w:p>
      <w:pPr>
        <w:ind w:right="220"/>
        <w:spacing w:after="0" w:line="277" w:lineRule="auto"/>
        <w:rPr>
          <w:sz w:val="20"/>
          <w:szCs w:val="20"/>
          <w:color w:val="auto"/>
        </w:rPr>
      </w:pPr>
      <w:r>
        <w:rPr>
          <w:rFonts w:ascii="Arial" w:cs="Arial" w:eastAsia="Arial" w:hAnsi="Arial"/>
          <w:sz w:val="16"/>
          <w:szCs w:val="16"/>
          <w:color w:val="auto"/>
        </w:rPr>
        <w:t>The consolidated financial statements included in this Quarterly Report on Form 10-Q should be read in conjunction with the audited consolidated financial statements and notes thereto included in our Annual Report on Form 10-K for the fiscal year ended August 30, 2025 filed with the SEC. Interim results of operations are not necessarily indicative of the results to be expected for the full fiscal year ending August 29, 2026.</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Comprehensive Income</w:t>
      </w:r>
    </w:p>
    <w:p>
      <w:pPr>
        <w:spacing w:after="0" w:line="1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Comprehensive income represents the change in shareholders’ equity from transactions and other events and circumstances from sources other than shareholders. As of May 30, 2026 and May 31, 2025, the difference between comprehensive income and net income was not material.</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Subsequent Events</w:t>
      </w:r>
    </w:p>
    <w:p>
      <w:pPr>
        <w:spacing w:after="0" w:line="115"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In preparing the accompanying unaudited consolidated financial statements, we have evaluated subsequent events for potential recognition and disclosure through the date of this filing, noting no material subsequent events.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September 2025, the Financial Accounting Standards Board ("FASB") issued Accounting Standards Update ("ASU") 2025-06, </w:t>
      </w:r>
      <w:r>
        <w:rPr>
          <w:rFonts w:ascii="Arial" w:cs="Arial" w:eastAsia="Arial" w:hAnsi="Arial"/>
          <w:sz w:val="16"/>
          <w:szCs w:val="16"/>
          <w:i w:val="1"/>
          <w:iCs w:val="1"/>
          <w:color w:val="auto"/>
        </w:rPr>
        <w:t>Intangibles—Goodwill and</w:t>
      </w:r>
    </w:p>
    <w:p>
      <w:pPr>
        <w:spacing w:after="0" w:line="35"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i w:val="1"/>
          <w:iCs w:val="1"/>
          <w:color w:val="auto"/>
        </w:rPr>
        <w:t>Other—Internal-Use Software (Subtopic 350-40): Targeted Improvements to the Accounting for Internal-Use Software</w:t>
      </w:r>
      <w:r>
        <w:rPr>
          <w:rFonts w:ascii="Arial" w:cs="Arial" w:eastAsia="Arial" w:hAnsi="Arial"/>
          <w:sz w:val="16"/>
          <w:szCs w:val="16"/>
          <w:color w:val="auto"/>
        </w:rPr>
        <w:t>, which removes all references to</w:t>
      </w:r>
      <w:r>
        <w:rPr>
          <w:rFonts w:ascii="Arial" w:cs="Arial" w:eastAsia="Arial" w:hAnsi="Arial"/>
          <w:sz w:val="16"/>
          <w:szCs w:val="16"/>
          <w:i w:val="1"/>
          <w:iCs w:val="1"/>
          <w:color w:val="auto"/>
        </w:rPr>
        <w:t xml:space="preserve"> </w:t>
      </w:r>
      <w:r>
        <w:rPr>
          <w:rFonts w:ascii="Arial" w:cs="Arial" w:eastAsia="Arial" w:hAnsi="Arial"/>
          <w:sz w:val="16"/>
          <w:szCs w:val="16"/>
          <w:color w:val="auto"/>
        </w:rPr>
        <w:t>software development project stages and requires entities to start capitalizing software costs when both of the following occur: (i) management has authorized and committed to funding the software project; and (ii) it is probable that the project will be completed and the software will be used to perform the function intended. The new guidance is effective for annual reporting periods beginning after December 15, 2027, and interim periods within those annual periods. We are currently evaluating the impact of the standard on our consolidated financial statements and related disclosures. We will adopt the standard in our Quarterly Report on Form 10-Q in the first quarter of our fiscal year beginning August 27, 2028 and filings thereafter.</w:t>
      </w:r>
    </w:p>
    <w:p>
      <w:pPr>
        <w:spacing w:after="0" w:line="201"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 xml:space="preserve">In November 2024, the FASB issued ASU 2024-04, </w:t>
      </w:r>
      <w:r>
        <w:rPr>
          <w:rFonts w:ascii="Arial" w:cs="Arial" w:eastAsia="Arial" w:hAnsi="Arial"/>
          <w:sz w:val="16"/>
          <w:szCs w:val="16"/>
          <w:i w:val="1"/>
          <w:iCs w:val="1"/>
          <w:color w:val="auto"/>
        </w:rPr>
        <w:t>Debt—Debt with Conversion and Other Options (Subtopic 470-20): Induced Conversions of Convertible</w:t>
      </w:r>
      <w:r>
        <w:rPr>
          <w:rFonts w:ascii="Arial" w:cs="Arial" w:eastAsia="Arial" w:hAnsi="Arial"/>
          <w:sz w:val="16"/>
          <w:szCs w:val="16"/>
          <w:color w:val="auto"/>
        </w:rPr>
        <w:t xml:space="preserve"> </w:t>
      </w:r>
      <w:r>
        <w:rPr>
          <w:rFonts w:ascii="Arial" w:cs="Arial" w:eastAsia="Arial" w:hAnsi="Arial"/>
          <w:sz w:val="16"/>
          <w:szCs w:val="16"/>
          <w:i w:val="1"/>
          <w:iCs w:val="1"/>
          <w:color w:val="auto"/>
        </w:rPr>
        <w:t>Debt Instruments</w:t>
      </w:r>
      <w:r>
        <w:rPr>
          <w:rFonts w:ascii="Arial" w:cs="Arial" w:eastAsia="Arial" w:hAnsi="Arial"/>
          <w:sz w:val="16"/>
          <w:szCs w:val="16"/>
          <w:color w:val="auto"/>
        </w:rPr>
        <w:t>, which clarifies the assessment of whether certain settlements of convertible debt instruments should be accounted for as an inducement</w:t>
      </w:r>
      <w:r>
        <w:rPr>
          <w:rFonts w:ascii="Arial" w:cs="Arial" w:eastAsia="Arial" w:hAnsi="Arial"/>
          <w:sz w:val="16"/>
          <w:szCs w:val="16"/>
          <w:i w:val="1"/>
          <w:iCs w:val="1"/>
          <w:color w:val="auto"/>
        </w:rPr>
        <w:t xml:space="preserve"> </w:t>
      </w:r>
      <w:r>
        <w:rPr>
          <w:rFonts w:ascii="Arial" w:cs="Arial" w:eastAsia="Arial" w:hAnsi="Arial"/>
          <w:sz w:val="16"/>
          <w:szCs w:val="16"/>
          <w:color w:val="auto"/>
        </w:rPr>
        <w:t>conversion or extinguishment of convertible debt. The new guidance is effective for annual reporting periods beginning after December 15, 2025, and interim periods within those annual periods. We are currently evaluating the impact of the standard on our consolidated financial statements and related disclosures. We will adopt the standard in our Quarterly Report on Form 10-Q in the first quarter of our fiscal year beginning August 30, 2026 and filings thereafter.</w:t>
      </w:r>
    </w:p>
    <w:p>
      <w:pPr>
        <w:spacing w:after="0" w:line="195"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 xml:space="preserve">In November 2024, the FASB issued ASU 2024-03, </w:t>
      </w:r>
      <w:r>
        <w:rPr>
          <w:rFonts w:ascii="Arial" w:cs="Arial" w:eastAsia="Arial" w:hAnsi="Arial"/>
          <w:sz w:val="16"/>
          <w:szCs w:val="16"/>
          <w:i w:val="1"/>
          <w:iCs w:val="1"/>
          <w:color w:val="auto"/>
        </w:rPr>
        <w:t>Income Statement—Reporting Comprehensive Income—Expense Disaggregation Disclosures (Subtopic</w:t>
      </w:r>
      <w:r>
        <w:rPr>
          <w:rFonts w:ascii="Arial" w:cs="Arial" w:eastAsia="Arial" w:hAnsi="Arial"/>
          <w:sz w:val="16"/>
          <w:szCs w:val="16"/>
          <w:color w:val="auto"/>
        </w:rPr>
        <w:t xml:space="preserve"> </w:t>
      </w:r>
      <w:r>
        <w:rPr>
          <w:rFonts w:ascii="Arial" w:cs="Arial" w:eastAsia="Arial" w:hAnsi="Arial"/>
          <w:sz w:val="16"/>
          <w:szCs w:val="16"/>
          <w:i w:val="1"/>
          <w:iCs w:val="1"/>
          <w:color w:val="auto"/>
        </w:rPr>
        <w:t>220-40): Disaggregation Of Income Statement Expenses</w:t>
      </w:r>
      <w:r>
        <w:rPr>
          <w:rFonts w:ascii="Arial" w:cs="Arial" w:eastAsia="Arial" w:hAnsi="Arial"/>
          <w:sz w:val="16"/>
          <w:szCs w:val="16"/>
          <w:color w:val="auto"/>
        </w:rPr>
        <w:t>, which requires disclosure of additional disaggregated information about significant expenses within</w:t>
      </w:r>
    </w:p>
    <w:p>
      <w:pPr>
        <w:spacing w:after="0" w:line="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relevant income statement captions, such as purchases of inventory, employee compensation, depreciation, amortization and depletion. The new guidance is effective for annual reporting periods beginning after December 15, 2026, and interim periods within fiscal years beginning after December 15, 2027. We are currently evaluating the impact of the standard on our consolidated financial statements and related disclosures. We will adopt the standard in our Annual Report on Form 10-K for our fiscal year ending August 26, 2028 and filings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79375</wp:posOffset>
            </wp:positionV>
            <wp:extent cx="71831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 xml:space="preserve">In December 2023, the FASB issued ASU 2023-09, </w:t>
      </w:r>
      <w:r>
        <w:rPr>
          <w:rFonts w:ascii="Arial" w:cs="Arial" w:eastAsia="Arial" w:hAnsi="Arial"/>
          <w:sz w:val="16"/>
          <w:szCs w:val="16"/>
          <w:i w:val="1"/>
          <w:iCs w:val="1"/>
          <w:color w:val="auto"/>
        </w:rPr>
        <w:t>Income Taxes (Topic 740): Improvements to Income Tax Disclosures</w:t>
      </w:r>
      <w:r>
        <w:rPr>
          <w:rFonts w:ascii="Arial" w:cs="Arial" w:eastAsia="Arial" w:hAnsi="Arial"/>
          <w:sz w:val="16"/>
          <w:szCs w:val="16"/>
          <w:color w:val="auto"/>
        </w:rPr>
        <w:t>, which requires expanded disclosures primarily related to the effective tax rate reconciliation and income taxes paid. The new guidance is effective for annual reporting periods beginning after December 15, 2024, with early adoption permitted. We are currently evaluating the impact of the standard on our consolidated financial statements and related disclosures. We will adopt the standard in our Annual Report on Form 10-K for our fiscal year ending August 29, 2026 and annual filings thereafter.</w:t>
      </w:r>
    </w:p>
    <w:p>
      <w:pPr>
        <w:spacing w:after="0" w:line="193"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2.</w:t>
        <w:tab/>
        <w:t>Business Segments</w:t>
      </w:r>
    </w:p>
    <w:p>
      <w:pPr>
        <w:spacing w:after="0" w:line="169"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We have nine operating segments: 1) Grand Design towables, 2) Winnebago towables, 3) Winnebago motorhomes, 4) Newmar motorhomes, 5) Grand Design motorhomes, 6) Chris-Craft marine, 7) Barletta marine, 8) Winnebago specialty vehicles, and 9) Lithionics. Financial performance is evaluated based on each operating segment's operating income, as defined below.</w:t>
      </w:r>
    </w:p>
    <w:p>
      <w:pPr>
        <w:spacing w:after="0" w:line="213"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Our three reportable segments are: Towable RV (an aggregation of the Grand Design towables and the Winnebago towables operating segments), Motorhome RV (an aggregation of the Winnebago motorhomes, Newmar motorhomes, and Grand Design motorhomes operating segments), and Marine (an aggregation of the Chris-Craft marine and Barletta marine operating segments). Towable RV is comprised of non-motorized RV products that are generally towed by another vehicle, along with other related manufactured products and services. Motorhome RV is comprised of products that include a motorized chassis, along with other related manufactured products and services. Marine is comprised of products that include boats, along with other related manufactured products and services.</w:t>
      </w:r>
    </w:p>
    <w:p>
      <w:pPr>
        <w:spacing w:after="0" w:line="212" w:lineRule="exact"/>
        <w:rPr>
          <w:sz w:val="20"/>
          <w:szCs w:val="20"/>
          <w:color w:val="auto"/>
        </w:rPr>
      </w:pPr>
    </w:p>
    <w:p>
      <w:pPr>
        <w:jc w:val="both"/>
        <w:ind w:right="140"/>
        <w:spacing w:after="0" w:line="277" w:lineRule="auto"/>
        <w:rPr>
          <w:sz w:val="20"/>
          <w:szCs w:val="20"/>
          <w:color w:val="auto"/>
        </w:rPr>
      </w:pPr>
      <w:r>
        <w:rPr>
          <w:rFonts w:ascii="Arial" w:cs="Arial" w:eastAsia="Arial" w:hAnsi="Arial"/>
          <w:sz w:val="16"/>
          <w:szCs w:val="16"/>
          <w:color w:val="auto"/>
        </w:rPr>
        <w:t>The Corporate / All Other category includes the Winnebago specialty vehicles and Lithionics operating segments as well as certain corporate administration expenses, such as corporate leadership and administration costs. Neither of these operating segments have ever met any of the quantitative thresholds for determining reportable segments.</w:t>
      </w:r>
    </w:p>
    <w:p>
      <w:pPr>
        <w:spacing w:after="0" w:line="186"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Our Chief Executive Officer, who serves as the Chief Operating Decision Maker ("CODM"), regularly reviews consolidated financial results in their entirety and operating segment financial information through operating income and has ultimate responsibility for enterprise decisions. Our CODM is responsible for allocating resources and assessing the performance of the consolidated enterprise and operating segments by reviewing budget to actual comparisons within the financial package regularly provided to him. Each operating segment is allocated resources, and segment management is responsible for operating decisions and assessing performance within their respective operating segment. Capital is allocated to each operating segment by the CODM based on factors such as business size, operating segment performance (measured by operating income), strategic initiatives of both the operating segment and the enterprise, and the total available capital of the consolidated enterprise. The accounting policies of all reportable segments are the same as those described in Note 1 in the Notes to Consolidated Financial Statements included in Item 8 of Part II of our Annual Report on Form 10-K for the fiscal year ended August 30, 2025.</w:t>
      </w:r>
    </w:p>
    <w:p>
      <w:pPr>
        <w:spacing w:after="0" w:line="200" w:lineRule="exact"/>
        <w:rPr>
          <w:sz w:val="20"/>
          <w:szCs w:val="20"/>
          <w:color w:val="auto"/>
        </w:rPr>
      </w:pPr>
    </w:p>
    <w:p>
      <w:pPr>
        <w:spacing w:after="0" w:line="210"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We monitor and evaluate the operating performance of our reportable segments based on operating income. Operating income is defined as net revenues less cost of goods sold (“COGS”) and selling, general, and administrative expenses (“SG&amp;A”).</w:t>
      </w:r>
    </w:p>
    <w:p>
      <w:pPr>
        <w:spacing w:after="0" w:line="175" w:lineRule="exact"/>
        <w:rPr>
          <w:sz w:val="20"/>
          <w:szCs w:val="20"/>
          <w:color w:val="auto"/>
        </w:rPr>
      </w:pPr>
    </w:p>
    <w:p>
      <w:pPr>
        <w:ind w:right="120"/>
        <w:spacing w:after="0" w:line="309" w:lineRule="auto"/>
        <w:rPr>
          <w:sz w:val="20"/>
          <w:szCs w:val="20"/>
          <w:color w:val="auto"/>
        </w:rPr>
      </w:pPr>
      <w:r>
        <w:rPr>
          <w:rFonts w:ascii="Arial" w:cs="Arial" w:eastAsia="Arial" w:hAnsi="Arial"/>
          <w:sz w:val="16"/>
          <w:szCs w:val="16"/>
          <w:color w:val="auto"/>
        </w:rPr>
        <w:t>Identifiable assets of the reportable segments exclude general corporate assets, which principally consist of cash and cash equivalents and certain deferred tax balances. The general corporate assets are included in the Corporate / All Other category.</w:t>
      </w:r>
    </w:p>
    <w:p>
      <w:pPr>
        <w:spacing w:after="0" w:line="161" w:lineRule="exact"/>
        <w:rPr>
          <w:sz w:val="20"/>
          <w:szCs w:val="20"/>
          <w:color w:val="auto"/>
        </w:rPr>
      </w:pPr>
    </w:p>
    <w:p>
      <w:pPr>
        <w:ind w:right="200"/>
        <w:spacing w:after="0" w:line="309" w:lineRule="auto"/>
        <w:rPr>
          <w:sz w:val="20"/>
          <w:szCs w:val="20"/>
          <w:color w:val="auto"/>
        </w:rPr>
      </w:pPr>
      <w:r>
        <w:rPr>
          <w:rFonts w:ascii="Arial" w:cs="Arial" w:eastAsia="Arial" w:hAnsi="Arial"/>
          <w:sz w:val="16"/>
          <w:szCs w:val="16"/>
          <w:color w:val="auto"/>
        </w:rPr>
        <w:t>Net sales and significant expense categories included in operating income by reportable segment as well as a reconciliation to consolidated income before income taxes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70485</wp:posOffset>
            </wp:positionV>
            <wp:extent cx="71831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Three Months Ended May 30, 2026</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7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2"/>
                <w:szCs w:val="12"/>
                <w:color w:val="auto"/>
              </w:rPr>
            </w:pPr>
          </w:p>
        </w:tc>
        <w:tc>
          <w:tcPr>
            <w:tcW w:w="11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Towable RV</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Motorhome RV</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Marine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Segment Total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68"/>
              <w:spacing w:after="0" w:line="143" w:lineRule="exact"/>
              <w:rPr>
                <w:sz w:val="20"/>
                <w:szCs w:val="20"/>
                <w:color w:val="auto"/>
              </w:rPr>
            </w:pPr>
            <w:r>
              <w:rPr>
                <w:rFonts w:ascii="Arial" w:cs="Arial" w:eastAsia="Arial" w:hAnsi="Arial"/>
                <w:sz w:val="14"/>
                <w:szCs w:val="14"/>
                <w:b w:val="1"/>
                <w:bCs w:val="1"/>
                <w:color w:val="auto"/>
              </w:rPr>
              <w:t>Corporate / all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9"/>
        </w:trPr>
        <w:tc>
          <w:tcPr>
            <w:tcW w:w="278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780" w:type="dxa"/>
            <w:vAlign w:val="bottom"/>
            <w:shd w:val="clear" w:color="auto" w:fill="CCEEFF"/>
          </w:tcPr>
          <w:p>
            <w:pPr>
              <w:ind w:left="20"/>
              <w:spacing w:after="0" w:line="196" w:lineRule="exact"/>
              <w:rPr>
                <w:sz w:val="20"/>
                <w:szCs w:val="20"/>
                <w:color w:val="auto"/>
              </w:rPr>
            </w:pPr>
            <w:r>
              <w:rPr>
                <w:rFonts w:ascii="Arial" w:cs="Arial" w:eastAsia="Arial" w:hAnsi="Arial"/>
                <w:sz w:val="14"/>
                <w:szCs w:val="14"/>
                <w:color w:val="auto"/>
              </w:rPr>
              <w:t>Net revenues</w:t>
            </w:r>
            <w:r>
              <w:rPr>
                <w:rFonts w:ascii="Arial" w:cs="Arial" w:eastAsia="Arial" w:hAnsi="Arial"/>
                <w:sz w:val="18"/>
                <w:szCs w:val="18"/>
                <w:color w:val="auto"/>
                <w:vertAlign w:val="superscript"/>
              </w:rPr>
              <w:t>(1)</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274.7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687.8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698.7</w:t>
            </w:r>
          </w:p>
        </w:tc>
        <w:tc>
          <w:tcPr>
            <w:tcW w:w="0" w:type="dxa"/>
            <w:vAlign w:val="bottom"/>
          </w:tcPr>
          <w:p>
            <w:pPr>
              <w:spacing w:after="0"/>
              <w:rPr>
                <w:sz w:val="1"/>
                <w:szCs w:val="1"/>
                <w:color w:val="auto"/>
              </w:rPr>
            </w:pPr>
          </w:p>
        </w:tc>
      </w:tr>
      <w:tr>
        <w:trPr>
          <w:trHeight w:val="189"/>
        </w:trPr>
        <w:tc>
          <w:tcPr>
            <w:tcW w:w="2780" w:type="dxa"/>
            <w:vAlign w:val="bottom"/>
          </w:tcPr>
          <w:p>
            <w:pPr>
              <w:ind w:left="20"/>
              <w:spacing w:after="0"/>
              <w:rPr>
                <w:sz w:val="20"/>
                <w:szCs w:val="20"/>
                <w:color w:val="auto"/>
              </w:rPr>
            </w:pPr>
            <w:r>
              <w:rPr>
                <w:rFonts w:ascii="Arial" w:cs="Arial" w:eastAsia="Arial" w:hAnsi="Arial"/>
                <w:sz w:val="14"/>
                <w:szCs w:val="14"/>
                <w:color w:val="auto"/>
              </w:rPr>
              <w:t>Cost of goods sold</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235.4</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284.0</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79.0</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598.4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Selling, general, and administrative</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23.3</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58.5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78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4"/>
                <w:szCs w:val="14"/>
                <w:color w:val="auto"/>
              </w:rPr>
              <w:t>expenses</w:t>
            </w:r>
            <w:r>
              <w:rPr>
                <w:rFonts w:ascii="Arial" w:cs="Arial" w:eastAsia="Arial" w:hAnsi="Arial"/>
                <w:sz w:val="18"/>
                <w:szCs w:val="18"/>
                <w:color w:val="auto"/>
                <w:vertAlign w:val="superscript"/>
              </w:rPr>
              <w:t>(2)</w:t>
            </w: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gridSpan w:val="2"/>
            <w:vMerge w:val="continue"/>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260" w:type="dxa"/>
            <w:vAlign w:val="bottom"/>
            <w:tcBorders>
              <w:bottom w:val="single" w:sz="8" w:color="auto"/>
            </w:tcBorders>
            <w:gridSpan w:val="2"/>
            <w:vMerge w:val="continue"/>
            <w:shd w:val="clear" w:color="auto" w:fill="CCEEFF"/>
          </w:tcPr>
          <w:p>
            <w:pPr>
              <w:spacing w:after="0"/>
              <w:rPr>
                <w:sz w:val="16"/>
                <w:szCs w:val="16"/>
                <w:color w:val="auto"/>
              </w:rPr>
            </w:pPr>
          </w:p>
        </w:tc>
        <w:tc>
          <w:tcPr>
            <w:tcW w:w="116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gridSpan w:val="2"/>
            <w:vMerge w:val="continue"/>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780" w:type="dxa"/>
            <w:vAlign w:val="bottom"/>
          </w:tcPr>
          <w:p>
            <w:pPr>
              <w:ind w:left="20"/>
              <w:spacing w:after="0"/>
              <w:rPr>
                <w:sz w:val="20"/>
                <w:szCs w:val="20"/>
                <w:color w:val="auto"/>
              </w:rPr>
            </w:pPr>
            <w:r>
              <w:rPr>
                <w:rFonts w:ascii="Arial" w:cs="Arial" w:eastAsia="Arial" w:hAnsi="Arial"/>
                <w:sz w:val="14"/>
                <w:szCs w:val="14"/>
                <w:color w:val="auto"/>
              </w:rPr>
              <w:t>Operating income (loss)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16.0</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9.6</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5.3</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30.9</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(7.9)</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207"/>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Reconciliation to income before income taxes:</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Interest expense, net</w:t>
            </w:r>
          </w:p>
        </w:tc>
        <w:tc>
          <w:tcPr>
            <w:tcW w:w="22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60" w:hanging="149"/>
        <w:spacing w:after="0" w:line="225" w:lineRule="auto"/>
        <w:tabs>
          <w:tab w:leader="none" w:pos="160" w:val="left"/>
        </w:tabs>
        <w:numPr>
          <w:ilvl w:val="0"/>
          <w:numId w:val="2"/>
        </w:numPr>
        <w:rPr>
          <w:rFonts w:ascii="Arial" w:cs="Arial" w:eastAsia="Arial" w:hAnsi="Arial"/>
          <w:sz w:val="18"/>
          <w:szCs w:val="18"/>
          <w:color w:val="auto"/>
          <w:vertAlign w:val="superscript"/>
        </w:rPr>
      </w:pPr>
      <w:r>
        <w:rPr>
          <w:rFonts w:ascii="Arial" w:cs="Arial" w:eastAsia="Arial" w:hAnsi="Arial"/>
          <w:sz w:val="14"/>
          <w:szCs w:val="14"/>
          <w:color w:val="auto"/>
        </w:rPr>
        <w:t>See Note 10 in the Notes to Consolidated Financial Statements for more information on segment revenues.</w:t>
      </w:r>
    </w:p>
    <w:p>
      <w:pPr>
        <w:spacing w:after="0" w:line="26" w:lineRule="exact"/>
        <w:rPr>
          <w:rFonts w:ascii="Arial" w:cs="Arial" w:eastAsia="Arial" w:hAnsi="Arial"/>
          <w:sz w:val="18"/>
          <w:szCs w:val="18"/>
          <w:color w:val="auto"/>
          <w:vertAlign w:val="superscript"/>
        </w:rPr>
      </w:pPr>
    </w:p>
    <w:p>
      <w:pPr>
        <w:ind w:left="20" w:right="240" w:hanging="9"/>
        <w:spacing w:after="0" w:line="211" w:lineRule="auto"/>
        <w:tabs>
          <w:tab w:leader="none" w:pos="160" w:val="left"/>
        </w:tabs>
        <w:numPr>
          <w:ilvl w:val="0"/>
          <w:numId w:val="2"/>
        </w:numPr>
        <w:rPr>
          <w:rFonts w:ascii="Arial" w:cs="Arial" w:eastAsia="Arial" w:hAnsi="Arial"/>
          <w:sz w:val="18"/>
          <w:szCs w:val="18"/>
          <w:color w:val="auto"/>
          <w:vertAlign w:val="superscript"/>
        </w:rPr>
      </w:pPr>
      <w:r>
        <w:rPr>
          <w:rFonts w:ascii="Arial" w:cs="Arial" w:eastAsia="Arial" w:hAnsi="Arial"/>
          <w:sz w:val="14"/>
          <w:szCs w:val="14"/>
          <w:color w:val="auto"/>
        </w:rPr>
        <w:t>Includes compensation for non-production employees, selling and marketing expenses, depreciation and amortization on non-production assets, professional services, and other miscellaneous expenses.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Three Months Ended May 31, 2025</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7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2"/>
                <w:szCs w:val="12"/>
                <w:color w:val="auto"/>
              </w:rPr>
            </w:pPr>
          </w:p>
        </w:tc>
        <w:tc>
          <w:tcPr>
            <w:tcW w:w="11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Towable RV</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Motorhome RV</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Marine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Segment Total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68"/>
              <w:spacing w:after="0" w:line="142" w:lineRule="exact"/>
              <w:rPr>
                <w:sz w:val="20"/>
                <w:szCs w:val="20"/>
                <w:color w:val="auto"/>
              </w:rPr>
            </w:pPr>
            <w:r>
              <w:rPr>
                <w:rFonts w:ascii="Arial" w:cs="Arial" w:eastAsia="Arial" w:hAnsi="Arial"/>
                <w:sz w:val="14"/>
                <w:szCs w:val="14"/>
                <w:b w:val="1"/>
                <w:bCs w:val="1"/>
                <w:color w:val="auto"/>
              </w:rPr>
              <w:t>Corporate / all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9"/>
        </w:trPr>
        <w:tc>
          <w:tcPr>
            <w:tcW w:w="278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780" w:type="dxa"/>
            <w:vAlign w:val="bottom"/>
            <w:shd w:val="clear" w:color="auto" w:fill="CCEEFF"/>
          </w:tcPr>
          <w:p>
            <w:pPr>
              <w:ind w:left="20"/>
              <w:spacing w:after="0" w:line="196" w:lineRule="exact"/>
              <w:rPr>
                <w:sz w:val="20"/>
                <w:szCs w:val="20"/>
                <w:color w:val="auto"/>
              </w:rPr>
            </w:pPr>
            <w:r>
              <w:rPr>
                <w:rFonts w:ascii="Arial" w:cs="Arial" w:eastAsia="Arial" w:hAnsi="Arial"/>
                <w:sz w:val="14"/>
                <w:szCs w:val="14"/>
                <w:color w:val="auto"/>
              </w:rPr>
              <w:t>Net revenues</w:t>
            </w:r>
            <w:r>
              <w:rPr>
                <w:rFonts w:ascii="Arial" w:cs="Arial" w:eastAsia="Arial" w:hAnsi="Arial"/>
                <w:sz w:val="18"/>
                <w:szCs w:val="18"/>
                <w:color w:val="auto"/>
                <w:vertAlign w:val="superscript"/>
              </w:rPr>
              <w:t>(1)</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371.7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763.6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ind w:left="840"/>
              <w:spacing w:after="0"/>
              <w:rPr>
                <w:sz w:val="20"/>
                <w:szCs w:val="20"/>
                <w:color w:val="auto"/>
              </w:rPr>
            </w:pPr>
            <w:r>
              <w:rPr>
                <w:rFonts w:ascii="Arial" w:cs="Arial" w:eastAsia="Arial" w:hAnsi="Arial"/>
                <w:sz w:val="14"/>
                <w:szCs w:val="14"/>
                <w:color w:val="auto"/>
              </w:rPr>
              <w:t>11.5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775.1</w:t>
            </w:r>
          </w:p>
        </w:tc>
        <w:tc>
          <w:tcPr>
            <w:tcW w:w="0" w:type="dxa"/>
            <w:vAlign w:val="bottom"/>
          </w:tcPr>
          <w:p>
            <w:pPr>
              <w:spacing w:after="0"/>
              <w:rPr>
                <w:sz w:val="1"/>
                <w:szCs w:val="1"/>
                <w:color w:val="auto"/>
              </w:rPr>
            </w:pPr>
          </w:p>
        </w:tc>
      </w:tr>
      <w:tr>
        <w:trPr>
          <w:trHeight w:val="198"/>
        </w:trPr>
        <w:tc>
          <w:tcPr>
            <w:tcW w:w="2780" w:type="dxa"/>
            <w:vAlign w:val="bottom"/>
          </w:tcPr>
          <w:p>
            <w:pPr>
              <w:ind w:left="20"/>
              <w:spacing w:after="0"/>
              <w:rPr>
                <w:sz w:val="20"/>
                <w:szCs w:val="20"/>
                <w:color w:val="auto"/>
              </w:rPr>
            </w:pPr>
            <w:r>
              <w:rPr>
                <w:rFonts w:ascii="Arial" w:cs="Arial" w:eastAsia="Arial" w:hAnsi="Arial"/>
                <w:sz w:val="14"/>
                <w:szCs w:val="14"/>
                <w:color w:val="auto"/>
              </w:rPr>
              <w:t>Cost of goods sold</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312.6</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266.4</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82.4</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661.4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78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Selling, general, and administrative</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29.4</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66.3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expenses</w:t>
            </w:r>
            <w:r>
              <w:rPr>
                <w:rFonts w:ascii="Arial" w:cs="Arial" w:eastAsia="Arial" w:hAnsi="Arial"/>
                <w:sz w:val="9"/>
                <w:szCs w:val="9"/>
                <w:color w:val="auto"/>
              </w:rPr>
              <w:t>(2)</w:t>
            </w: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gridSpan w:val="2"/>
            <w:vMerge w:val="continue"/>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260" w:type="dxa"/>
            <w:vAlign w:val="bottom"/>
            <w:tcBorders>
              <w:bottom w:val="single" w:sz="8" w:color="auto"/>
            </w:tcBorders>
            <w:gridSpan w:val="2"/>
            <w:vMerge w:val="continue"/>
            <w:shd w:val="clear" w:color="auto" w:fill="CCEEFF"/>
          </w:tcPr>
          <w:p>
            <w:pPr>
              <w:spacing w:after="0"/>
              <w:rPr>
                <w:sz w:val="16"/>
                <w:szCs w:val="16"/>
                <w:color w:val="auto"/>
              </w:rPr>
            </w:pPr>
          </w:p>
        </w:tc>
        <w:tc>
          <w:tcPr>
            <w:tcW w:w="116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gridSpan w:val="2"/>
            <w:vMerge w:val="continue"/>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780" w:type="dxa"/>
            <w:vAlign w:val="bottom"/>
          </w:tcPr>
          <w:p>
            <w:pPr>
              <w:ind w:left="20"/>
              <w:spacing w:after="0"/>
              <w:rPr>
                <w:sz w:val="20"/>
                <w:szCs w:val="20"/>
                <w:color w:val="auto"/>
              </w:rPr>
            </w:pPr>
            <w:r>
              <w:rPr>
                <w:rFonts w:ascii="Arial" w:cs="Arial" w:eastAsia="Arial" w:hAnsi="Arial"/>
                <w:sz w:val="14"/>
                <w:szCs w:val="14"/>
                <w:color w:val="auto"/>
              </w:rPr>
              <w:t>Operating income (loss)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29.7</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(3.2)</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9.4</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35.9</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80" w:type="dxa"/>
            <w:vAlign w:val="bottom"/>
          </w:tcPr>
          <w:p>
            <w:pPr>
              <w:ind w:left="860"/>
              <w:spacing w:after="0"/>
              <w:rPr>
                <w:sz w:val="20"/>
                <w:szCs w:val="20"/>
                <w:color w:val="auto"/>
              </w:rPr>
            </w:pPr>
            <w:r>
              <w:rPr>
                <w:rFonts w:ascii="Arial" w:cs="Arial" w:eastAsia="Arial" w:hAnsi="Arial"/>
                <w:sz w:val="14"/>
                <w:szCs w:val="14"/>
                <w:color w:val="auto"/>
              </w:rPr>
              <w:t>(5.7)</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203"/>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Reconciliation to income before income taxes:</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780" w:type="dxa"/>
            <w:vAlign w:val="bottom"/>
          </w:tcPr>
          <w:p>
            <w:pPr>
              <w:ind w:left="120"/>
              <w:spacing w:after="0"/>
              <w:rPr>
                <w:sz w:val="20"/>
                <w:szCs w:val="20"/>
                <w:color w:val="auto"/>
              </w:rPr>
            </w:pPr>
            <w:r>
              <w:rPr>
                <w:rFonts w:ascii="Arial" w:cs="Arial" w:eastAsia="Arial" w:hAnsi="Arial"/>
                <w:sz w:val="14"/>
                <w:szCs w:val="14"/>
                <w:color w:val="auto"/>
              </w:rPr>
              <w:t>Interest expense, net</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93"/>
        </w:trPr>
        <w:tc>
          <w:tcPr>
            <w:tcW w:w="2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Non-operating income</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21"/>
        </w:trPr>
        <w:tc>
          <w:tcPr>
            <w:tcW w:w="2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160" w:hanging="149"/>
        <w:spacing w:after="0" w:line="225" w:lineRule="auto"/>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See Note 10 in the Notes to Consolidated Financial Statements for more information on segment revenues.</w:t>
      </w:r>
    </w:p>
    <w:p>
      <w:pPr>
        <w:spacing w:after="0" w:line="26" w:lineRule="exact"/>
        <w:rPr>
          <w:rFonts w:ascii="Arial" w:cs="Arial" w:eastAsia="Arial" w:hAnsi="Arial"/>
          <w:sz w:val="18"/>
          <w:szCs w:val="18"/>
          <w:color w:val="auto"/>
          <w:vertAlign w:val="superscript"/>
        </w:rPr>
      </w:pPr>
    </w:p>
    <w:p>
      <w:pPr>
        <w:ind w:left="20" w:right="240" w:hanging="9"/>
        <w:spacing w:after="0" w:line="211" w:lineRule="auto"/>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Includes compensation for non-production employees, selling and marketing expenses, depreciation and amortization on non-production assets, professional services, and other miscellaneous expenses.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70485</wp:posOffset>
            </wp:positionV>
            <wp:extent cx="71831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4"/>
                <w:szCs w:val="14"/>
                <w:b w:val="1"/>
                <w:bCs w:val="1"/>
                <w:color w:val="auto"/>
              </w:rPr>
              <w:t>Nine Months Ended May 30, 2026</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80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2"/>
                <w:szCs w:val="12"/>
                <w:color w:val="auto"/>
              </w:rPr>
            </w:pPr>
          </w:p>
        </w:tc>
        <w:tc>
          <w:tcPr>
            <w:tcW w:w="11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Towable RV</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Motorhome RV</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Marine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Segment Total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ind w:right="68"/>
              <w:spacing w:after="0" w:line="143" w:lineRule="exact"/>
              <w:rPr>
                <w:sz w:val="20"/>
                <w:szCs w:val="20"/>
                <w:color w:val="auto"/>
              </w:rPr>
            </w:pPr>
            <w:r>
              <w:rPr>
                <w:rFonts w:ascii="Arial" w:cs="Arial" w:eastAsia="Arial" w:hAnsi="Arial"/>
                <w:sz w:val="14"/>
                <w:szCs w:val="14"/>
                <w:b w:val="1"/>
                <w:bCs w:val="1"/>
                <w:color w:val="auto"/>
              </w:rPr>
              <w:t>Corporate / all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9"/>
        </w:trPr>
        <w:tc>
          <w:tcPr>
            <w:tcW w:w="28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00" w:type="dxa"/>
            <w:vAlign w:val="bottom"/>
            <w:shd w:val="clear" w:color="auto" w:fill="CCEEFF"/>
          </w:tcPr>
          <w:p>
            <w:pPr>
              <w:ind w:left="20"/>
              <w:spacing w:after="0" w:line="196" w:lineRule="exact"/>
              <w:rPr>
                <w:sz w:val="20"/>
                <w:szCs w:val="20"/>
                <w:color w:val="auto"/>
              </w:rPr>
            </w:pPr>
            <w:r>
              <w:rPr>
                <w:rFonts w:ascii="Arial" w:cs="Arial" w:eastAsia="Arial" w:hAnsi="Arial"/>
                <w:sz w:val="14"/>
                <w:szCs w:val="14"/>
                <w:color w:val="auto"/>
              </w:rPr>
              <w:t>Net revenues</w:t>
            </w:r>
            <w:r>
              <w:rPr>
                <w:rFonts w:ascii="Arial" w:cs="Arial" w:eastAsia="Arial" w:hAnsi="Arial"/>
                <w:sz w:val="18"/>
                <w:szCs w:val="18"/>
                <w:color w:val="auto"/>
                <w:vertAlign w:val="superscript"/>
              </w:rPr>
              <w:t>(1)</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830.5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933.9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264.1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2,028.5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2,058.8</w:t>
            </w:r>
          </w:p>
        </w:tc>
        <w:tc>
          <w:tcPr>
            <w:tcW w:w="0" w:type="dxa"/>
            <w:vAlign w:val="bottom"/>
          </w:tcPr>
          <w:p>
            <w:pPr>
              <w:spacing w:after="0"/>
              <w:rPr>
                <w:sz w:val="1"/>
                <w:szCs w:val="1"/>
                <w:color w:val="auto"/>
              </w:rPr>
            </w:pPr>
          </w:p>
        </w:tc>
      </w:tr>
      <w:tr>
        <w:trPr>
          <w:trHeight w:val="189"/>
        </w:trPr>
        <w:tc>
          <w:tcPr>
            <w:tcW w:w="2800" w:type="dxa"/>
            <w:vAlign w:val="bottom"/>
          </w:tcPr>
          <w:p>
            <w:pPr>
              <w:ind w:left="20"/>
              <w:spacing w:after="0"/>
              <w:rPr>
                <w:sz w:val="20"/>
                <w:szCs w:val="20"/>
                <w:color w:val="auto"/>
              </w:rPr>
            </w:pPr>
            <w:r>
              <w:rPr>
                <w:rFonts w:ascii="Arial" w:cs="Arial" w:eastAsia="Arial" w:hAnsi="Arial"/>
                <w:sz w:val="14"/>
                <w:szCs w:val="14"/>
                <w:color w:val="auto"/>
              </w:rPr>
              <w:t>Cost of goods sold</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720.8</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825.7</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224.9</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1,771.4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Selling, general, and administrative</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71.5</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82.9</w:t>
            </w:r>
          </w:p>
        </w:tc>
        <w:tc>
          <w:tcPr>
            <w:tcW w:w="2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24.9</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179.3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8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4"/>
                <w:szCs w:val="14"/>
                <w:color w:val="auto"/>
              </w:rPr>
              <w:t>expenses</w:t>
            </w:r>
            <w:r>
              <w:rPr>
                <w:rFonts w:ascii="Arial" w:cs="Arial" w:eastAsia="Arial" w:hAnsi="Arial"/>
                <w:sz w:val="18"/>
                <w:szCs w:val="18"/>
                <w:color w:val="auto"/>
                <w:vertAlign w:val="superscript"/>
              </w:rPr>
              <w:t>(2)</w:t>
            </w: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gridSpan w:val="2"/>
            <w:vMerge w:val="continue"/>
            <w:shd w:val="clear" w:color="auto" w:fill="CCEEFF"/>
          </w:tcPr>
          <w:p>
            <w:pPr>
              <w:spacing w:after="0"/>
              <w:rPr>
                <w:sz w:val="16"/>
                <w:szCs w:val="16"/>
                <w:color w:val="auto"/>
              </w:rPr>
            </w:pPr>
          </w:p>
        </w:tc>
        <w:tc>
          <w:tcPr>
            <w:tcW w:w="1220" w:type="dxa"/>
            <w:vAlign w:val="bottom"/>
            <w:tcBorders>
              <w:bottom w:val="single" w:sz="8" w:color="auto"/>
            </w:tcBorders>
            <w:vMerge w:val="continue"/>
            <w:shd w:val="clear" w:color="auto" w:fill="CCEEFF"/>
          </w:tcPr>
          <w:p>
            <w:pPr>
              <w:spacing w:after="0"/>
              <w:rPr>
                <w:sz w:val="16"/>
                <w:szCs w:val="16"/>
                <w:color w:val="auto"/>
              </w:rPr>
            </w:pPr>
          </w:p>
        </w:tc>
        <w:tc>
          <w:tcPr>
            <w:tcW w:w="260" w:type="dxa"/>
            <w:vAlign w:val="bottom"/>
            <w:tcBorders>
              <w:bottom w:val="single" w:sz="8" w:color="auto"/>
            </w:tcBorders>
            <w:gridSpan w:val="2"/>
            <w:vMerge w:val="continue"/>
            <w:shd w:val="clear" w:color="auto" w:fill="CCEEFF"/>
          </w:tcPr>
          <w:p>
            <w:pPr>
              <w:spacing w:after="0"/>
              <w:rPr>
                <w:sz w:val="16"/>
                <w:szCs w:val="16"/>
                <w:color w:val="auto"/>
              </w:rPr>
            </w:pPr>
          </w:p>
        </w:tc>
        <w:tc>
          <w:tcPr>
            <w:tcW w:w="116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gridSpan w:val="2"/>
            <w:vMerge w:val="continue"/>
            <w:shd w:val="clear" w:color="auto" w:fill="CCEEFF"/>
          </w:tcPr>
          <w:p>
            <w:pPr>
              <w:spacing w:after="0"/>
              <w:rPr>
                <w:sz w:val="16"/>
                <w:szCs w:val="16"/>
                <w:color w:val="auto"/>
              </w:rPr>
            </w:pPr>
          </w:p>
        </w:tc>
        <w:tc>
          <w:tcPr>
            <w:tcW w:w="11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00" w:type="dxa"/>
            <w:vAlign w:val="bottom"/>
          </w:tcPr>
          <w:p>
            <w:pPr>
              <w:ind w:left="20"/>
              <w:spacing w:after="0"/>
              <w:rPr>
                <w:sz w:val="20"/>
                <w:szCs w:val="20"/>
                <w:color w:val="auto"/>
              </w:rPr>
            </w:pPr>
            <w:r>
              <w:rPr>
                <w:rFonts w:ascii="Arial" w:cs="Arial" w:eastAsia="Arial" w:hAnsi="Arial"/>
                <w:sz w:val="14"/>
                <w:szCs w:val="14"/>
                <w:color w:val="auto"/>
              </w:rPr>
              <w:t>Operating income (loss)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38.2</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25.3</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14.3</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77.8</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(29.2)</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48.6</w:t>
            </w:r>
          </w:p>
        </w:tc>
        <w:tc>
          <w:tcPr>
            <w:tcW w:w="0" w:type="dxa"/>
            <w:vAlign w:val="bottom"/>
          </w:tcPr>
          <w:p>
            <w:pPr>
              <w:spacing w:after="0"/>
              <w:rPr>
                <w:sz w:val="1"/>
                <w:szCs w:val="1"/>
                <w:color w:val="auto"/>
              </w:rPr>
            </w:pPr>
          </w:p>
        </w:tc>
      </w:tr>
      <w:tr>
        <w:trPr>
          <w:trHeight w:val="207"/>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Reconciliation to income before income taxes:</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00" w:type="dxa"/>
            <w:vAlign w:val="bottom"/>
          </w:tcPr>
          <w:p>
            <w:pPr>
              <w:ind w:left="120"/>
              <w:spacing w:after="0"/>
              <w:rPr>
                <w:sz w:val="20"/>
                <w:szCs w:val="20"/>
                <w:color w:val="auto"/>
              </w:rPr>
            </w:pPr>
            <w:r>
              <w:rPr>
                <w:rFonts w:ascii="Arial" w:cs="Arial" w:eastAsia="Arial" w:hAnsi="Arial"/>
                <w:sz w:val="14"/>
                <w:szCs w:val="14"/>
                <w:color w:val="auto"/>
              </w:rPr>
              <w:t>Interest expense, net</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203"/>
        </w:trPr>
        <w:tc>
          <w:tcPr>
            <w:tcW w:w="2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Loss on note repurchase</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03"/>
        </w:trPr>
        <w:tc>
          <w:tcPr>
            <w:tcW w:w="28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Non-operating income</w:t>
            </w:r>
          </w:p>
        </w:tc>
        <w:tc>
          <w:tcPr>
            <w:tcW w:w="20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60" w:hanging="149"/>
        <w:spacing w:after="0" w:line="225" w:lineRule="auto"/>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See Note 10 in the Notes to Consolidated Financial Statements for more information on segment revenues.</w:t>
      </w:r>
    </w:p>
    <w:p>
      <w:pPr>
        <w:spacing w:after="0" w:line="13" w:lineRule="exact"/>
        <w:rPr>
          <w:rFonts w:ascii="Arial" w:cs="Arial" w:eastAsia="Arial" w:hAnsi="Arial"/>
          <w:sz w:val="18"/>
          <w:szCs w:val="18"/>
          <w:color w:val="auto"/>
          <w:vertAlign w:val="superscript"/>
        </w:rPr>
      </w:pPr>
    </w:p>
    <w:p>
      <w:pPr>
        <w:ind w:left="20" w:right="240" w:hanging="9"/>
        <w:spacing w:after="0" w:line="244" w:lineRule="auto"/>
        <w:tabs>
          <w:tab w:leader="none" w:pos="160" w:val="left"/>
        </w:tabs>
        <w:numPr>
          <w:ilvl w:val="0"/>
          <w:numId w:val="4"/>
        </w:numPr>
        <w:rPr>
          <w:rFonts w:ascii="Arial" w:cs="Arial" w:eastAsia="Arial" w:hAnsi="Arial"/>
          <w:sz w:val="9"/>
          <w:szCs w:val="9"/>
          <w:color w:val="auto"/>
        </w:rPr>
      </w:pPr>
      <w:r>
        <w:rPr>
          <w:rFonts w:ascii="Arial" w:cs="Arial" w:eastAsia="Arial" w:hAnsi="Arial"/>
          <w:sz w:val="14"/>
          <w:szCs w:val="14"/>
          <w:color w:val="auto"/>
        </w:rPr>
        <w:t>Includes compensation for non-production employees, selling and marketing expenses, depreciation and amortization on non-production assets, professional services, and other miscellaneous expenses.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4"/>
                <w:szCs w:val="14"/>
                <w:b w:val="1"/>
                <w:bCs w:val="1"/>
                <w:color w:val="auto"/>
              </w:rPr>
              <w:t>Nine Months Ended May 31, 2025</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80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2"/>
                <w:szCs w:val="12"/>
                <w:color w:val="auto"/>
              </w:rPr>
            </w:pPr>
          </w:p>
        </w:tc>
        <w:tc>
          <w:tcPr>
            <w:tcW w:w="11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Towable RV</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Motorhome RV</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Marine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Segment Total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ind w:right="68"/>
              <w:spacing w:after="0" w:line="143" w:lineRule="exact"/>
              <w:rPr>
                <w:sz w:val="20"/>
                <w:szCs w:val="20"/>
                <w:color w:val="auto"/>
              </w:rPr>
            </w:pPr>
            <w:r>
              <w:rPr>
                <w:rFonts w:ascii="Arial" w:cs="Arial" w:eastAsia="Arial" w:hAnsi="Arial"/>
                <w:sz w:val="14"/>
                <w:szCs w:val="14"/>
                <w:b w:val="1"/>
                <w:bCs w:val="1"/>
                <w:color w:val="auto"/>
              </w:rPr>
              <w:t>Corporate / all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9"/>
        </w:trPr>
        <w:tc>
          <w:tcPr>
            <w:tcW w:w="28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00" w:type="dxa"/>
            <w:vAlign w:val="bottom"/>
            <w:shd w:val="clear" w:color="auto" w:fill="CCEEFF"/>
          </w:tcPr>
          <w:p>
            <w:pPr>
              <w:ind w:left="20"/>
              <w:spacing w:after="0" w:line="196" w:lineRule="exact"/>
              <w:rPr>
                <w:sz w:val="20"/>
                <w:szCs w:val="20"/>
                <w:color w:val="auto"/>
              </w:rPr>
            </w:pPr>
            <w:r>
              <w:rPr>
                <w:rFonts w:ascii="Arial" w:cs="Arial" w:eastAsia="Arial" w:hAnsi="Arial"/>
                <w:sz w:val="14"/>
                <w:szCs w:val="14"/>
                <w:color w:val="auto"/>
              </w:rPr>
              <w:t>Net revenues</w:t>
            </w:r>
            <w:r>
              <w:rPr>
                <w:rFonts w:ascii="Arial" w:cs="Arial" w:eastAsia="Arial" w:hAnsi="Arial"/>
                <w:sz w:val="18"/>
                <w:szCs w:val="18"/>
                <w:color w:val="auto"/>
                <w:vertAlign w:val="superscript"/>
              </w:rPr>
              <w:t>(1)</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913.9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798.5</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272.9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1,985.3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35.6</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2,020.9</w:t>
            </w:r>
          </w:p>
        </w:tc>
        <w:tc>
          <w:tcPr>
            <w:tcW w:w="0" w:type="dxa"/>
            <w:vAlign w:val="bottom"/>
          </w:tcPr>
          <w:p>
            <w:pPr>
              <w:spacing w:after="0"/>
              <w:rPr>
                <w:sz w:val="1"/>
                <w:szCs w:val="1"/>
                <w:color w:val="auto"/>
              </w:rPr>
            </w:pPr>
          </w:p>
        </w:tc>
      </w:tr>
      <w:tr>
        <w:trPr>
          <w:trHeight w:val="189"/>
        </w:trPr>
        <w:tc>
          <w:tcPr>
            <w:tcW w:w="2800" w:type="dxa"/>
            <w:vAlign w:val="bottom"/>
          </w:tcPr>
          <w:p>
            <w:pPr>
              <w:ind w:left="20"/>
              <w:spacing w:after="0"/>
              <w:rPr>
                <w:sz w:val="20"/>
                <w:szCs w:val="20"/>
                <w:color w:val="auto"/>
              </w:rPr>
            </w:pPr>
            <w:r>
              <w:rPr>
                <w:rFonts w:ascii="Arial" w:cs="Arial" w:eastAsia="Arial" w:hAnsi="Arial"/>
                <w:sz w:val="14"/>
                <w:szCs w:val="14"/>
                <w:color w:val="auto"/>
              </w:rPr>
              <w:t>Cost of goods sold</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780.9</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724.1</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225.1</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1,730.1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Selling, general, and administrative</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81.7</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81.4</w:t>
            </w:r>
          </w:p>
        </w:tc>
        <w:tc>
          <w:tcPr>
            <w:tcW w:w="2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26.8</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189.9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80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color w:val="auto"/>
              </w:rPr>
              <w:t>expenses</w:t>
            </w:r>
            <w:r>
              <w:rPr>
                <w:rFonts w:ascii="Arial" w:cs="Arial" w:eastAsia="Arial" w:hAnsi="Arial"/>
                <w:sz w:val="18"/>
                <w:szCs w:val="18"/>
                <w:color w:val="auto"/>
                <w:vertAlign w:val="superscript"/>
              </w:rPr>
              <w:t>(2)</w:t>
            </w: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auto"/>
            </w:tcBorders>
            <w:gridSpan w:val="2"/>
            <w:vMerge w:val="continue"/>
            <w:shd w:val="clear" w:color="auto" w:fill="CCEEFF"/>
          </w:tcPr>
          <w:p>
            <w:pPr>
              <w:spacing w:after="0"/>
              <w:rPr>
                <w:sz w:val="17"/>
                <w:szCs w:val="17"/>
                <w:color w:val="auto"/>
              </w:rPr>
            </w:pPr>
          </w:p>
        </w:tc>
        <w:tc>
          <w:tcPr>
            <w:tcW w:w="1220" w:type="dxa"/>
            <w:vAlign w:val="bottom"/>
            <w:tcBorders>
              <w:bottom w:val="single" w:sz="8" w:color="auto"/>
            </w:tcBorders>
            <w:vMerge w:val="continue"/>
            <w:shd w:val="clear" w:color="auto" w:fill="CCEEFF"/>
          </w:tcPr>
          <w:p>
            <w:pPr>
              <w:spacing w:after="0"/>
              <w:rPr>
                <w:sz w:val="17"/>
                <w:szCs w:val="17"/>
                <w:color w:val="auto"/>
              </w:rPr>
            </w:pPr>
          </w:p>
        </w:tc>
        <w:tc>
          <w:tcPr>
            <w:tcW w:w="260" w:type="dxa"/>
            <w:vAlign w:val="bottom"/>
            <w:tcBorders>
              <w:bottom w:val="single" w:sz="8" w:color="auto"/>
            </w:tcBorders>
            <w:gridSpan w:val="2"/>
            <w:vMerge w:val="continue"/>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auto"/>
            </w:tcBorders>
            <w:gridSpan w:val="2"/>
            <w:vMerge w:val="continue"/>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800" w:type="dxa"/>
            <w:vAlign w:val="bottom"/>
          </w:tcPr>
          <w:p>
            <w:pPr>
              <w:ind w:left="20"/>
              <w:spacing w:after="0"/>
              <w:rPr>
                <w:sz w:val="20"/>
                <w:szCs w:val="20"/>
                <w:color w:val="auto"/>
              </w:rPr>
            </w:pPr>
            <w:r>
              <w:rPr>
                <w:rFonts w:ascii="Arial" w:cs="Arial" w:eastAsia="Arial" w:hAnsi="Arial"/>
                <w:sz w:val="14"/>
                <w:szCs w:val="14"/>
                <w:color w:val="auto"/>
              </w:rPr>
              <w:t>Operating income (loss)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51.3</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(7.0)</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21.0</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65.3</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(28.2)</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37.1</w:t>
            </w:r>
          </w:p>
        </w:tc>
        <w:tc>
          <w:tcPr>
            <w:tcW w:w="0" w:type="dxa"/>
            <w:vAlign w:val="bottom"/>
          </w:tcPr>
          <w:p>
            <w:pPr>
              <w:spacing w:after="0"/>
              <w:rPr>
                <w:sz w:val="1"/>
                <w:szCs w:val="1"/>
                <w:color w:val="auto"/>
              </w:rPr>
            </w:pPr>
          </w:p>
        </w:tc>
      </w:tr>
      <w:tr>
        <w:trPr>
          <w:trHeight w:val="203"/>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Reconciliation to income before income taxes:</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0" w:type="dxa"/>
            <w:vAlign w:val="bottom"/>
          </w:tcPr>
          <w:p>
            <w:pPr>
              <w:ind w:left="120"/>
              <w:spacing w:after="0"/>
              <w:rPr>
                <w:sz w:val="20"/>
                <w:szCs w:val="20"/>
                <w:color w:val="auto"/>
              </w:rPr>
            </w:pPr>
            <w:r>
              <w:rPr>
                <w:rFonts w:ascii="Arial" w:cs="Arial" w:eastAsia="Arial" w:hAnsi="Arial"/>
                <w:sz w:val="14"/>
                <w:szCs w:val="14"/>
                <w:color w:val="auto"/>
              </w:rPr>
              <w:t>Interest expense, net</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93"/>
        </w:trPr>
        <w:tc>
          <w:tcPr>
            <w:tcW w:w="2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Loss on note repurchase</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3"/>
        </w:trPr>
        <w:tc>
          <w:tcPr>
            <w:tcW w:w="28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Non-operating income</w:t>
            </w:r>
          </w:p>
        </w:tc>
        <w:tc>
          <w:tcPr>
            <w:tcW w:w="20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60" w:hanging="149"/>
        <w:spacing w:after="0" w:line="225" w:lineRule="auto"/>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See Note 10 in the Notes to Consolidated Financial Statements for more information on segment revenues.</w:t>
      </w:r>
    </w:p>
    <w:p>
      <w:pPr>
        <w:spacing w:after="0" w:line="13" w:lineRule="exact"/>
        <w:rPr>
          <w:rFonts w:ascii="Arial" w:cs="Arial" w:eastAsia="Arial" w:hAnsi="Arial"/>
          <w:sz w:val="18"/>
          <w:szCs w:val="18"/>
          <w:color w:val="auto"/>
          <w:vertAlign w:val="superscript"/>
        </w:rPr>
      </w:pPr>
    </w:p>
    <w:p>
      <w:pPr>
        <w:ind w:left="20" w:right="240" w:hanging="9"/>
        <w:spacing w:after="0" w:line="244" w:lineRule="auto"/>
        <w:tabs>
          <w:tab w:leader="none" w:pos="160" w:val="left"/>
        </w:tabs>
        <w:numPr>
          <w:ilvl w:val="0"/>
          <w:numId w:val="5"/>
        </w:numPr>
        <w:rPr>
          <w:rFonts w:ascii="Arial" w:cs="Arial" w:eastAsia="Arial" w:hAnsi="Arial"/>
          <w:sz w:val="9"/>
          <w:szCs w:val="9"/>
          <w:color w:val="auto"/>
        </w:rPr>
      </w:pPr>
      <w:r>
        <w:rPr>
          <w:rFonts w:ascii="Arial" w:cs="Arial" w:eastAsia="Arial" w:hAnsi="Arial"/>
          <w:sz w:val="14"/>
          <w:szCs w:val="14"/>
          <w:color w:val="auto"/>
        </w:rPr>
        <w:t>Includes compensation for non-production employees, selling and marketing expenses, depreciation and amortization on non-production assets, professional services, and other miscellaneous expenses.</w:t>
      </w:r>
    </w:p>
    <w:p>
      <w:pPr>
        <w:sectPr>
          <w:pgSz w:w="11920" w:h="16838" w:orient="portrait"/>
          <w:cols w:equalWidth="0" w:num="1">
            <w:col w:w="11260"/>
          </w:cols>
          <w:pgMar w:left="340" w:top="116" w:right="318"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79375</wp:posOffset>
            </wp:positionV>
            <wp:extent cx="71831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Other financial information by reportable segment and corporate/all other is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center"/>
              <w:ind w:right="68"/>
              <w:spacing w:after="0"/>
              <w:rPr>
                <w:sz w:val="20"/>
                <w:szCs w:val="20"/>
                <w:color w:val="auto"/>
              </w:rPr>
            </w:pPr>
            <w:r>
              <w:rPr>
                <w:rFonts w:ascii="Arial" w:cs="Arial" w:eastAsia="Arial" w:hAnsi="Arial"/>
                <w:sz w:val="14"/>
                <w:szCs w:val="14"/>
                <w:b w:val="1"/>
                <w:bCs w:val="1"/>
                <w:color w:val="auto"/>
              </w:rPr>
              <w:t>Three Months Ended May 30, 2026</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40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2"/>
                <w:szCs w:val="12"/>
                <w:color w:val="auto"/>
              </w:rPr>
            </w:pPr>
          </w:p>
        </w:tc>
        <w:tc>
          <w:tcPr>
            <w:tcW w:w="12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Towable RV</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Motorhome RV</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Marine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Segment Total</w:t>
            </w:r>
          </w:p>
        </w:tc>
        <w:tc>
          <w:tcPr>
            <w:tcW w:w="100" w:type="dxa"/>
            <w:vAlign w:val="bottom"/>
          </w:tcPr>
          <w:p>
            <w:pPr>
              <w:spacing w:after="0"/>
              <w:rPr>
                <w:sz w:val="12"/>
                <w:szCs w:val="12"/>
                <w:color w:val="auto"/>
              </w:rPr>
            </w:pPr>
          </w:p>
        </w:tc>
        <w:tc>
          <w:tcPr>
            <w:tcW w:w="1400" w:type="dxa"/>
            <w:vAlign w:val="bottom"/>
            <w:gridSpan w:val="4"/>
          </w:tcPr>
          <w:p>
            <w:pPr>
              <w:jc w:val="center"/>
              <w:spacing w:after="0" w:line="143" w:lineRule="exact"/>
              <w:rPr>
                <w:sz w:val="20"/>
                <w:szCs w:val="20"/>
                <w:color w:val="auto"/>
              </w:rPr>
            </w:pPr>
            <w:r>
              <w:rPr>
                <w:rFonts w:ascii="Arial" w:cs="Arial" w:eastAsia="Arial" w:hAnsi="Arial"/>
                <w:sz w:val="14"/>
                <w:szCs w:val="14"/>
                <w:b w:val="1"/>
                <w:bCs w:val="1"/>
                <w:color w:val="auto"/>
              </w:rPr>
              <w:t>Corporate / All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9"/>
        </w:trPr>
        <w:tc>
          <w:tcPr>
            <w:tcW w:w="24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gridSpan w:val="3"/>
          </w:tcPr>
          <w:p>
            <w:pPr>
              <w:jc w:val="center"/>
              <w:ind w:left="308"/>
              <w:spacing w:after="0"/>
              <w:rPr>
                <w:sz w:val="20"/>
                <w:szCs w:val="20"/>
                <w:color w:val="auto"/>
              </w:rPr>
            </w:pPr>
            <w:r>
              <w:rPr>
                <w:rFonts w:ascii="Arial" w:cs="Arial" w:eastAsia="Arial" w:hAnsi="Arial"/>
                <w:sz w:val="14"/>
                <w:szCs w:val="14"/>
                <w:b w:val="1"/>
                <w:bCs w:val="1"/>
                <w:color w:val="auto"/>
              </w:rPr>
              <w:t>Other</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expenditures</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860" w:type="dxa"/>
            <w:vAlign w:val="bottom"/>
            <w:gridSpan w:val="2"/>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94"/>
        </w:trPr>
        <w:tc>
          <w:tcPr>
            <w:tcW w:w="24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97"/>
        </w:trPr>
        <w:tc>
          <w:tcPr>
            <w:tcW w:w="24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center"/>
              <w:ind w:right="68"/>
              <w:spacing w:after="0"/>
              <w:rPr>
                <w:sz w:val="20"/>
                <w:szCs w:val="20"/>
                <w:color w:val="auto"/>
              </w:rPr>
            </w:pPr>
            <w:r>
              <w:rPr>
                <w:rFonts w:ascii="Arial" w:cs="Arial" w:eastAsia="Arial" w:hAnsi="Arial"/>
                <w:sz w:val="14"/>
                <w:szCs w:val="14"/>
                <w:b w:val="1"/>
                <w:bCs w:val="1"/>
                <w:color w:val="auto"/>
              </w:rPr>
              <w:t>Three Months Ended May 31, 2025</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rPr>
              <w:t>Corporate / All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Towable RV</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Motorhome RV</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Marine</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Segment Total</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gridSpan w:val="3"/>
          </w:tcPr>
          <w:p>
            <w:pPr>
              <w:jc w:val="center"/>
              <w:ind w:left="308"/>
              <w:spacing w:after="0"/>
              <w:rPr>
                <w:sz w:val="20"/>
                <w:szCs w:val="20"/>
                <w:color w:val="auto"/>
              </w:rPr>
            </w:pPr>
            <w:r>
              <w:rPr>
                <w:rFonts w:ascii="Arial" w:cs="Arial" w:eastAsia="Arial" w:hAnsi="Arial"/>
                <w:sz w:val="14"/>
                <w:szCs w:val="14"/>
                <w:b w:val="1"/>
                <w:bCs w:val="1"/>
                <w:color w:val="auto"/>
              </w:rPr>
              <w:t>Other</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expenditures</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860" w:type="dxa"/>
            <w:vAlign w:val="bottom"/>
            <w:gridSpan w:val="2"/>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94"/>
        </w:trPr>
        <w:tc>
          <w:tcPr>
            <w:tcW w:w="24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210"/>
        </w:trPr>
        <w:tc>
          <w:tcPr>
            <w:tcW w:w="2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center"/>
              <w:ind w:right="68"/>
              <w:spacing w:after="0"/>
              <w:rPr>
                <w:sz w:val="20"/>
                <w:szCs w:val="20"/>
                <w:color w:val="auto"/>
              </w:rPr>
            </w:pPr>
            <w:r>
              <w:rPr>
                <w:rFonts w:ascii="Arial" w:cs="Arial" w:eastAsia="Arial" w:hAnsi="Arial"/>
                <w:sz w:val="14"/>
                <w:szCs w:val="14"/>
                <w:b w:val="1"/>
                <w:bCs w:val="1"/>
                <w:color w:val="auto"/>
              </w:rPr>
              <w:t>Nine Months Ended May 30, 2026</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40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2"/>
                <w:szCs w:val="12"/>
                <w:color w:val="auto"/>
              </w:rPr>
            </w:pPr>
          </w:p>
        </w:tc>
        <w:tc>
          <w:tcPr>
            <w:tcW w:w="12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Towable RV</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Motorhome RV</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Marine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Segment Total</w:t>
            </w:r>
          </w:p>
        </w:tc>
        <w:tc>
          <w:tcPr>
            <w:tcW w:w="100" w:type="dxa"/>
            <w:vAlign w:val="bottom"/>
          </w:tcPr>
          <w:p>
            <w:pPr>
              <w:spacing w:after="0"/>
              <w:rPr>
                <w:sz w:val="12"/>
                <w:szCs w:val="12"/>
                <w:color w:val="auto"/>
              </w:rPr>
            </w:pPr>
          </w:p>
        </w:tc>
        <w:tc>
          <w:tcPr>
            <w:tcW w:w="1400" w:type="dxa"/>
            <w:vAlign w:val="bottom"/>
            <w:gridSpan w:val="4"/>
          </w:tcPr>
          <w:p>
            <w:pPr>
              <w:jc w:val="center"/>
              <w:spacing w:after="0" w:line="143" w:lineRule="exact"/>
              <w:rPr>
                <w:sz w:val="20"/>
                <w:szCs w:val="20"/>
                <w:color w:val="auto"/>
              </w:rPr>
            </w:pPr>
            <w:r>
              <w:rPr>
                <w:rFonts w:ascii="Arial" w:cs="Arial" w:eastAsia="Arial" w:hAnsi="Arial"/>
                <w:sz w:val="14"/>
                <w:szCs w:val="14"/>
                <w:b w:val="1"/>
                <w:bCs w:val="1"/>
                <w:color w:val="auto"/>
              </w:rPr>
              <w:t>Corporate / All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9"/>
        </w:trPr>
        <w:tc>
          <w:tcPr>
            <w:tcW w:w="24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gridSpan w:val="3"/>
          </w:tcPr>
          <w:p>
            <w:pPr>
              <w:jc w:val="center"/>
              <w:ind w:left="308"/>
              <w:spacing w:after="0"/>
              <w:rPr>
                <w:sz w:val="20"/>
                <w:szCs w:val="20"/>
                <w:color w:val="auto"/>
              </w:rPr>
            </w:pPr>
            <w:r>
              <w:rPr>
                <w:rFonts w:ascii="Arial" w:cs="Arial" w:eastAsia="Arial" w:hAnsi="Arial"/>
                <w:sz w:val="14"/>
                <w:szCs w:val="14"/>
                <w:b w:val="1"/>
                <w:bCs w:val="1"/>
                <w:color w:val="auto"/>
              </w:rPr>
              <w:t>Other</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expenditures</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860" w:type="dxa"/>
            <w:vAlign w:val="bottom"/>
            <w:gridSpan w:val="2"/>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87"/>
        </w:trPr>
        <w:tc>
          <w:tcPr>
            <w:tcW w:w="24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38.2</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45.0</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center"/>
              <w:ind w:right="68"/>
              <w:spacing w:after="0"/>
              <w:rPr>
                <w:sz w:val="20"/>
                <w:szCs w:val="20"/>
                <w:color w:val="auto"/>
              </w:rPr>
            </w:pPr>
            <w:r>
              <w:rPr>
                <w:rFonts w:ascii="Arial" w:cs="Arial" w:eastAsia="Arial" w:hAnsi="Arial"/>
                <w:sz w:val="14"/>
                <w:szCs w:val="14"/>
                <w:b w:val="1"/>
                <w:bCs w:val="1"/>
                <w:color w:val="auto"/>
              </w:rPr>
              <w:t>Nine Months Ended May 31, 2025</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40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2"/>
                <w:szCs w:val="12"/>
                <w:color w:val="auto"/>
              </w:rPr>
            </w:pPr>
          </w:p>
        </w:tc>
        <w:tc>
          <w:tcPr>
            <w:tcW w:w="12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Towable RV</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Motorhome RV</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Marine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Segment Total</w:t>
            </w:r>
          </w:p>
        </w:tc>
        <w:tc>
          <w:tcPr>
            <w:tcW w:w="100" w:type="dxa"/>
            <w:vAlign w:val="bottom"/>
          </w:tcPr>
          <w:p>
            <w:pPr>
              <w:spacing w:after="0"/>
              <w:rPr>
                <w:sz w:val="12"/>
                <w:szCs w:val="12"/>
                <w:color w:val="auto"/>
              </w:rPr>
            </w:pPr>
          </w:p>
        </w:tc>
        <w:tc>
          <w:tcPr>
            <w:tcW w:w="1400" w:type="dxa"/>
            <w:vAlign w:val="bottom"/>
            <w:gridSpan w:val="4"/>
          </w:tcPr>
          <w:p>
            <w:pPr>
              <w:jc w:val="center"/>
              <w:spacing w:after="0" w:line="143" w:lineRule="exact"/>
              <w:rPr>
                <w:sz w:val="20"/>
                <w:szCs w:val="20"/>
                <w:color w:val="auto"/>
              </w:rPr>
            </w:pPr>
            <w:r>
              <w:rPr>
                <w:rFonts w:ascii="Arial" w:cs="Arial" w:eastAsia="Arial" w:hAnsi="Arial"/>
                <w:sz w:val="14"/>
                <w:szCs w:val="14"/>
                <w:b w:val="1"/>
                <w:bCs w:val="1"/>
                <w:color w:val="auto"/>
              </w:rPr>
              <w:t>Corporate / All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02"/>
        </w:trPr>
        <w:tc>
          <w:tcPr>
            <w:tcW w:w="240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gridSpan w:val="3"/>
          </w:tcPr>
          <w:p>
            <w:pPr>
              <w:jc w:val="center"/>
              <w:ind w:left="308"/>
              <w:spacing w:after="0"/>
              <w:rPr>
                <w:sz w:val="20"/>
                <w:szCs w:val="20"/>
                <w:color w:val="auto"/>
              </w:rPr>
            </w:pPr>
            <w:r>
              <w:rPr>
                <w:rFonts w:ascii="Arial" w:cs="Arial" w:eastAsia="Arial" w:hAnsi="Arial"/>
                <w:sz w:val="14"/>
                <w:szCs w:val="14"/>
                <w:b w:val="1"/>
                <w:bCs w:val="1"/>
                <w:color w:val="auto"/>
              </w:rPr>
              <w:t>Other</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expenditures</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860" w:type="dxa"/>
            <w:vAlign w:val="bottom"/>
            <w:gridSpan w:val="2"/>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195"/>
        </w:trPr>
        <w:tc>
          <w:tcPr>
            <w:tcW w:w="24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38.1</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45.4</w:t>
            </w:r>
          </w:p>
        </w:tc>
        <w:tc>
          <w:tcPr>
            <w:tcW w:w="0" w:type="dxa"/>
            <w:vAlign w:val="bottom"/>
          </w:tcPr>
          <w:p>
            <w:pPr>
              <w:spacing w:after="0"/>
              <w:rPr>
                <w:sz w:val="1"/>
                <w:szCs w:val="1"/>
                <w:color w:val="auto"/>
              </w:rPr>
            </w:pPr>
          </w:p>
        </w:tc>
      </w:tr>
      <w:tr>
        <w:trPr>
          <w:trHeight w:val="562"/>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b w:val="1"/>
                <w:bCs w:val="1"/>
                <w:color w:val="auto"/>
              </w:rPr>
              <w:t>May 30, 2026</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August 30, 2025</w:t>
            </w:r>
          </w:p>
        </w:tc>
        <w:tc>
          <w:tcPr>
            <w:tcW w:w="0" w:type="dxa"/>
            <w:vAlign w:val="bottom"/>
          </w:tcPr>
          <w:p>
            <w:pPr>
              <w:spacing w:after="0"/>
              <w:rPr>
                <w:sz w:val="1"/>
                <w:szCs w:val="1"/>
                <w:color w:val="auto"/>
              </w:rPr>
            </w:pPr>
          </w:p>
        </w:tc>
      </w:tr>
      <w:tr>
        <w:trPr>
          <w:trHeight w:val="196"/>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00" w:type="dxa"/>
            <w:vAlign w:val="bottom"/>
          </w:tcPr>
          <w:p>
            <w:pPr>
              <w:ind w:left="20"/>
              <w:spacing w:after="0"/>
              <w:rPr>
                <w:sz w:val="20"/>
                <w:szCs w:val="20"/>
                <w:color w:val="auto"/>
              </w:rPr>
            </w:pPr>
            <w:r>
              <w:rPr>
                <w:rFonts w:ascii="Arial" w:cs="Arial" w:eastAsia="Arial" w:hAnsi="Arial"/>
                <w:sz w:val="14"/>
                <w:szCs w:val="14"/>
                <w:color w:val="auto"/>
              </w:rPr>
              <w:t>Towable RV</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
              <w:spacing w:after="0"/>
              <w:rPr>
                <w:sz w:val="20"/>
                <w:szCs w:val="20"/>
                <w:color w:val="auto"/>
              </w:rPr>
            </w:pPr>
            <w:r>
              <w:rPr>
                <w:rFonts w:ascii="Arial" w:cs="Arial" w:eastAsia="Arial" w:hAnsi="Arial"/>
                <w:sz w:val="14"/>
                <w:szCs w:val="14"/>
                <w:color w:val="auto"/>
              </w:rPr>
              <w:t>706.3</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697.0</w:t>
            </w:r>
          </w:p>
        </w:tc>
        <w:tc>
          <w:tcPr>
            <w:tcW w:w="0" w:type="dxa"/>
            <w:vAlign w:val="bottom"/>
          </w:tcPr>
          <w:p>
            <w:pPr>
              <w:spacing w:after="0"/>
              <w:rPr>
                <w:sz w:val="1"/>
                <w:szCs w:val="1"/>
                <w:color w:val="auto"/>
              </w:rPr>
            </w:pPr>
          </w:p>
        </w:tc>
      </w:tr>
      <w:tr>
        <w:trPr>
          <w:trHeight w:val="193"/>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Motorhome RV</w:t>
            </w: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803.0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795.7</w:t>
            </w:r>
          </w:p>
        </w:tc>
        <w:tc>
          <w:tcPr>
            <w:tcW w:w="0" w:type="dxa"/>
            <w:vAlign w:val="bottom"/>
          </w:tcPr>
          <w:p>
            <w:pPr>
              <w:spacing w:after="0"/>
              <w:rPr>
                <w:sz w:val="1"/>
                <w:szCs w:val="1"/>
                <w:color w:val="auto"/>
              </w:rPr>
            </w:pPr>
          </w:p>
        </w:tc>
      </w:tr>
      <w:tr>
        <w:trPr>
          <w:trHeight w:val="203"/>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Marine</w:t>
            </w:r>
          </w:p>
        </w:tc>
        <w:tc>
          <w:tcPr>
            <w:tcW w:w="20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360.8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369.7</w:t>
            </w:r>
          </w:p>
        </w:tc>
        <w:tc>
          <w:tcPr>
            <w:tcW w:w="0" w:type="dxa"/>
            <w:vAlign w:val="bottom"/>
          </w:tcPr>
          <w:p>
            <w:pPr>
              <w:spacing w:after="0"/>
              <w:rPr>
                <w:sz w:val="1"/>
                <w:szCs w:val="1"/>
                <w:color w:val="auto"/>
              </w:rPr>
            </w:pPr>
          </w:p>
        </w:tc>
      </w:tr>
      <w:tr>
        <w:trPr>
          <w:trHeight w:val="196"/>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Segment Total</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1,870.1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1,862.4</w:t>
            </w:r>
          </w:p>
        </w:tc>
        <w:tc>
          <w:tcPr>
            <w:tcW w:w="0" w:type="dxa"/>
            <w:vAlign w:val="bottom"/>
          </w:tcPr>
          <w:p>
            <w:pPr>
              <w:spacing w:after="0"/>
              <w:rPr>
                <w:sz w:val="1"/>
                <w:szCs w:val="1"/>
                <w:color w:val="auto"/>
              </w:rPr>
            </w:pPr>
          </w:p>
        </w:tc>
      </w:tr>
      <w:tr>
        <w:trPr>
          <w:trHeight w:val="189"/>
        </w:trPr>
        <w:tc>
          <w:tcPr>
            <w:tcW w:w="2400" w:type="dxa"/>
            <w:vAlign w:val="bottom"/>
          </w:tcPr>
          <w:p>
            <w:pPr>
              <w:ind w:left="20"/>
              <w:spacing w:after="0"/>
              <w:rPr>
                <w:sz w:val="20"/>
                <w:szCs w:val="20"/>
                <w:color w:val="auto"/>
              </w:rPr>
            </w:pPr>
            <w:r>
              <w:rPr>
                <w:rFonts w:ascii="Arial" w:cs="Arial" w:eastAsia="Arial" w:hAnsi="Arial"/>
                <w:sz w:val="14"/>
                <w:szCs w:val="14"/>
                <w:color w:val="auto"/>
              </w:rPr>
              <w:t>Corporate / All Other</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168.4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292.0</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Consolidated</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2,038.5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2,154.4</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3.</w:t>
        <w:tab/>
        <w:t>Investments and Fair Value Measurements</w:t>
      </w:r>
    </w:p>
    <w:p>
      <w:pPr>
        <w:spacing w:after="0" w:line="169"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In determining the fair value of financial assets and liabilities, we utilize market data or other assumptions that we believe market participants would use in pricing the asset or liability in the principal or most advantageous market and adjust for non-performance and/or other risks associated with us as well as counterparties, as appropriate. Assets and liabilities measured at fair value are classified using the following hierarchy, which is based upon the transparency of inputs to the valuation as of the measurement date:</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 Unadjusted quoted prices which are available in active markets for identical assets or liabilities accessible at the measurement date.</w:t>
      </w:r>
    </w:p>
    <w:p>
      <w:pPr>
        <w:spacing w:after="0" w:line="248" w:lineRule="exact"/>
        <w:rPr>
          <w:sz w:val="20"/>
          <w:szCs w:val="20"/>
          <w:color w:val="auto"/>
        </w:rPr>
      </w:pPr>
    </w:p>
    <w:p>
      <w:pPr>
        <w:ind w:left="640" w:right="480"/>
        <w:spacing w:after="0" w:line="291"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Inputs other than quoted prices included in Level 1 inputs that are observable for the asset or liability, either directly or indirectly, for</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substantially the full term of the asset or liability.</w:t>
      </w:r>
    </w:p>
    <w:p>
      <w:pPr>
        <w:spacing w:after="0" w:line="188" w:lineRule="exact"/>
        <w:rPr>
          <w:sz w:val="20"/>
          <w:szCs w:val="20"/>
          <w:color w:val="auto"/>
        </w:rPr>
      </w:pPr>
    </w:p>
    <w:p>
      <w:pPr>
        <w:ind w:left="640" w:right="320"/>
        <w:spacing w:after="0" w:line="291" w:lineRule="auto"/>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Unobservable inputs for the asset or liability used to measure fair value to the extent that observable inputs are not available, thereby</w:t>
      </w:r>
      <w:r>
        <w:rPr>
          <w:rFonts w:ascii="Arial" w:cs="Arial" w:eastAsia="Arial" w:hAnsi="Arial"/>
          <w:sz w:val="16"/>
          <w:szCs w:val="16"/>
          <w:i w:val="1"/>
          <w:iCs w:val="1"/>
          <w:color w:val="auto"/>
        </w:rPr>
        <w:t xml:space="preserve"> </w:t>
      </w:r>
      <w:r>
        <w:rPr>
          <w:rFonts w:ascii="Arial" w:cs="Arial" w:eastAsia="Arial" w:hAnsi="Arial"/>
          <w:sz w:val="16"/>
          <w:szCs w:val="16"/>
          <w:color w:val="auto"/>
        </w:rPr>
        <w:t>allowing for situations in which there is little, if any, market activity for the asset or liability at the measurement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79375</wp:posOffset>
            </wp:positionV>
            <wp:extent cx="71831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4"/>
        </w:trPr>
        <w:tc>
          <w:tcPr>
            <w:tcW w:w="126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8"/>
              </w:rPr>
              <w:t>Table of Contents</w:t>
            </w:r>
          </w:p>
        </w:tc>
        <w:tc>
          <w:tcPr>
            <w:tcW w:w="3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918"/>
        </w:trPr>
        <w:tc>
          <w:tcPr>
            <w:tcW w:w="6180" w:type="dxa"/>
            <w:vAlign w:val="bottom"/>
            <w:gridSpan w:val="6"/>
          </w:tcPr>
          <w:p>
            <w:pPr>
              <w:spacing w:after="0"/>
              <w:rPr>
                <w:sz w:val="20"/>
                <w:szCs w:val="20"/>
                <w:color w:val="auto"/>
              </w:rPr>
            </w:pPr>
            <w:r>
              <w:rPr>
                <w:rFonts w:ascii="Arial" w:cs="Arial" w:eastAsia="Arial" w:hAnsi="Arial"/>
                <w:sz w:val="16"/>
                <w:szCs w:val="16"/>
                <w:b w:val="1"/>
                <w:bCs w:val="1"/>
                <w:color w:val="auto"/>
              </w:rPr>
              <w:t>Assets and Liabilities that are Measured at Fair Value on a Recurring Basis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89"/>
        </w:trPr>
        <w:tc>
          <w:tcPr>
            <w:tcW w:w="6520" w:type="dxa"/>
            <w:vAlign w:val="bottom"/>
            <w:gridSpan w:val="8"/>
          </w:tcPr>
          <w:p>
            <w:pPr>
              <w:spacing w:after="0"/>
              <w:rPr>
                <w:sz w:val="20"/>
                <w:szCs w:val="20"/>
                <w:color w:val="auto"/>
              </w:rPr>
            </w:pPr>
            <w:r>
              <w:rPr>
                <w:rFonts w:ascii="Arial" w:cs="Arial" w:eastAsia="Arial" w:hAnsi="Arial"/>
                <w:sz w:val="16"/>
                <w:szCs w:val="16"/>
                <w:color w:val="auto"/>
              </w:rPr>
              <w:t>Financial assets and liabilities measured at fair value on a recurring basis are as follows:</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5"/>
        </w:trPr>
        <w:tc>
          <w:tcPr>
            <w:tcW w:w="126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rPr>
              <w:t>Fair Value at</w:t>
            </w: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Fair Value Hierarchy</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r>
      <w:tr>
        <w:trPr>
          <w:trHeight w:val="210"/>
        </w:trPr>
        <w:tc>
          <w:tcPr>
            <w:tcW w:w="448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8"/>
                <w:szCs w:val="18"/>
                <w:color w:val="auto"/>
              </w:rPr>
            </w:pPr>
          </w:p>
        </w:tc>
        <w:tc>
          <w:tcPr>
            <w:tcW w:w="156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rPr>
              <w:t>May 30, 2026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459"/>
              <w:spacing w:after="0"/>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ind w:left="200"/>
              <w:spacing w:after="0"/>
              <w:rPr>
                <w:sz w:val="20"/>
                <w:szCs w:val="20"/>
                <w:color w:val="auto"/>
              </w:rPr>
            </w:pPr>
            <w:r>
              <w:rPr>
                <w:rFonts w:ascii="Arial" w:cs="Arial" w:eastAsia="Arial" w:hAnsi="Arial"/>
                <w:sz w:val="16"/>
                <w:szCs w:val="16"/>
                <w:b w:val="1"/>
                <w:bCs w:val="1"/>
                <w:color w:val="auto"/>
              </w:rPr>
              <w:t>Level 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ind w:left="200"/>
              <w:spacing w:after="0"/>
              <w:rPr>
                <w:sz w:val="20"/>
                <w:szCs w:val="20"/>
                <w:color w:val="auto"/>
              </w:rPr>
            </w:pPr>
            <w:r>
              <w:rPr>
                <w:rFonts w:ascii="Arial" w:cs="Arial" w:eastAsia="Arial" w:hAnsi="Arial"/>
                <w:sz w:val="16"/>
                <w:szCs w:val="16"/>
                <w:b w:val="1"/>
                <w:bCs w:val="1"/>
                <w:color w:val="auto"/>
              </w:rPr>
              <w:t>Level 3</w:t>
            </w:r>
          </w:p>
        </w:tc>
      </w:tr>
      <w:tr>
        <w:trPr>
          <w:trHeight w:val="209"/>
        </w:trPr>
        <w:tc>
          <w:tcPr>
            <w:tcW w:w="44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Assets that fund deferred compensation</w:t>
            </w:r>
          </w:p>
        </w:tc>
        <w:tc>
          <w:tcPr>
            <w:tcW w:w="1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16"/>
        </w:trPr>
        <w:tc>
          <w:tcPr>
            <w:tcW w:w="4480" w:type="dxa"/>
            <w:vAlign w:val="bottom"/>
            <w:gridSpan w:val="2"/>
          </w:tcPr>
          <w:p>
            <w:pPr>
              <w:ind w:left="140"/>
              <w:spacing w:after="0"/>
              <w:rPr>
                <w:sz w:val="20"/>
                <w:szCs w:val="20"/>
                <w:color w:val="auto"/>
              </w:rPr>
            </w:pPr>
            <w:r>
              <w:rPr>
                <w:rFonts w:ascii="Arial" w:cs="Arial" w:eastAsia="Arial" w:hAnsi="Arial"/>
                <w:sz w:val="16"/>
                <w:szCs w:val="16"/>
                <w:color w:val="auto"/>
              </w:rPr>
              <w:t>Domestic equity funds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1.9</w:t>
            </w:r>
          </w:p>
        </w:tc>
        <w:tc>
          <w:tcPr>
            <w:tcW w:w="440" w:type="dxa"/>
            <w:vAlign w:val="bottom"/>
            <w:gridSpan w:val="3"/>
          </w:tcPr>
          <w:p>
            <w:pPr>
              <w:ind w:left="120"/>
              <w:spacing w:after="0"/>
              <w:rPr>
                <w:sz w:val="20"/>
                <w:szCs w:val="20"/>
                <w:color w:val="auto"/>
              </w:rPr>
            </w:pPr>
            <w:r>
              <w:rPr>
                <w:rFonts w:ascii="Arial" w:cs="Arial" w:eastAsia="Arial" w:hAnsi="Arial"/>
                <w:sz w:val="16"/>
                <w:szCs w:val="16"/>
                <w:color w:val="auto"/>
              </w:rPr>
              <w:t>$</w:t>
            </w:r>
          </w:p>
        </w:tc>
        <w:tc>
          <w:tcPr>
            <w:tcW w:w="1280" w:type="dxa"/>
            <w:vAlign w:val="bottom"/>
          </w:tcPr>
          <w:p>
            <w:pPr>
              <w:ind w:left="1040"/>
              <w:spacing w:after="0"/>
              <w:rPr>
                <w:sz w:val="20"/>
                <w:szCs w:val="20"/>
                <w:color w:val="auto"/>
              </w:rPr>
            </w:pPr>
            <w:r>
              <w:rPr>
                <w:rFonts w:ascii="Arial" w:cs="Arial" w:eastAsia="Arial" w:hAnsi="Arial"/>
                <w:sz w:val="16"/>
                <w:szCs w:val="16"/>
                <w:color w:val="auto"/>
              </w:rPr>
              <w:t>—</w:t>
            </w:r>
          </w:p>
        </w:tc>
        <w:tc>
          <w:tcPr>
            <w:tcW w:w="44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tcPr>
          <w:p>
            <w:pPr>
              <w:ind w:left="1060"/>
              <w:spacing w:after="0"/>
              <w:rPr>
                <w:sz w:val="20"/>
                <w:szCs w:val="20"/>
                <w:color w:val="auto"/>
              </w:rPr>
            </w:pPr>
            <w:r>
              <w:rPr>
                <w:rFonts w:ascii="Arial" w:cs="Arial" w:eastAsia="Arial" w:hAnsi="Arial"/>
                <w:sz w:val="16"/>
                <w:szCs w:val="16"/>
                <w:color w:val="auto"/>
              </w:rPr>
              <w:t>—</w:t>
            </w:r>
          </w:p>
        </w:tc>
      </w:tr>
      <w:tr>
        <w:trPr>
          <w:trHeight w:val="203"/>
        </w:trPr>
        <w:tc>
          <w:tcPr>
            <w:tcW w:w="4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International equity funds</w:t>
            </w: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6"/>
                <w:szCs w:val="16"/>
                <w:color w:val="auto"/>
              </w:rPr>
              <w:t>—</w:t>
            </w:r>
          </w:p>
        </w:tc>
      </w:tr>
      <w:tr>
        <w:trPr>
          <w:trHeight w:val="210"/>
        </w:trPr>
        <w:tc>
          <w:tcPr>
            <w:tcW w:w="4480" w:type="dxa"/>
            <w:vAlign w:val="bottom"/>
            <w:gridSpan w:val="2"/>
          </w:tcPr>
          <w:p>
            <w:pPr>
              <w:ind w:left="20"/>
              <w:spacing w:after="0"/>
              <w:rPr>
                <w:sz w:val="20"/>
                <w:szCs w:val="20"/>
                <w:color w:val="auto"/>
              </w:rPr>
            </w:pPr>
            <w:r>
              <w:rPr>
                <w:rFonts w:ascii="Arial" w:cs="Arial" w:eastAsia="Arial" w:hAnsi="Arial"/>
                <w:sz w:val="16"/>
                <w:szCs w:val="16"/>
                <w:color w:val="auto"/>
              </w:rPr>
              <w:t>Total assets at fair value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3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rPr>
              <w:t>—</w:t>
            </w:r>
          </w:p>
        </w:tc>
        <w:tc>
          <w:tcPr>
            <w:tcW w:w="120" w:type="dxa"/>
            <w:vAlign w:val="bottom"/>
            <w:gridSpan w:val="2"/>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16"/>
                <w:szCs w:val="16"/>
                <w:color w:val="auto"/>
              </w:rPr>
              <w:t>—</w:t>
            </w:r>
          </w:p>
        </w:tc>
      </w:tr>
      <w:tr>
        <w:trPr>
          <w:trHeight w:val="20"/>
        </w:trPr>
        <w:tc>
          <w:tcPr>
            <w:tcW w:w="12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rPr>
              <w:t>Fair Value at</w:t>
            </w: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99"/>
              </w:rPr>
              <w:t>Fair Value Hierarchy</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10"/>
        </w:trPr>
        <w:tc>
          <w:tcPr>
            <w:tcW w:w="448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8"/>
                <w:szCs w:val="18"/>
                <w:color w:val="auto"/>
              </w:rPr>
            </w:pPr>
          </w:p>
        </w:tc>
        <w:tc>
          <w:tcPr>
            <w:tcW w:w="15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rPr>
              <w:t>August 30, 2025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439"/>
              <w:spacing w:after="0"/>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ind w:left="220"/>
              <w:spacing w:after="0"/>
              <w:rPr>
                <w:sz w:val="20"/>
                <w:szCs w:val="20"/>
                <w:color w:val="auto"/>
              </w:rPr>
            </w:pPr>
            <w:r>
              <w:rPr>
                <w:rFonts w:ascii="Arial" w:cs="Arial" w:eastAsia="Arial" w:hAnsi="Arial"/>
                <w:sz w:val="16"/>
                <w:szCs w:val="16"/>
                <w:b w:val="1"/>
                <w:bCs w:val="1"/>
                <w:color w:val="auto"/>
              </w:rPr>
              <w:t>Level 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ind w:left="220"/>
              <w:spacing w:after="0"/>
              <w:rPr>
                <w:sz w:val="20"/>
                <w:szCs w:val="20"/>
                <w:color w:val="auto"/>
              </w:rPr>
            </w:pPr>
            <w:r>
              <w:rPr>
                <w:rFonts w:ascii="Arial" w:cs="Arial" w:eastAsia="Arial" w:hAnsi="Arial"/>
                <w:sz w:val="16"/>
                <w:szCs w:val="16"/>
                <w:b w:val="1"/>
                <w:bCs w:val="1"/>
                <w:color w:val="auto"/>
              </w:rPr>
              <w:t>Level 3</w:t>
            </w:r>
          </w:p>
        </w:tc>
      </w:tr>
      <w:tr>
        <w:trPr>
          <w:trHeight w:val="209"/>
        </w:trPr>
        <w:tc>
          <w:tcPr>
            <w:tcW w:w="44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Assets that fund deferred compensation</w:t>
            </w:r>
          </w:p>
        </w:tc>
        <w:tc>
          <w:tcPr>
            <w:tcW w:w="1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16"/>
        </w:trPr>
        <w:tc>
          <w:tcPr>
            <w:tcW w:w="4480" w:type="dxa"/>
            <w:vAlign w:val="bottom"/>
            <w:gridSpan w:val="2"/>
          </w:tcPr>
          <w:p>
            <w:pPr>
              <w:ind w:left="140"/>
              <w:spacing w:after="0"/>
              <w:rPr>
                <w:sz w:val="20"/>
                <w:szCs w:val="20"/>
                <w:color w:val="auto"/>
              </w:rPr>
            </w:pPr>
            <w:r>
              <w:rPr>
                <w:rFonts w:ascii="Arial" w:cs="Arial" w:eastAsia="Arial" w:hAnsi="Arial"/>
                <w:sz w:val="16"/>
                <w:szCs w:val="16"/>
                <w:color w:val="auto"/>
              </w:rPr>
              <w:t>Domestic equity funds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2.1</w:t>
            </w:r>
          </w:p>
        </w:tc>
        <w:tc>
          <w:tcPr>
            <w:tcW w:w="440" w:type="dxa"/>
            <w:vAlign w:val="bottom"/>
            <w:gridSpan w:val="3"/>
          </w:tcPr>
          <w:p>
            <w:pPr>
              <w:ind w:left="140"/>
              <w:spacing w:after="0"/>
              <w:rPr>
                <w:sz w:val="20"/>
                <w:szCs w:val="20"/>
                <w:color w:val="auto"/>
              </w:rPr>
            </w:pPr>
            <w:r>
              <w:rPr>
                <w:rFonts w:ascii="Arial" w:cs="Arial" w:eastAsia="Arial" w:hAnsi="Arial"/>
                <w:sz w:val="16"/>
                <w:szCs w:val="16"/>
                <w:color w:val="auto"/>
              </w:rPr>
              <w:t>$</w:t>
            </w:r>
          </w:p>
        </w:tc>
        <w:tc>
          <w:tcPr>
            <w:tcW w:w="1280" w:type="dxa"/>
            <w:vAlign w:val="bottom"/>
          </w:tcPr>
          <w:p>
            <w:pPr>
              <w:ind w:left="1060"/>
              <w:spacing w:after="0"/>
              <w:rPr>
                <w:sz w:val="20"/>
                <w:szCs w:val="20"/>
                <w:color w:val="auto"/>
              </w:rPr>
            </w:pPr>
            <w:r>
              <w:rPr>
                <w:rFonts w:ascii="Arial" w:cs="Arial" w:eastAsia="Arial" w:hAnsi="Arial"/>
                <w:sz w:val="16"/>
                <w:szCs w:val="16"/>
                <w:color w:val="auto"/>
              </w:rPr>
              <w:t>—</w:t>
            </w:r>
          </w:p>
        </w:tc>
        <w:tc>
          <w:tcPr>
            <w:tcW w:w="440" w:type="dxa"/>
            <w:vAlign w:val="bottom"/>
            <w:gridSpan w:val="3"/>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ind w:left="1060"/>
              <w:spacing w:after="0"/>
              <w:rPr>
                <w:sz w:val="20"/>
                <w:szCs w:val="20"/>
                <w:color w:val="auto"/>
              </w:rPr>
            </w:pPr>
            <w:r>
              <w:rPr>
                <w:rFonts w:ascii="Arial" w:cs="Arial" w:eastAsia="Arial" w:hAnsi="Arial"/>
                <w:sz w:val="16"/>
                <w:szCs w:val="16"/>
                <w:color w:val="auto"/>
              </w:rPr>
              <w:t>—</w:t>
            </w:r>
          </w:p>
        </w:tc>
      </w:tr>
      <w:tr>
        <w:trPr>
          <w:trHeight w:val="203"/>
        </w:trPr>
        <w:tc>
          <w:tcPr>
            <w:tcW w:w="4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International equity funds</w:t>
            </w: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6"/>
                <w:szCs w:val="16"/>
                <w:color w:val="auto"/>
              </w:rPr>
              <w:t>—</w:t>
            </w:r>
          </w:p>
        </w:tc>
      </w:tr>
      <w:tr>
        <w:trPr>
          <w:trHeight w:val="210"/>
        </w:trPr>
        <w:tc>
          <w:tcPr>
            <w:tcW w:w="4480" w:type="dxa"/>
            <w:vAlign w:val="bottom"/>
            <w:gridSpan w:val="2"/>
          </w:tcPr>
          <w:p>
            <w:pPr>
              <w:ind w:left="20"/>
              <w:spacing w:after="0"/>
              <w:rPr>
                <w:sz w:val="20"/>
                <w:szCs w:val="20"/>
                <w:color w:val="auto"/>
              </w:rPr>
            </w:pPr>
            <w:r>
              <w:rPr>
                <w:rFonts w:ascii="Arial" w:cs="Arial" w:eastAsia="Arial" w:hAnsi="Arial"/>
                <w:sz w:val="16"/>
                <w:szCs w:val="16"/>
                <w:color w:val="auto"/>
              </w:rPr>
              <w:t>Total assets at fair value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2.2</w:t>
            </w:r>
          </w:p>
        </w:tc>
        <w:tc>
          <w:tcPr>
            <w:tcW w:w="440" w:type="dxa"/>
            <w:vAlign w:val="bottom"/>
            <w:gridSpan w:val="3"/>
          </w:tcPr>
          <w:p>
            <w:pPr>
              <w:ind w:left="140"/>
              <w:spacing w:after="0"/>
              <w:rPr>
                <w:sz w:val="20"/>
                <w:szCs w:val="20"/>
                <w:color w:val="auto"/>
              </w:rPr>
            </w:pPr>
            <w:r>
              <w:rPr>
                <w:rFonts w:ascii="Arial" w:cs="Arial" w:eastAsia="Arial" w:hAnsi="Arial"/>
                <w:sz w:val="16"/>
                <w:szCs w:val="16"/>
                <w:color w:val="auto"/>
              </w:rPr>
              <w:t>$</w:t>
            </w:r>
          </w:p>
        </w:tc>
        <w:tc>
          <w:tcPr>
            <w:tcW w:w="1280" w:type="dxa"/>
            <w:vAlign w:val="bottom"/>
          </w:tcPr>
          <w:p>
            <w:pPr>
              <w:ind w:left="1060"/>
              <w:spacing w:after="0"/>
              <w:rPr>
                <w:sz w:val="20"/>
                <w:szCs w:val="20"/>
                <w:color w:val="auto"/>
              </w:rPr>
            </w:pPr>
            <w:r>
              <w:rPr>
                <w:rFonts w:ascii="Arial" w:cs="Arial" w:eastAsia="Arial" w:hAnsi="Arial"/>
                <w:sz w:val="16"/>
                <w:szCs w:val="16"/>
                <w:color w:val="auto"/>
              </w:rPr>
              <w:t>—</w:t>
            </w:r>
          </w:p>
        </w:tc>
        <w:tc>
          <w:tcPr>
            <w:tcW w:w="440" w:type="dxa"/>
            <w:vAlign w:val="bottom"/>
            <w:gridSpan w:val="3"/>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ind w:left="1060"/>
              <w:spacing w:after="0"/>
              <w:rPr>
                <w:sz w:val="20"/>
                <w:szCs w:val="20"/>
                <w:color w:val="auto"/>
              </w:rPr>
            </w:pPr>
            <w:r>
              <w:rPr>
                <w:rFonts w:ascii="Arial" w:cs="Arial" w:eastAsia="Arial" w:hAnsi="Arial"/>
                <w:sz w:val="16"/>
                <w:szCs w:val="16"/>
                <w:color w:val="auto"/>
              </w:rPr>
              <w:t>—</w:t>
            </w:r>
          </w:p>
        </w:tc>
      </w:tr>
      <w:tr>
        <w:trPr>
          <w:trHeight w:val="20"/>
        </w:trPr>
        <w:tc>
          <w:tcPr>
            <w:tcW w:w="12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Assets that Fund Deferred Compensation</w:t>
      </w:r>
    </w:p>
    <w:p>
      <w:pPr>
        <w:spacing w:after="0" w:line="125" w:lineRule="exact"/>
        <w:rPr>
          <w:sz w:val="20"/>
          <w:szCs w:val="20"/>
          <w:color w:val="auto"/>
        </w:rPr>
      </w:pPr>
    </w:p>
    <w:p>
      <w:pPr>
        <w:ind w:right="280"/>
        <w:spacing w:after="0" w:line="267" w:lineRule="auto"/>
        <w:rPr>
          <w:sz w:val="20"/>
          <w:szCs w:val="20"/>
          <w:color w:val="auto"/>
        </w:rPr>
      </w:pPr>
      <w:r>
        <w:rPr>
          <w:rFonts w:ascii="Arial" w:cs="Arial" w:eastAsia="Arial" w:hAnsi="Arial"/>
          <w:sz w:val="16"/>
          <w:szCs w:val="16"/>
          <w:color w:val="auto"/>
        </w:rPr>
        <w:t>Our assets that fund deferred compensation are marketable equity securities measured at fair value using quoted market prices and primarily consist of equity-based mutual funds. These securities, used to fund the Executive Deferred Compensation Plan, are classified as Level 1 as they are traded in an active market for which closing stock prices are readily available. Refer to Note 11 in the Notes to Consolidated Financial Statements included in Item 8 of Part II of our Annual Report on Form 10-K for the fiscal year ended August 30, 2025 for additional information regarding these plans.</w:t>
      </w:r>
    </w:p>
    <w:p>
      <w:pPr>
        <w:spacing w:after="0" w:line="194" w:lineRule="exact"/>
        <w:rPr>
          <w:sz w:val="20"/>
          <w:szCs w:val="20"/>
          <w:color w:val="auto"/>
        </w:rPr>
      </w:pPr>
    </w:p>
    <w:p>
      <w:pPr>
        <w:ind w:right="200"/>
        <w:spacing w:after="0" w:line="277" w:lineRule="auto"/>
        <w:rPr>
          <w:sz w:val="20"/>
          <w:szCs w:val="20"/>
          <w:color w:val="auto"/>
        </w:rPr>
      </w:pPr>
      <w:r>
        <w:rPr>
          <w:rFonts w:ascii="Arial" w:cs="Arial" w:eastAsia="Arial" w:hAnsi="Arial"/>
          <w:sz w:val="16"/>
          <w:szCs w:val="16"/>
          <w:color w:val="auto"/>
        </w:rPr>
        <w:t>The proportion of the assets that will fund the deferred compensation payments within a year are included in prepaid expenses and other current assets on the Consolidated Balance Sheets. The remaining assets are classified as non-current and are included in other long-term assets on the Consolidated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Measured at Fair Value on a Nonrecurring Basis</w:t>
      </w:r>
    </w:p>
    <w:p>
      <w:pPr>
        <w:spacing w:after="0" w:line="129"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Certain non-financial assets are measured at fair value on a nonrecurring basis. These assets primarily include goodwill, intangible assets, property, plant and equipment, and right-of-use lease assets. These assets were originally recognized at amounts equal to the fair value determined at date of acquisition or purchase. If certain triggering events occur, or if an annual impairment test is required, we will evaluate the non-financial asset for impairment. If an impairment has occurred, the asset will be written down to its current estimated fair value. No impairments were recorded for non-financial assets in the nine months ended May 30, 2026 or May 31, 2025.</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Not Measured at Fair Value</w:t>
      </w:r>
    </w:p>
    <w:p>
      <w:pPr>
        <w:spacing w:after="0" w:line="115" w:lineRule="exact"/>
        <w:rPr>
          <w:sz w:val="20"/>
          <w:szCs w:val="20"/>
          <w:color w:val="auto"/>
        </w:rPr>
      </w:pPr>
    </w:p>
    <w:p>
      <w:pPr>
        <w:jc w:val="both"/>
        <w:ind w:right="160"/>
        <w:spacing w:after="0" w:line="277" w:lineRule="auto"/>
        <w:rPr>
          <w:sz w:val="20"/>
          <w:szCs w:val="20"/>
          <w:color w:val="auto"/>
        </w:rPr>
      </w:pPr>
      <w:r>
        <w:rPr>
          <w:rFonts w:ascii="Arial" w:cs="Arial" w:eastAsia="Arial" w:hAnsi="Arial"/>
          <w:sz w:val="16"/>
          <w:szCs w:val="16"/>
          <w:color w:val="auto"/>
        </w:rPr>
        <w:t>Certain financial instruments are not measured at fair value but are recorded at carrying amounts approximating fair value based on their short-term nature. These financial instruments include cash and cash equivalents, receivables, accounts payable, and other payables. If these instruments were measured at fair value in the financial statements, they would be classified as Level 1 in the fair value hierarchy.</w:t>
      </w:r>
    </w:p>
    <w:p>
      <w:pPr>
        <w:spacing w:after="0" w:line="186" w:lineRule="exact"/>
        <w:rPr>
          <w:sz w:val="20"/>
          <w:szCs w:val="20"/>
          <w:color w:val="auto"/>
        </w:rPr>
      </w:pPr>
    </w:p>
    <w:p>
      <w:pPr>
        <w:jc w:val="both"/>
        <w:ind w:right="360"/>
        <w:spacing w:after="0" w:line="277" w:lineRule="auto"/>
        <w:rPr>
          <w:sz w:val="20"/>
          <w:szCs w:val="20"/>
          <w:color w:val="auto"/>
        </w:rPr>
      </w:pPr>
      <w:r>
        <w:rPr>
          <w:rFonts w:ascii="Arial" w:cs="Arial" w:eastAsia="Arial" w:hAnsi="Arial"/>
          <w:sz w:val="16"/>
          <w:szCs w:val="16"/>
          <w:color w:val="auto"/>
        </w:rPr>
        <w:t>Our debt obligations are recorded at amortized cost but measured at fair value for disclosure purposes. The fair value of our debt was determined using current quoted prices in active markets for our publicly traded debt obligations, which is classified as Level 1 in the fair value hierarchy. See Note 8 in the Notes to Consolidated Financial Statements included in Item 1 of Part I of this Quarterly Report on Form 10-Q for the fair value of our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79375</wp:posOffset>
            </wp:positionV>
            <wp:extent cx="71831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3" w:right="318"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4"/>
        </w:trPr>
        <w:tc>
          <w:tcPr>
            <w:tcW w:w="126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8"/>
              </w:rPr>
              <w:t>Table of Contents</w:t>
            </w:r>
          </w:p>
        </w:tc>
        <w:tc>
          <w:tcPr>
            <w:tcW w:w="5780" w:type="dxa"/>
            <w:vAlign w:val="bottom"/>
            <w:gridSpan w:val="2"/>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8"/>
        </w:trPr>
        <w:tc>
          <w:tcPr>
            <w:tcW w:w="7040" w:type="dxa"/>
            <w:vAlign w:val="bottom"/>
            <w:gridSpan w:val="3"/>
          </w:tcPr>
          <w:p>
            <w:pPr>
              <w:spacing w:after="0"/>
              <w:rPr>
                <w:sz w:val="20"/>
                <w:szCs w:val="20"/>
                <w:color w:val="auto"/>
              </w:rPr>
            </w:pPr>
            <w:r>
              <w:rPr>
                <w:rFonts w:ascii="Arial" w:cs="Arial" w:eastAsia="Arial" w:hAnsi="Arial"/>
                <w:sz w:val="16"/>
                <w:szCs w:val="16"/>
                <w:b w:val="1"/>
                <w:bCs w:val="1"/>
                <w:color w:val="auto"/>
              </w:rPr>
              <w:t>Note 4.  Inventories</w:t>
            </w: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7040" w:type="dxa"/>
            <w:vAlign w:val="bottom"/>
            <w:gridSpan w:val="3"/>
          </w:tcPr>
          <w:p>
            <w:pPr>
              <w:spacing w:after="0"/>
              <w:rPr>
                <w:sz w:val="20"/>
                <w:szCs w:val="20"/>
                <w:color w:val="auto"/>
              </w:rPr>
            </w:pPr>
            <w:r>
              <w:rPr>
                <w:rFonts w:ascii="Arial" w:cs="Arial" w:eastAsia="Arial" w:hAnsi="Arial"/>
                <w:sz w:val="16"/>
                <w:szCs w:val="16"/>
                <w:color w:val="auto"/>
              </w:rPr>
              <w:t>Inventories consist of the following:</w:t>
            </w: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70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May 30, 2026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August 30, 2025</w:t>
            </w:r>
          </w:p>
        </w:tc>
        <w:tc>
          <w:tcPr>
            <w:tcW w:w="0" w:type="dxa"/>
            <w:vAlign w:val="bottom"/>
          </w:tcPr>
          <w:p>
            <w:pPr>
              <w:spacing w:after="0"/>
              <w:rPr>
                <w:sz w:val="1"/>
                <w:szCs w:val="1"/>
                <w:color w:val="auto"/>
              </w:rPr>
            </w:pPr>
          </w:p>
        </w:tc>
      </w:tr>
      <w:tr>
        <w:trPr>
          <w:trHeight w:val="209"/>
        </w:trPr>
        <w:tc>
          <w:tcPr>
            <w:tcW w:w="70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16"/>
        </w:trPr>
        <w:tc>
          <w:tcPr>
            <w:tcW w:w="7040" w:type="dxa"/>
            <w:vAlign w:val="bottom"/>
            <w:gridSpan w:val="3"/>
          </w:tcPr>
          <w:p>
            <w:pPr>
              <w:ind w:left="20"/>
              <w:spacing w:after="0"/>
              <w:rPr>
                <w:sz w:val="20"/>
                <w:szCs w:val="20"/>
                <w:color w:val="auto"/>
              </w:rPr>
            </w:pPr>
            <w:r>
              <w:rPr>
                <w:rFonts w:ascii="Arial" w:cs="Arial" w:eastAsia="Arial" w:hAnsi="Arial"/>
                <w:sz w:val="16"/>
                <w:szCs w:val="16"/>
                <w:color w:val="auto"/>
              </w:rPr>
              <w:t>Work-in-process</w:t>
            </w:r>
          </w:p>
        </w:tc>
        <w:tc>
          <w:tcPr>
            <w:tcW w:w="3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150.9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121.2</w:t>
            </w:r>
          </w:p>
        </w:tc>
        <w:tc>
          <w:tcPr>
            <w:tcW w:w="0" w:type="dxa"/>
            <w:vAlign w:val="bottom"/>
          </w:tcPr>
          <w:p>
            <w:pPr>
              <w:spacing w:after="0"/>
              <w:rPr>
                <w:sz w:val="1"/>
                <w:szCs w:val="1"/>
                <w:color w:val="auto"/>
              </w:rPr>
            </w:pPr>
          </w:p>
        </w:tc>
      </w:tr>
      <w:tr>
        <w:trPr>
          <w:trHeight w:val="216"/>
        </w:trPr>
        <w:tc>
          <w:tcPr>
            <w:tcW w:w="70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32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282.3</w:t>
            </w:r>
          </w:p>
        </w:tc>
        <w:tc>
          <w:tcPr>
            <w:tcW w:w="0" w:type="dxa"/>
            <w:vAlign w:val="bottom"/>
          </w:tcPr>
          <w:p>
            <w:pPr>
              <w:spacing w:after="0"/>
              <w:rPr>
                <w:sz w:val="1"/>
                <w:szCs w:val="1"/>
                <w:color w:val="auto"/>
              </w:rPr>
            </w:pPr>
          </w:p>
        </w:tc>
      </w:tr>
      <w:tr>
        <w:trPr>
          <w:trHeight w:val="210"/>
        </w:trPr>
        <w:tc>
          <w:tcPr>
            <w:tcW w:w="7040" w:type="dxa"/>
            <w:vAlign w:val="bottom"/>
            <w:gridSpan w:val="3"/>
          </w:tcPr>
          <w:p>
            <w:pPr>
              <w:ind w:left="140"/>
              <w:spacing w:after="0"/>
              <w:rPr>
                <w:sz w:val="20"/>
                <w:szCs w:val="20"/>
                <w:color w:val="auto"/>
              </w:rPr>
            </w:pPr>
            <w:r>
              <w:rPr>
                <w:rFonts w:ascii="Arial" w:cs="Arial" w:eastAsia="Arial" w:hAnsi="Arial"/>
                <w:sz w:val="16"/>
                <w:szCs w:val="16"/>
                <w:color w:val="auto"/>
              </w:rPr>
              <w:t>Total</w:t>
            </w:r>
          </w:p>
        </w:tc>
        <w:tc>
          <w:tcPr>
            <w:tcW w:w="3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486.7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450.3</w:t>
            </w:r>
          </w:p>
        </w:tc>
        <w:tc>
          <w:tcPr>
            <w:tcW w:w="0" w:type="dxa"/>
            <w:vAlign w:val="bottom"/>
          </w:tcPr>
          <w:p>
            <w:pPr>
              <w:spacing w:after="0"/>
              <w:rPr>
                <w:sz w:val="1"/>
                <w:szCs w:val="1"/>
                <w:color w:val="auto"/>
              </w:rPr>
            </w:pPr>
          </w:p>
        </w:tc>
      </w:tr>
      <w:tr>
        <w:trPr>
          <w:trHeight w:val="216"/>
        </w:trPr>
        <w:tc>
          <w:tcPr>
            <w:tcW w:w="70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Less: Excess of First-in, first-out ("FIFO") over LIFO cost</w:t>
            </w:r>
          </w:p>
        </w:tc>
        <w:tc>
          <w:tcPr>
            <w:tcW w:w="32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0" w:type="dxa"/>
            <w:vAlign w:val="bottom"/>
          </w:tcPr>
          <w:p>
            <w:pPr>
              <w:spacing w:after="0"/>
              <w:rPr>
                <w:sz w:val="1"/>
                <w:szCs w:val="1"/>
                <w:color w:val="auto"/>
              </w:rPr>
            </w:pPr>
          </w:p>
        </w:tc>
      </w:tr>
      <w:tr>
        <w:trPr>
          <w:trHeight w:val="209"/>
        </w:trPr>
        <w:tc>
          <w:tcPr>
            <w:tcW w:w="7040" w:type="dxa"/>
            <w:vAlign w:val="bottom"/>
            <w:gridSpan w:val="3"/>
          </w:tcPr>
          <w:p>
            <w:pPr>
              <w:ind w:left="140"/>
              <w:spacing w:after="0"/>
              <w:rPr>
                <w:sz w:val="20"/>
                <w:szCs w:val="20"/>
                <w:color w:val="auto"/>
              </w:rPr>
            </w:pPr>
            <w:r>
              <w:rPr>
                <w:rFonts w:ascii="Arial" w:cs="Arial" w:eastAsia="Arial" w:hAnsi="Arial"/>
                <w:sz w:val="16"/>
                <w:szCs w:val="16"/>
                <w:color w:val="auto"/>
              </w:rPr>
              <w:t>Inventories, net</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396.4</w:t>
            </w:r>
          </w:p>
        </w:tc>
        <w:tc>
          <w:tcPr>
            <w:tcW w:w="0" w:type="dxa"/>
            <w:vAlign w:val="bottom"/>
          </w:tcPr>
          <w:p>
            <w:pPr>
              <w:spacing w:after="0"/>
              <w:rPr>
                <w:sz w:val="1"/>
                <w:szCs w:val="1"/>
                <w:color w:val="auto"/>
              </w:rPr>
            </w:pPr>
          </w:p>
        </w:tc>
      </w:tr>
      <w:tr>
        <w:trPr>
          <w:trHeight w:val="21"/>
        </w:trPr>
        <w:tc>
          <w:tcPr>
            <w:tcW w:w="7040" w:type="dxa"/>
            <w:vAlign w:val="bottom"/>
            <w:gridSpan w:val="3"/>
            <w:vMerge w:val="restart"/>
          </w:tcPr>
          <w:p>
            <w:pPr>
              <w:spacing w:after="0"/>
              <w:rPr>
                <w:sz w:val="20"/>
                <w:szCs w:val="20"/>
                <w:color w:val="auto"/>
              </w:rPr>
            </w:pPr>
            <w:r>
              <w:rPr>
                <w:rFonts w:ascii="Arial" w:cs="Arial" w:eastAsia="Arial" w:hAnsi="Arial"/>
                <w:sz w:val="16"/>
                <w:szCs w:val="16"/>
                <w:color w:val="auto"/>
              </w:rPr>
              <w:t>Inventory valuation methods consist of the following:</w:t>
            </w: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8"/>
        </w:trPr>
        <w:tc>
          <w:tcPr>
            <w:tcW w:w="704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70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May 30, 2026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August 30, 2025</w:t>
            </w:r>
          </w:p>
        </w:tc>
        <w:tc>
          <w:tcPr>
            <w:tcW w:w="0" w:type="dxa"/>
            <w:vAlign w:val="bottom"/>
          </w:tcPr>
          <w:p>
            <w:pPr>
              <w:spacing w:after="0"/>
              <w:rPr>
                <w:sz w:val="1"/>
                <w:szCs w:val="1"/>
                <w:color w:val="auto"/>
              </w:rPr>
            </w:pPr>
          </w:p>
        </w:tc>
      </w:tr>
      <w:tr>
        <w:trPr>
          <w:trHeight w:val="209"/>
        </w:trPr>
        <w:tc>
          <w:tcPr>
            <w:tcW w:w="70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LIFO basis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175.9</w:t>
            </w:r>
          </w:p>
        </w:tc>
        <w:tc>
          <w:tcPr>
            <w:tcW w:w="0" w:type="dxa"/>
            <w:vAlign w:val="bottom"/>
          </w:tcPr>
          <w:p>
            <w:pPr>
              <w:spacing w:after="0"/>
              <w:rPr>
                <w:sz w:val="1"/>
                <w:szCs w:val="1"/>
                <w:color w:val="auto"/>
              </w:rPr>
            </w:pPr>
          </w:p>
        </w:tc>
      </w:tr>
      <w:tr>
        <w:trPr>
          <w:trHeight w:val="216"/>
        </w:trPr>
        <w:tc>
          <w:tcPr>
            <w:tcW w:w="70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FIFO basis</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274.4</w:t>
            </w:r>
          </w:p>
        </w:tc>
        <w:tc>
          <w:tcPr>
            <w:tcW w:w="0" w:type="dxa"/>
            <w:vAlign w:val="bottom"/>
          </w:tcPr>
          <w:p>
            <w:pPr>
              <w:spacing w:after="0"/>
              <w:rPr>
                <w:sz w:val="1"/>
                <w:szCs w:val="1"/>
                <w:color w:val="auto"/>
              </w:rPr>
            </w:pPr>
          </w:p>
        </w:tc>
      </w:tr>
      <w:tr>
        <w:trPr>
          <w:trHeight w:val="230"/>
        </w:trPr>
        <w:tc>
          <w:tcPr>
            <w:tcW w:w="70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450.3</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5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The above value of inventories, before reduction for the LIFO reserve, approximates replacement cost at the respective dates.</w:t>
      </w:r>
    </w:p>
    <w:p>
      <w:pPr>
        <w:spacing w:after="0" w:line="246"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5.</w:t>
        <w:tab/>
        <w:t>Property, Plant, and Equipment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May 30, 2026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August 30, 2025</w:t>
            </w:r>
          </w:p>
        </w:tc>
      </w:tr>
      <w:tr>
        <w:trPr>
          <w:trHeight w:val="209"/>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r>
      <w:tr>
        <w:trPr>
          <w:trHeight w:val="216"/>
        </w:trPr>
        <w:tc>
          <w:tcPr>
            <w:tcW w:w="7040" w:type="dxa"/>
            <w:vAlign w:val="bottom"/>
          </w:tcPr>
          <w:p>
            <w:pPr>
              <w:ind w:left="20"/>
              <w:spacing w:after="0"/>
              <w:rPr>
                <w:sz w:val="20"/>
                <w:szCs w:val="20"/>
                <w:color w:val="auto"/>
              </w:rPr>
            </w:pPr>
            <w:r>
              <w:rPr>
                <w:rFonts w:ascii="Arial" w:cs="Arial" w:eastAsia="Arial" w:hAnsi="Arial"/>
                <w:sz w:val="16"/>
                <w:szCs w:val="16"/>
                <w:color w:val="auto"/>
              </w:rPr>
              <w:t>Buildings and building improvements</w:t>
            </w:r>
          </w:p>
        </w:tc>
        <w:tc>
          <w:tcPr>
            <w:tcW w:w="3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277.2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279.3</w:t>
            </w:r>
          </w:p>
        </w:tc>
      </w:tr>
      <w:tr>
        <w:trPr>
          <w:trHeight w:val="216"/>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3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180.7</w:t>
            </w:r>
          </w:p>
        </w:tc>
      </w:tr>
      <w:tr>
        <w:trPr>
          <w:trHeight w:val="216"/>
        </w:trPr>
        <w:tc>
          <w:tcPr>
            <w:tcW w:w="7040" w:type="dxa"/>
            <w:vAlign w:val="bottom"/>
          </w:tcPr>
          <w:p>
            <w:pPr>
              <w:ind w:left="20"/>
              <w:spacing w:after="0"/>
              <w:rPr>
                <w:sz w:val="20"/>
                <w:szCs w:val="20"/>
                <w:color w:val="auto"/>
              </w:rPr>
            </w:pPr>
            <w:r>
              <w:rPr>
                <w:rFonts w:ascii="Arial" w:cs="Arial" w:eastAsia="Arial" w:hAnsi="Arial"/>
                <w:sz w:val="16"/>
                <w:szCs w:val="16"/>
                <w:color w:val="auto"/>
              </w:rPr>
              <w:t>Software</w:t>
            </w:r>
          </w:p>
        </w:tc>
        <w:tc>
          <w:tcPr>
            <w:tcW w:w="3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78.3</w:t>
            </w:r>
          </w:p>
        </w:tc>
      </w:tr>
      <w:tr>
        <w:trPr>
          <w:trHeight w:val="216"/>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Transportation</w:t>
            </w:r>
          </w:p>
        </w:tc>
        <w:tc>
          <w:tcPr>
            <w:tcW w:w="3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16"/>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Construction in progress</w:t>
            </w: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r>
      <w:tr>
        <w:trPr>
          <w:trHeight w:val="210"/>
        </w:trPr>
        <w:tc>
          <w:tcPr>
            <w:tcW w:w="7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plant, and equipment, gross</w:t>
            </w:r>
          </w:p>
        </w:tc>
        <w:tc>
          <w:tcPr>
            <w:tcW w:w="3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589.6</w:t>
            </w:r>
          </w:p>
        </w:tc>
      </w:tr>
      <w:tr>
        <w:trPr>
          <w:trHeight w:val="216"/>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depreciation</w:t>
            </w: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256.6</w:t>
            </w:r>
          </w:p>
        </w:tc>
      </w:tr>
      <w:tr>
        <w:trPr>
          <w:trHeight w:val="235"/>
        </w:trPr>
        <w:tc>
          <w:tcPr>
            <w:tcW w:w="7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Property, plant, and equipment, net</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333.0</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380"/>
        <w:spacing w:after="0" w:line="309" w:lineRule="auto"/>
        <w:rPr>
          <w:sz w:val="20"/>
          <w:szCs w:val="20"/>
          <w:color w:val="auto"/>
        </w:rPr>
      </w:pPr>
      <w:r>
        <w:rPr>
          <w:rFonts w:ascii="Arial" w:cs="Arial" w:eastAsia="Arial" w:hAnsi="Arial"/>
          <w:sz w:val="16"/>
          <w:szCs w:val="16"/>
          <w:color w:val="auto"/>
        </w:rPr>
        <w:t>Depreciation expense was $9.4 million and $9.6 million for the three months ended May 30, 2026 and May 31, 2025, respectively; and $28.8 million and $28.7 million for the nine months ended May 30, 2026 and May 31,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70485</wp:posOffset>
            </wp:positionV>
            <wp:extent cx="71831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3" w:right="318" w:bottom="1440" w:gutter="0" w:footer="0" w:header="0"/>
        </w:sectPr>
      </w:pPr>
    </w:p>
    <w:bookmarkStart w:id="15" w:name="page16"/>
    <w:bookmarkEnd w:id="15"/>
    <w:tbl>
      <w:tblPr>
        <w:tblLayout w:type="fixed"/>
        <w:tblInd w:w="7" w:type="dxa"/>
        <w:tblCellMar>
          <w:top w:w="0" w:type="dxa"/>
          <w:left w:w="0" w:type="dxa"/>
          <w:bottom w:w="0" w:type="dxa"/>
          <w:right w:w="0" w:type="dxa"/>
        </w:tblCellMar>
      </w:tblPr>
      <w:tr>
        <w:trPr>
          <w:trHeight w:val="184"/>
        </w:trPr>
        <w:tc>
          <w:tcPr>
            <w:tcW w:w="126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8"/>
              </w:rPr>
              <w:t>Table of Contents</w:t>
            </w:r>
          </w:p>
        </w:tc>
        <w:tc>
          <w:tcPr>
            <w:tcW w:w="2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8"/>
        </w:trPr>
        <w:tc>
          <w:tcPr>
            <w:tcW w:w="3940" w:type="dxa"/>
            <w:vAlign w:val="bottom"/>
            <w:gridSpan w:val="2"/>
          </w:tcPr>
          <w:p>
            <w:pPr>
              <w:spacing w:after="0"/>
              <w:rPr>
                <w:sz w:val="20"/>
                <w:szCs w:val="20"/>
                <w:color w:val="auto"/>
              </w:rPr>
            </w:pPr>
            <w:r>
              <w:rPr>
                <w:rFonts w:ascii="Arial" w:cs="Arial" w:eastAsia="Arial" w:hAnsi="Arial"/>
                <w:sz w:val="16"/>
                <w:szCs w:val="16"/>
                <w:b w:val="1"/>
                <w:bCs w:val="1"/>
                <w:color w:val="auto"/>
              </w:rPr>
              <w:t>Note 6.  Goodwill and Intangible Assets</w:t>
            </w: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5600" w:type="dxa"/>
            <w:vAlign w:val="bottom"/>
            <w:gridSpan w:val="4"/>
          </w:tcPr>
          <w:p>
            <w:pPr>
              <w:spacing w:after="0"/>
              <w:rPr>
                <w:sz w:val="20"/>
                <w:szCs w:val="20"/>
                <w:color w:val="auto"/>
              </w:rPr>
            </w:pPr>
            <w:r>
              <w:rPr>
                <w:rFonts w:ascii="Arial" w:cs="Arial" w:eastAsia="Arial" w:hAnsi="Arial"/>
                <w:sz w:val="16"/>
                <w:szCs w:val="16"/>
                <w:color w:val="auto"/>
              </w:rPr>
              <w:t>The carrying amount of goodwill by reportable segment is as follows: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2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tcPr>
          <w:p>
            <w:pPr>
              <w:jc w:val="center"/>
              <w:ind w:right="119"/>
              <w:spacing w:after="0"/>
              <w:rPr>
                <w:sz w:val="20"/>
                <w:szCs w:val="20"/>
                <w:color w:val="auto"/>
              </w:rPr>
            </w:pPr>
            <w:r>
              <w:rPr>
                <w:rFonts w:ascii="Arial" w:cs="Arial" w:eastAsia="Arial" w:hAnsi="Arial"/>
                <w:sz w:val="16"/>
                <w:szCs w:val="16"/>
                <w:b w:val="1"/>
                <w:bCs w:val="1"/>
                <w:color w:val="auto"/>
                <w:w w:val="96"/>
              </w:rPr>
              <w:t>Towable</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99"/>
              <w:spacing w:after="0"/>
              <w:rPr>
                <w:sz w:val="20"/>
                <w:szCs w:val="20"/>
                <w:color w:val="auto"/>
              </w:rPr>
            </w:pPr>
            <w:r>
              <w:rPr>
                <w:rFonts w:ascii="Arial" w:cs="Arial" w:eastAsia="Arial" w:hAnsi="Arial"/>
                <w:sz w:val="16"/>
                <w:szCs w:val="16"/>
                <w:b w:val="1"/>
                <w:bCs w:val="1"/>
                <w:color w:val="auto"/>
              </w:rPr>
              <w:t>Motorhome</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Marine</w:t>
            </w:r>
          </w:p>
        </w:tc>
        <w:tc>
          <w:tcPr>
            <w:tcW w:w="12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Corporate / All</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41"/>
        </w:trPr>
        <w:tc>
          <w:tcPr>
            <w:tcW w:w="3940" w:type="dxa"/>
            <w:vAlign w:val="bottom"/>
            <w:gridSpan w:val="2"/>
            <w:vMerge w:val="restart"/>
          </w:tcPr>
          <w:p>
            <w:pPr>
              <w:ind w:left="20"/>
              <w:spacing w:after="0"/>
              <w:rPr>
                <w:sz w:val="20"/>
                <w:szCs w:val="20"/>
                <w:color w:val="auto"/>
              </w:rPr>
            </w:pPr>
            <w:r>
              <w:rPr>
                <w:rFonts w:ascii="Arial" w:cs="Arial" w:eastAsia="Arial" w:hAnsi="Arial"/>
                <w:sz w:val="14"/>
                <w:szCs w:val="14"/>
                <w:color w:val="auto"/>
              </w:rPr>
              <w:t>(in millions)</w:t>
            </w:r>
          </w:p>
        </w:tc>
        <w:tc>
          <w:tcPr>
            <w:tcW w:w="600" w:type="dxa"/>
            <w:vAlign w:val="bottom"/>
          </w:tcPr>
          <w:p>
            <w:pPr>
              <w:spacing w:after="0"/>
              <w:rPr>
                <w:sz w:val="12"/>
                <w:szCs w:val="12"/>
                <w:color w:val="auto"/>
              </w:rPr>
            </w:pPr>
          </w:p>
        </w:tc>
        <w:tc>
          <w:tcPr>
            <w:tcW w:w="106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w w:val="98"/>
              </w:rPr>
              <w:t>RV</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98"/>
              </w:rPr>
              <w:t>RV</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vMerge w:val="restart"/>
          </w:tcPr>
          <w:p>
            <w:pPr>
              <w:jc w:val="center"/>
              <w:ind w:right="199"/>
              <w:spacing w:after="0"/>
              <w:rPr>
                <w:sz w:val="20"/>
                <w:szCs w:val="20"/>
                <w:color w:val="auto"/>
              </w:rPr>
            </w:pPr>
            <w:r>
              <w:rPr>
                <w:rFonts w:ascii="Arial" w:cs="Arial" w:eastAsia="Arial" w:hAnsi="Arial"/>
                <w:sz w:val="16"/>
                <w:szCs w:val="16"/>
                <w:b w:val="1"/>
                <w:bCs w:val="1"/>
                <w:color w:val="auto"/>
              </w:rPr>
              <w:t>Other</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3940" w:type="dxa"/>
            <w:vAlign w:val="bottom"/>
            <w:tcBorders>
              <w:bottom w:val="single" w:sz="8" w:color="auto"/>
            </w:tcBorders>
            <w:gridSpan w:val="2"/>
            <w:vMerge w:val="continue"/>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3940" w:type="dxa"/>
            <w:vAlign w:val="bottom"/>
            <w:gridSpan w:val="2"/>
            <w:shd w:val="clear" w:color="auto" w:fill="CCEEFF"/>
          </w:tcPr>
          <w:p>
            <w:pPr>
              <w:ind w:left="20"/>
              <w:spacing w:after="0" w:line="210" w:lineRule="exact"/>
              <w:rPr>
                <w:sz w:val="20"/>
                <w:szCs w:val="20"/>
                <w:color w:val="auto"/>
              </w:rPr>
            </w:pPr>
            <w:r>
              <w:rPr>
                <w:rFonts w:ascii="Arial" w:cs="Arial" w:eastAsia="Arial" w:hAnsi="Arial"/>
                <w:sz w:val="16"/>
                <w:szCs w:val="16"/>
                <w:color w:val="auto"/>
              </w:rPr>
              <w:t>Balances at May 30, 2026 and August 30, 2025</w:t>
            </w:r>
            <w:r>
              <w:rPr>
                <w:rFonts w:ascii="Arial" w:cs="Arial" w:eastAsia="Arial" w:hAnsi="Arial"/>
                <w:sz w:val="21"/>
                <w:szCs w:val="21"/>
                <w:color w:val="auto"/>
                <w:vertAlign w:val="superscript"/>
              </w:rPr>
              <w:t>(1)</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484.2</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147" w:hanging="147"/>
        <w:spacing w:after="0"/>
        <w:tabs>
          <w:tab w:leader="none" w:pos="147" w:val="left"/>
        </w:tabs>
        <w:numPr>
          <w:ilvl w:val="0"/>
          <w:numId w:val="6"/>
        </w:numPr>
        <w:rPr>
          <w:rFonts w:ascii="Arial" w:cs="Arial" w:eastAsia="Arial" w:hAnsi="Arial"/>
          <w:sz w:val="9"/>
          <w:szCs w:val="9"/>
          <w:color w:val="auto"/>
        </w:rPr>
      </w:pPr>
      <w:r>
        <w:rPr>
          <w:rFonts w:ascii="Arial" w:cs="Arial" w:eastAsia="Arial" w:hAnsi="Arial"/>
          <w:sz w:val="14"/>
          <w:szCs w:val="14"/>
          <w:color w:val="auto"/>
        </w:rPr>
        <w:t>There was no activity in the nine months ended May 30, 2026.</w:t>
      </w:r>
    </w:p>
    <w:p>
      <w:pPr>
        <w:spacing w:after="0" w:line="361" w:lineRule="exact"/>
        <w:rPr>
          <w:sz w:val="20"/>
          <w:szCs w:val="20"/>
          <w:color w:val="auto"/>
        </w:rPr>
      </w:pPr>
    </w:p>
    <w:p>
      <w:pPr>
        <w:ind w:left="7" w:right="280"/>
        <w:spacing w:after="0" w:line="277" w:lineRule="auto"/>
        <w:rPr>
          <w:sz w:val="20"/>
          <w:szCs w:val="20"/>
          <w:color w:val="auto"/>
        </w:rPr>
      </w:pPr>
      <w:r>
        <w:rPr>
          <w:rFonts w:ascii="Arial" w:cs="Arial" w:eastAsia="Arial" w:hAnsi="Arial"/>
          <w:sz w:val="16"/>
          <w:szCs w:val="16"/>
          <w:color w:val="auto"/>
        </w:rPr>
        <w:t>No impairments were recorded for non-financial assets in the nine months ended May 30, 2026 or May 31, 2025. However, factors such as a sustained decline in revenues or other adverse changes in macroeconomic conditions could result in an impairment charge to our Chris-Craft trade name in a future reporting period. We will perform a quantitative impairment assessment of the Chris-Craft trade name during the fourth quarter of Fiscal 2026.</w:t>
      </w:r>
    </w:p>
    <w:p>
      <w:pPr>
        <w:spacing w:after="0" w:line="227" w:lineRule="exact"/>
        <w:rPr>
          <w:sz w:val="20"/>
          <w:szCs w:val="20"/>
          <w:color w:val="auto"/>
        </w:rPr>
      </w:pPr>
    </w:p>
    <w:p>
      <w:pPr>
        <w:ind w:left="7"/>
        <w:spacing w:after="0"/>
        <w:rPr>
          <w:sz w:val="20"/>
          <w:szCs w:val="20"/>
          <w:color w:val="auto"/>
        </w:rPr>
      </w:pPr>
      <w:r>
        <w:rPr>
          <w:rFonts w:ascii="Arial" w:cs="Arial" w:eastAsia="Arial" w:hAnsi="Arial"/>
          <w:sz w:val="16"/>
          <w:szCs w:val="16"/>
          <w:color w:val="auto"/>
        </w:rPr>
        <w:t>Other intangible assets, net of accumulated amortization, consist of the following:</w:t>
      </w:r>
    </w:p>
    <w:p>
      <w:pPr>
        <w:spacing w:after="0" w:line="57" w:lineRule="exact"/>
        <w:rPr>
          <w:sz w:val="20"/>
          <w:szCs w:val="20"/>
          <w:color w:val="auto"/>
        </w:rPr>
      </w:pPr>
    </w:p>
    <w:tbl>
      <w:tblPr>
        <w:tblLayout w:type="fixed"/>
        <w:tblInd w:w="7" w:type="dxa"/>
        <w:tblCellMar>
          <w:top w:w="0" w:type="dxa"/>
          <w:left w:w="0" w:type="dxa"/>
          <w:bottom w:w="0" w:type="dxa"/>
          <w:right w:w="0" w:type="dxa"/>
        </w:tblCellMar>
      </w:tblPr>
      <w:tr>
        <w:trPr>
          <w:trHeight w:val="223"/>
        </w:trPr>
        <w:tc>
          <w:tcPr>
            <w:tcW w:w="4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May 30, 2026</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Gross Carrying Amount</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tcPr>
          <w:p>
            <w:pPr>
              <w:ind w:left="200"/>
              <w:spacing w:after="0" w:line="155" w:lineRule="exact"/>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Net Carrying Value</w:t>
            </w:r>
          </w:p>
        </w:tc>
        <w:tc>
          <w:tcPr>
            <w:tcW w:w="0" w:type="dxa"/>
            <w:vAlign w:val="bottom"/>
          </w:tcPr>
          <w:p>
            <w:pPr>
              <w:spacing w:after="0"/>
              <w:rPr>
                <w:sz w:val="1"/>
                <w:szCs w:val="1"/>
                <w:color w:val="auto"/>
              </w:rPr>
            </w:pPr>
          </w:p>
        </w:tc>
      </w:tr>
      <w:tr>
        <w:trPr>
          <w:trHeight w:val="216"/>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Indefinite-lived trade names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352.3</w:t>
            </w: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Arial" w:cs="Arial" w:eastAsia="Arial" w:hAnsi="Arial"/>
                <w:sz w:val="16"/>
                <w:szCs w:val="16"/>
                <w:color w:val="auto"/>
              </w:rPr>
              <w:t>Finite-lived trade name</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Dealer networks/customer relationships</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Arial" w:cs="Arial" w:eastAsia="Arial" w:hAnsi="Arial"/>
                <w:sz w:val="16"/>
                <w:szCs w:val="16"/>
                <w:color w:val="auto"/>
              </w:rPr>
              <w:t>Backlog</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Developed technology</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16"/>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Non-compete agreements</w:t>
            </w:r>
          </w:p>
        </w:tc>
        <w:tc>
          <w:tcPr>
            <w:tcW w:w="1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4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intangible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440.7</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tbl>
      <w:tblPr>
        <w:tblLayout w:type="fixed"/>
        <w:tblInd w:w="7" w:type="dxa"/>
        <w:tblCellMar>
          <w:top w:w="0" w:type="dxa"/>
          <w:left w:w="0" w:type="dxa"/>
          <w:bottom w:w="0" w:type="dxa"/>
          <w:right w:w="0" w:type="dxa"/>
        </w:tblCellMar>
      </w:tblPr>
      <w:tr>
        <w:trPr>
          <w:trHeight w:val="223"/>
        </w:trPr>
        <w:tc>
          <w:tcPr>
            <w:tcW w:w="4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August 30, 2025</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Gross Carrying Amount</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tcPr>
          <w:p>
            <w:pPr>
              <w:jc w:val="center"/>
              <w:ind w:right="179"/>
              <w:spacing w:after="0" w:line="155" w:lineRule="exact"/>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Net Carrying Value</w:t>
            </w:r>
          </w:p>
        </w:tc>
        <w:tc>
          <w:tcPr>
            <w:tcW w:w="0" w:type="dxa"/>
            <w:vAlign w:val="bottom"/>
          </w:tcPr>
          <w:p>
            <w:pPr>
              <w:spacing w:after="0"/>
              <w:rPr>
                <w:sz w:val="1"/>
                <w:szCs w:val="1"/>
                <w:color w:val="auto"/>
              </w:rPr>
            </w:pPr>
          </w:p>
        </w:tc>
      </w:tr>
      <w:tr>
        <w:trPr>
          <w:trHeight w:val="216"/>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Indefinite-lived trade names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352.3</w:t>
            </w: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Arial" w:cs="Arial" w:eastAsia="Arial" w:hAnsi="Arial"/>
                <w:sz w:val="16"/>
                <w:szCs w:val="16"/>
                <w:color w:val="auto"/>
              </w:rPr>
              <w:t>Finite-lived trade name</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Dealer networks/customer relationships</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w:t>
            </w: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Arial" w:cs="Arial" w:eastAsia="Arial" w:hAnsi="Arial"/>
                <w:sz w:val="16"/>
                <w:szCs w:val="16"/>
                <w:color w:val="auto"/>
              </w:rPr>
              <w:t>Backlog</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Developed technology</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16"/>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Non-compete agreements</w:t>
            </w:r>
          </w:p>
        </w:tc>
        <w:tc>
          <w:tcPr>
            <w:tcW w:w="1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4"/>
        </w:trPr>
        <w:tc>
          <w:tcPr>
            <w:tcW w:w="4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intangible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456.9</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weighted average remaining amortization period for finite-lived intangible assets as of May 30, 2026 was approximately five years.</w:t>
      </w:r>
    </w:p>
    <w:p>
      <w:pPr>
        <w:spacing w:after="0" w:line="248" w:lineRule="exact"/>
        <w:rPr>
          <w:sz w:val="20"/>
          <w:szCs w:val="20"/>
          <w:color w:val="auto"/>
        </w:rPr>
      </w:pPr>
    </w:p>
    <w:p>
      <w:pPr>
        <w:ind w:left="7"/>
        <w:spacing w:after="0"/>
        <w:rPr>
          <w:sz w:val="20"/>
          <w:szCs w:val="20"/>
          <w:color w:val="auto"/>
        </w:rPr>
      </w:pPr>
      <w:r>
        <w:rPr>
          <w:rFonts w:ascii="Arial" w:cs="Arial" w:eastAsia="Arial" w:hAnsi="Arial"/>
          <w:sz w:val="16"/>
          <w:szCs w:val="16"/>
          <w:color w:val="auto"/>
        </w:rPr>
        <w:t>Estimated future amortization expense related to finite-lived intangible assets is as follows:</w:t>
      </w:r>
    </w:p>
    <w:p>
      <w:pPr>
        <w:spacing w:after="0" w:line="44" w:lineRule="exact"/>
        <w:rPr>
          <w:sz w:val="20"/>
          <w:szCs w:val="20"/>
          <w:color w:val="auto"/>
        </w:rPr>
      </w:pPr>
    </w:p>
    <w:tbl>
      <w:tblPr>
        <w:tblLayout w:type="fixed"/>
        <w:tblInd w:w="7" w:type="dxa"/>
        <w:tblCellMar>
          <w:top w:w="0" w:type="dxa"/>
          <w:left w:w="0" w:type="dxa"/>
          <w:bottom w:w="0" w:type="dxa"/>
          <w:right w:w="0" w:type="dxa"/>
        </w:tblCellMar>
      </w:tblPr>
      <w:tr>
        <w:trPr>
          <w:trHeight w:val="223"/>
        </w:trPr>
        <w:tc>
          <w:tcPr>
            <w:tcW w:w="9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Amortization</w:t>
            </w:r>
          </w:p>
        </w:tc>
      </w:tr>
      <w:tr>
        <w:trPr>
          <w:trHeight w:val="210"/>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Fiscal 2026</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16"/>
        </w:trPr>
        <w:tc>
          <w:tcPr>
            <w:tcW w:w="9600" w:type="dxa"/>
            <w:vAlign w:val="bottom"/>
          </w:tcPr>
          <w:p>
            <w:pPr>
              <w:ind w:left="20"/>
              <w:spacing w:after="0"/>
              <w:rPr>
                <w:sz w:val="20"/>
                <w:szCs w:val="20"/>
                <w:color w:val="auto"/>
              </w:rPr>
            </w:pPr>
            <w:r>
              <w:rPr>
                <w:rFonts w:ascii="Arial" w:cs="Arial" w:eastAsia="Arial" w:hAnsi="Arial"/>
                <w:sz w:val="16"/>
                <w:szCs w:val="16"/>
                <w:color w:val="auto"/>
              </w:rPr>
              <w:t>Fiscal 2027</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21.7</w:t>
            </w:r>
          </w:p>
        </w:tc>
      </w:tr>
      <w:tr>
        <w:trPr>
          <w:trHeight w:val="216"/>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2028</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r>
      <w:tr>
        <w:trPr>
          <w:trHeight w:val="216"/>
        </w:trPr>
        <w:tc>
          <w:tcPr>
            <w:tcW w:w="9600" w:type="dxa"/>
            <w:vAlign w:val="bottom"/>
          </w:tcPr>
          <w:p>
            <w:pPr>
              <w:ind w:left="20"/>
              <w:spacing w:after="0"/>
              <w:rPr>
                <w:sz w:val="20"/>
                <w:szCs w:val="20"/>
                <w:color w:val="auto"/>
              </w:rPr>
            </w:pPr>
            <w:r>
              <w:rPr>
                <w:rFonts w:ascii="Arial" w:cs="Arial" w:eastAsia="Arial" w:hAnsi="Arial"/>
                <w:sz w:val="16"/>
                <w:szCs w:val="16"/>
                <w:color w:val="auto"/>
              </w:rPr>
              <w:t>Fiscal 2029</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16"/>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2030</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r>
      <w:tr>
        <w:trPr>
          <w:trHeight w:val="216"/>
        </w:trPr>
        <w:tc>
          <w:tcPr>
            <w:tcW w:w="9600" w:type="dxa"/>
            <w:vAlign w:val="bottom"/>
          </w:tcPr>
          <w:p>
            <w:pPr>
              <w:ind w:left="20"/>
              <w:spacing w:after="0"/>
              <w:rPr>
                <w:sz w:val="20"/>
                <w:szCs w:val="20"/>
                <w:color w:val="auto"/>
              </w:rPr>
            </w:pPr>
            <w:r>
              <w:rPr>
                <w:rFonts w:ascii="Arial" w:cs="Arial" w:eastAsia="Arial" w:hAnsi="Arial"/>
                <w:sz w:val="16"/>
                <w:szCs w:val="16"/>
                <w:color w:val="auto"/>
              </w:rPr>
              <w:t>Fiscal 2031</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16"/>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09"/>
        </w:trPr>
        <w:tc>
          <w:tcPr>
            <w:tcW w:w="9600" w:type="dxa"/>
            <w:vAlign w:val="bottom"/>
          </w:tcPr>
          <w:p>
            <w:pPr>
              <w:ind w:left="140"/>
              <w:spacing w:after="0"/>
              <w:rPr>
                <w:sz w:val="20"/>
                <w:szCs w:val="20"/>
                <w:color w:val="auto"/>
              </w:rPr>
            </w:pPr>
            <w:r>
              <w:rPr>
                <w:rFonts w:ascii="Arial" w:cs="Arial" w:eastAsia="Arial" w:hAnsi="Arial"/>
                <w:sz w:val="16"/>
                <w:szCs w:val="16"/>
                <w:color w:val="auto"/>
              </w:rPr>
              <w:t>Total amortization expense remaining</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w:t>
            </w:r>
          </w:p>
        </w:tc>
      </w:tr>
      <w:tr>
        <w:trPr>
          <w:trHeight w:val="21"/>
        </w:trPr>
        <w:tc>
          <w:tcPr>
            <w:tcW w:w="9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831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13" w:right="318"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7.</w:t>
        <w:tab/>
        <w:t>Product Warranties</w:t>
      </w:r>
    </w:p>
    <w:p>
      <w:pPr>
        <w:spacing w:after="0" w:line="169"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We provide certain service and warranty on our products. From time to time, we also voluntarily incur costs for certain warranty-type expenses occurring after the normal warranty period expires to help protect the reputation of our products and maintain the goodwill of our customers. Estimated costs related to product warranty are accrued at the time of sale and are based upon historical warranty and service claims experience. Adjustments are made to accruals as claim data and cost experience becomes available.</w:t>
      </w:r>
    </w:p>
    <w:p>
      <w:pPr>
        <w:spacing w:after="0" w:line="189"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In addition to the costs associated with the contractual warranty coverage provided on products, we also occasionally incur costs as a result of additional service actions not covered by warranties, including product recalls and customer satisfaction actions. Although we estimate and reserve for the cost of these service actions when probable and estimable, there can be no assurance that expense levels will remain at current levels or such reserves will continue to be adequate.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580" w:type="dxa"/>
            <w:vAlign w:val="bottom"/>
          </w:tcPr>
          <w:p>
            <w:pPr>
              <w:spacing w:after="0"/>
              <w:rPr>
                <w:sz w:val="20"/>
                <w:szCs w:val="20"/>
                <w:color w:val="auto"/>
              </w:rPr>
            </w:pPr>
            <w:r>
              <w:rPr>
                <w:rFonts w:ascii="Arial" w:cs="Arial" w:eastAsia="Arial" w:hAnsi="Arial"/>
                <w:sz w:val="16"/>
                <w:szCs w:val="16"/>
                <w:color w:val="auto"/>
              </w:rPr>
              <w:t>Changes in the product warranty liability are as follows:</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5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right"/>
              <w:ind w:right="79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09"/>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May 30, 2026</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139"/>
              <w:spacing w:after="0"/>
              <w:rPr>
                <w:sz w:val="20"/>
                <w:szCs w:val="20"/>
                <w:color w:val="auto"/>
              </w:rPr>
            </w:pPr>
            <w:r>
              <w:rPr>
                <w:rFonts w:ascii="Arial" w:cs="Arial" w:eastAsia="Arial" w:hAnsi="Arial"/>
                <w:sz w:val="16"/>
                <w:szCs w:val="16"/>
                <w:b w:val="1"/>
                <w:bCs w:val="1"/>
                <w:color w:val="auto"/>
              </w:rPr>
              <w:t>May 31, 2025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6"/>
                <w:szCs w:val="16"/>
                <w:b w:val="1"/>
                <w:bCs w:val="1"/>
                <w:color w:val="auto"/>
              </w:rPr>
              <w:t>May 30, 2026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May 31, 2025</w:t>
            </w: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center"/>
              <w:ind w:left="839"/>
              <w:spacing w:after="0"/>
              <w:rPr>
                <w:sz w:val="20"/>
                <w:szCs w:val="20"/>
                <w:color w:val="auto"/>
              </w:rPr>
            </w:pPr>
            <w:r>
              <w:rPr>
                <w:rFonts w:ascii="Arial" w:cs="Arial" w:eastAsia="Arial" w:hAnsi="Arial"/>
                <w:sz w:val="16"/>
                <w:szCs w:val="16"/>
                <w:color w:val="auto"/>
              </w:rPr>
              <w:t>72.7</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center"/>
              <w:ind w:left="839"/>
              <w:spacing w:after="0"/>
              <w:rPr>
                <w:sz w:val="20"/>
                <w:szCs w:val="20"/>
                <w:color w:val="auto"/>
              </w:rPr>
            </w:pPr>
            <w:r>
              <w:rPr>
                <w:rFonts w:ascii="Arial" w:cs="Arial" w:eastAsia="Arial" w:hAnsi="Arial"/>
                <w:sz w:val="16"/>
                <w:szCs w:val="16"/>
                <w:color w:val="auto"/>
                <w:w w:val="96"/>
              </w:rPr>
              <w:t>66.7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72.9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w:t>
            </w: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rPr>
                <w:sz w:val="20"/>
                <w:szCs w:val="20"/>
                <w:color w:val="auto"/>
              </w:rPr>
            </w:pPr>
            <w:r>
              <w:rPr>
                <w:rFonts w:ascii="Arial" w:cs="Arial" w:eastAsia="Arial" w:hAnsi="Arial"/>
                <w:sz w:val="16"/>
                <w:szCs w:val="16"/>
                <w:color w:val="auto"/>
              </w:rPr>
              <w:t>Provision</w:t>
            </w:r>
          </w:p>
        </w:tc>
        <w:tc>
          <w:tcPr>
            <w:tcW w:w="200" w:type="dxa"/>
            <w:vAlign w:val="bottom"/>
          </w:tcPr>
          <w:p>
            <w:pPr>
              <w:spacing w:after="0"/>
              <w:rPr>
                <w:sz w:val="18"/>
                <w:szCs w:val="18"/>
                <w:color w:val="auto"/>
              </w:rPr>
            </w:pPr>
          </w:p>
        </w:tc>
        <w:tc>
          <w:tcPr>
            <w:tcW w:w="1400" w:type="dxa"/>
            <w:vAlign w:val="bottom"/>
          </w:tcPr>
          <w:p>
            <w:pPr>
              <w:jc w:val="center"/>
              <w:ind w:left="839"/>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left="839"/>
              <w:spacing w:after="0"/>
              <w:rPr>
                <w:sz w:val="20"/>
                <w:szCs w:val="20"/>
                <w:color w:val="auto"/>
              </w:rPr>
            </w:pPr>
            <w:r>
              <w:rPr>
                <w:rFonts w:ascii="Arial" w:cs="Arial" w:eastAsia="Arial" w:hAnsi="Arial"/>
                <w:sz w:val="16"/>
                <w:szCs w:val="16"/>
                <w:color w:val="auto"/>
                <w:w w:val="96"/>
              </w:rPr>
              <w:t>29.3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gridSpan w:val="2"/>
          </w:tcPr>
          <w:p>
            <w:pPr>
              <w:jc w:val="center"/>
              <w:spacing w:after="0"/>
              <w:rPr>
                <w:sz w:val="20"/>
                <w:szCs w:val="20"/>
                <w:color w:val="auto"/>
              </w:rPr>
            </w:pPr>
            <w:r>
              <w:rPr>
                <w:rFonts w:ascii="Arial" w:cs="Arial" w:eastAsia="Arial" w:hAnsi="Arial"/>
                <w:sz w:val="16"/>
                <w:szCs w:val="16"/>
                <w:color w:val="auto"/>
              </w:rPr>
              <w:t>71.5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69.6</w:t>
            </w:r>
          </w:p>
        </w:tc>
        <w:tc>
          <w:tcPr>
            <w:tcW w:w="0" w:type="dxa"/>
            <w:vAlign w:val="bottom"/>
          </w:tcPr>
          <w:p>
            <w:pPr>
              <w:spacing w:after="0"/>
              <w:rPr>
                <w:sz w:val="1"/>
                <w:szCs w:val="1"/>
                <w:color w:val="auto"/>
              </w:rPr>
            </w:pPr>
          </w:p>
        </w:tc>
      </w:tr>
      <w:tr>
        <w:trPr>
          <w:trHeight w:val="216"/>
        </w:trPr>
        <w:tc>
          <w:tcPr>
            <w:tcW w:w="4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Claims paid</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center"/>
              <w:ind w:left="819"/>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gridSpan w:val="2"/>
            <w:shd w:val="clear" w:color="auto" w:fill="CCEEFF"/>
          </w:tcPr>
          <w:p>
            <w:pPr>
              <w:jc w:val="center"/>
              <w:ind w:left="839"/>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color w:val="auto"/>
              </w:rPr>
              <w:t>(72.1)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(76.5)</w:t>
            </w:r>
          </w:p>
        </w:tc>
        <w:tc>
          <w:tcPr>
            <w:tcW w:w="0" w:type="dxa"/>
            <w:vAlign w:val="bottom"/>
          </w:tcPr>
          <w:p>
            <w:pPr>
              <w:spacing w:after="0"/>
              <w:rPr>
                <w:sz w:val="1"/>
                <w:szCs w:val="1"/>
                <w:color w:val="auto"/>
              </w:rPr>
            </w:pPr>
          </w:p>
        </w:tc>
      </w:tr>
      <w:tr>
        <w:trPr>
          <w:trHeight w:val="209"/>
        </w:trPr>
        <w:tc>
          <w:tcPr>
            <w:tcW w:w="458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center"/>
              <w:ind w:left="839"/>
              <w:spacing w:after="0"/>
              <w:rPr>
                <w:sz w:val="20"/>
                <w:szCs w:val="20"/>
                <w:color w:val="auto"/>
              </w:rPr>
            </w:pPr>
            <w:r>
              <w:rPr>
                <w:rFonts w:ascii="Arial" w:cs="Arial" w:eastAsia="Arial" w:hAnsi="Arial"/>
                <w:sz w:val="16"/>
                <w:szCs w:val="16"/>
                <w:color w:val="auto"/>
              </w:rPr>
              <w:t>72.3</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center"/>
              <w:ind w:left="839"/>
              <w:spacing w:after="0"/>
              <w:rPr>
                <w:sz w:val="20"/>
                <w:szCs w:val="20"/>
                <w:color w:val="auto"/>
              </w:rPr>
            </w:pPr>
            <w:r>
              <w:rPr>
                <w:rFonts w:ascii="Arial" w:cs="Arial" w:eastAsia="Arial" w:hAnsi="Arial"/>
                <w:sz w:val="16"/>
                <w:szCs w:val="16"/>
                <w:color w:val="auto"/>
                <w:w w:val="96"/>
              </w:rPr>
              <w:t>72.0</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c>
          <w:tcPr>
            <w:tcW w:w="480" w:type="dxa"/>
            <w:vAlign w:val="bottom"/>
            <w:gridSpan w:val="2"/>
          </w:tcPr>
          <w:p>
            <w:pPr>
              <w:jc w:val="center"/>
              <w:spacing w:after="0"/>
              <w:rPr>
                <w:sz w:val="20"/>
                <w:szCs w:val="20"/>
                <w:color w:val="auto"/>
              </w:rPr>
            </w:pPr>
            <w:r>
              <w:rPr>
                <w:rFonts w:ascii="Arial" w:cs="Arial" w:eastAsia="Arial" w:hAnsi="Arial"/>
                <w:sz w:val="16"/>
                <w:szCs w:val="16"/>
                <w:color w:val="auto"/>
              </w:rPr>
              <w:t>72.3</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1"/>
        </w:trPr>
        <w:tc>
          <w:tcPr>
            <w:tcW w:w="4580" w:type="dxa"/>
            <w:vAlign w:val="bottom"/>
            <w:vMerge w:val="restart"/>
          </w:tcPr>
          <w:p>
            <w:pPr>
              <w:spacing w:after="0"/>
              <w:rPr>
                <w:sz w:val="20"/>
                <w:szCs w:val="20"/>
                <w:color w:val="auto"/>
              </w:rPr>
            </w:pPr>
            <w:r>
              <w:rPr>
                <w:rFonts w:ascii="Arial" w:cs="Arial" w:eastAsia="Arial" w:hAnsi="Arial"/>
                <w:sz w:val="16"/>
                <w:szCs w:val="16"/>
                <w:b w:val="1"/>
                <w:bCs w:val="1"/>
                <w:color w:val="auto"/>
              </w:rPr>
              <w:t>Note 8.   Debt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9"/>
        </w:trPr>
        <w:tc>
          <w:tcPr>
            <w:tcW w:w="45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4580" w:type="dxa"/>
            <w:vAlign w:val="bottom"/>
          </w:tcPr>
          <w:p>
            <w:pPr>
              <w:spacing w:after="0"/>
              <w:rPr>
                <w:sz w:val="20"/>
                <w:szCs w:val="20"/>
                <w:color w:val="auto"/>
              </w:rPr>
            </w:pPr>
            <w:r>
              <w:rPr>
                <w:rFonts w:ascii="Arial" w:cs="Arial" w:eastAsia="Arial" w:hAnsi="Arial"/>
                <w:sz w:val="16"/>
                <w:szCs w:val="16"/>
                <w:color w:val="auto"/>
              </w:rPr>
              <w:t>The following table summarizes our outstanding debt:</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May 30, 2026</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6"/>
                <w:szCs w:val="16"/>
                <w:b w:val="1"/>
                <w:bCs w:val="1"/>
                <w:color w:val="auto"/>
              </w:rPr>
              <w:t>August 30, 2025</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ABL Credit Facility</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99"/>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rPr>
                <w:sz w:val="20"/>
                <w:szCs w:val="20"/>
                <w:color w:val="auto"/>
              </w:rPr>
            </w:pPr>
            <w:r>
              <w:rPr>
                <w:rFonts w:ascii="Arial" w:cs="Arial" w:eastAsia="Arial" w:hAnsi="Arial"/>
                <w:sz w:val="16"/>
                <w:szCs w:val="16"/>
                <w:color w:val="auto"/>
              </w:rPr>
              <w:t>Senior Secured Notes</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2030 Convertible Notes</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0" w:type="dxa"/>
            <w:vAlign w:val="bottom"/>
          </w:tcPr>
          <w:p>
            <w:pPr>
              <w:spacing w:after="0"/>
              <w:rPr>
                <w:sz w:val="1"/>
                <w:szCs w:val="1"/>
                <w:color w:val="auto"/>
              </w:rPr>
            </w:pPr>
          </w:p>
        </w:tc>
      </w:tr>
      <w:tr>
        <w:trPr>
          <w:trHeight w:val="210"/>
        </w:trPr>
        <w:tc>
          <w:tcPr>
            <w:tcW w:w="4580" w:type="dxa"/>
            <w:vAlign w:val="bottom"/>
          </w:tcPr>
          <w:p>
            <w:pPr>
              <w:ind w:left="140"/>
              <w:spacing w:after="0"/>
              <w:rPr>
                <w:sz w:val="20"/>
                <w:szCs w:val="20"/>
                <w:color w:val="auto"/>
              </w:rPr>
            </w:pPr>
            <w:r>
              <w:rPr>
                <w:rFonts w:ascii="Arial" w:cs="Arial" w:eastAsia="Arial" w:hAnsi="Arial"/>
                <w:sz w:val="16"/>
                <w:szCs w:val="16"/>
                <w:color w:val="auto"/>
              </w:rPr>
              <w:t>Total debt, gross</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550.0</w:t>
            </w:r>
          </w:p>
        </w:tc>
        <w:tc>
          <w:tcPr>
            <w:tcW w:w="0" w:type="dxa"/>
            <w:vAlign w:val="bottom"/>
          </w:tcPr>
          <w:p>
            <w:pPr>
              <w:spacing w:after="0"/>
              <w:rPr>
                <w:sz w:val="1"/>
                <w:szCs w:val="1"/>
                <w:color w:val="auto"/>
              </w:rPr>
            </w:pPr>
          </w:p>
        </w:tc>
      </w:tr>
      <w:tr>
        <w:trPr>
          <w:trHeight w:val="20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Unamortized debt issuance cost, net</w:t>
            </w:r>
          </w:p>
        </w:tc>
        <w:tc>
          <w:tcPr>
            <w:tcW w:w="2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0"/>
        </w:trPr>
        <w:tc>
          <w:tcPr>
            <w:tcW w:w="4580" w:type="dxa"/>
            <w:vAlign w:val="bottom"/>
          </w:tcPr>
          <w:p>
            <w:pPr>
              <w:ind w:left="140"/>
              <w:spacing w:after="0"/>
              <w:rPr>
                <w:sz w:val="20"/>
                <w:szCs w:val="20"/>
                <w:color w:val="auto"/>
              </w:rPr>
            </w:pPr>
            <w:r>
              <w:rPr>
                <w:rFonts w:ascii="Arial" w:cs="Arial" w:eastAsia="Arial" w:hAnsi="Arial"/>
                <w:sz w:val="16"/>
                <w:szCs w:val="16"/>
                <w:color w:val="auto"/>
              </w:rPr>
              <w:t>Long-term debt, net</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99"/>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442.9</w:t>
            </w:r>
          </w:p>
        </w:tc>
        <w:tc>
          <w:tcPr>
            <w:tcW w:w="48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540.5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Agreements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On July 15, 2022, we amended and restated our asset-backed revolving credit agreement ("ABL Credit Facility") to, among other things, increase the commitments available from $192.5 million to $350.0 million and extend the maturity date from October 22, 2024 to July 15, 2027 (subject to certain factors which may accelerate the maturity date). The $350.0 million credit facility is on a revolving basis, subject to availability under a borrowing base consisting of eligible accounts receivable and eligible inventory. The ABL Credit Facility is available for issuance of letters of credit to a specified limit of $35.0 million. We pay a commitment fee of 0.25% based on the average daily amount of the facility available, but unused during the most recent quarter. We can elect to base the interest rate on various rates plus specific spreads depending on the borrowing amount outstanding. If drawn, interest on ABL Credit Facility borrowings is at a floating rate based upon our election, either term SOFR or REVSOFR30 (as defined in the ABL Credit Facility agreement), plus, in each case, a credit spread adjustment of 0.10%, as well as an applicable spread between 1.25% and 1.75%, depending on the usage of the facility during the most recent quarter. Based on current usage, we would pay an applicable spread of 1.25%. In connection with the amendment, we capitalized $1.2 million of issuance costs that are being amortized over the five-year term of the ABL Credit Facility.</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Senior Secured Notes</w:t>
      </w:r>
    </w:p>
    <w:p>
      <w:pPr>
        <w:spacing w:after="0" w:line="129" w:lineRule="exact"/>
        <w:rPr>
          <w:sz w:val="20"/>
          <w:szCs w:val="20"/>
          <w:color w:val="auto"/>
        </w:rPr>
      </w:pPr>
    </w:p>
    <w:p>
      <w:pPr>
        <w:ind w:right="80"/>
        <w:spacing w:after="0" w:line="267" w:lineRule="auto"/>
        <w:rPr>
          <w:sz w:val="20"/>
          <w:szCs w:val="20"/>
          <w:color w:val="auto"/>
        </w:rPr>
      </w:pPr>
      <w:r>
        <w:rPr>
          <w:rFonts w:ascii="Arial" w:cs="Arial" w:eastAsia="Arial" w:hAnsi="Arial"/>
          <w:sz w:val="16"/>
          <w:szCs w:val="16"/>
          <w:color w:val="auto"/>
        </w:rPr>
        <w:t>On July 8, 2020, we closed our private offering (the “Senior Secured Notes Offering”) of $300.0 million aggregate principal amount of 6.25% Senior Secured Notes due 2028 (the “Senior Secured Notes”). The Senior Secured Notes were issued in accordance with an Indenture dated as of July 8, 2020 (the “Indenture”). The Senior Secured Notes will mature on July 15, 2028 unless earlier redeemed or repurchased. Interest on the Senior Secured Notes accrues starting July 8, 2020 and is payable semi-annually in arrears on January 15 and July 15 of each year, which began on January 15, 2021.</w:t>
      </w:r>
    </w:p>
    <w:p>
      <w:pPr>
        <w:spacing w:after="0" w:line="194"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Debt issuance costs incurred and capitalized are amortized on a straight-line basis over the term of the associated debt agreement. If early principal payments are made on the Senior Secured Notes, a proportional amount of the unamortized debt issuance costs is expensed. As part of the Senior Secured Notes Offering, we capitalized $7.5 million in debt issuance costs that are being amortized over the eight-year term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70485</wp:posOffset>
            </wp:positionV>
            <wp:extent cx="71831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On February 3, 2025, we commenced a tender offer to purchase for cash up to $75.0 million aggregate principal amount of the Senior Secured Notes (the "Tender Offer"). On February 18, 2025, we amended the Tender Offer by increasing the maximum aggregate principal amount of Senior Secured Notes to $100.0 million. On February 20, 2025, $100.0 million aggregate principal amount of the Senior Secured Notes were validly tendered and accepted. In connection with the Senior Secured Notes Tender Offer, we recorded a loss on note repurchase of $2.0 million in the accompanying Consolidated Statements of Income. In addition, accrued interest of $0.6 million was paid in connection with the Tender Offer.</w:t>
      </w:r>
    </w:p>
    <w:p>
      <w:pPr>
        <w:spacing w:after="0" w:line="195" w:lineRule="exact"/>
        <w:rPr>
          <w:sz w:val="20"/>
          <w:szCs w:val="20"/>
          <w:color w:val="auto"/>
        </w:rPr>
      </w:pPr>
    </w:p>
    <w:p>
      <w:pPr>
        <w:ind w:right="320"/>
        <w:spacing w:after="0" w:line="267" w:lineRule="auto"/>
        <w:rPr>
          <w:sz w:val="20"/>
          <w:szCs w:val="20"/>
          <w:color w:val="auto"/>
        </w:rPr>
      </w:pPr>
      <w:r>
        <w:rPr>
          <w:rFonts w:ascii="Arial" w:cs="Arial" w:eastAsia="Arial" w:hAnsi="Arial"/>
          <w:sz w:val="16"/>
          <w:szCs w:val="16"/>
          <w:color w:val="auto"/>
        </w:rPr>
        <w:t>On February 20, 2026, we redeemed $100.0 million of the outstanding Senior Secured Notes at a redemption price of 100% of the principal amount, plus accrued and unpaid interest to, but not including, the redemption date, which brought the remaining principal amount outstanding to $100.0 million. In connection with the redemption of the Senior Secured Notes, we recorded a loss on note repurchase of $0.8 million in the accompanying Consolidated Statements of Income. In addition, accrued interest of $0.6 million was paid in connection with the redemption of the Senior Secured Notes.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2030 Convertible Notes</w:t>
      </w:r>
    </w:p>
    <w:p>
      <w:pPr>
        <w:spacing w:after="0" w:line="115"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On January 23, 2024, we issued $350.0 million in aggregate principal amount of 3.25% unsecured convertible senior notes due 2030 (the “2030 Convertible Notes”). The net proceeds from the issuance of the 2030 Convertible Notes, after deducting the initial purchasers' transaction fees and offering expenses payable by us, were approximately $339.8 million. The 2030 Convertible Notes bear interest at the annual rate of 3.25%, payable on January 15 and July 15 of each year, beginning on July 15, 2024, and will mature on January 15, 2030, unless earlier repurchased, redeemed, or converted in accordance with their terms prior to such date.</w:t>
      </w:r>
    </w:p>
    <w:p>
      <w:pPr>
        <w:spacing w:after="0" w:line="195" w:lineRule="exact"/>
        <w:rPr>
          <w:sz w:val="20"/>
          <w:szCs w:val="20"/>
          <w:color w:val="auto"/>
        </w:rPr>
      </w:pPr>
    </w:p>
    <w:p>
      <w:pPr>
        <w:ind w:right="260"/>
        <w:spacing w:after="0" w:line="277" w:lineRule="auto"/>
        <w:rPr>
          <w:sz w:val="20"/>
          <w:szCs w:val="20"/>
          <w:color w:val="auto"/>
        </w:rPr>
      </w:pPr>
      <w:r>
        <w:rPr>
          <w:rFonts w:ascii="Arial" w:cs="Arial" w:eastAsia="Arial" w:hAnsi="Arial"/>
          <w:sz w:val="16"/>
          <w:szCs w:val="16"/>
          <w:color w:val="auto"/>
        </w:rPr>
        <w:t>The 2030 Convertible Notes may be converted at any time on or after July 15, 2029, until the close of business on the second scheduled trading day immediately preceding their maturity date. Upon conversion, we will settle the principal amount of the 2030 Convertible Notes in cash, and any conversion premium in excess of the principal amount in cash, or a combination of cash and shares of common stock, at our election.</w:t>
      </w:r>
    </w:p>
    <w:p>
      <w:pPr>
        <w:spacing w:after="0" w:line="186"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The initial conversion rate of the 2030 Convertible Notes was 11.3724 shares of common stock per $1,000 principal amount of 2030 Convertible Notes, which is equal to an initial conversion price of approximately $87.93 per share. The conversion rate is subject to adjustment upon the occurrence of events specified in the Indenture to the 2030 Convertible Notes but will not be adjusted for accrued and unpaid interest on any 2030 Convertible Note being converted. In addition, upon the occurrence of a make-whole fundamental change (as defined in the Indenture to the 2030 Convertible Notes) during the make-whole fundamental change conversion period (as defined in the Indenture to the 2030 Convertible Notes), we will, in certain circumstances, increase the conversion rate by the number of additional shares described in the Indenture to the 2030 Convertible Notes for a holder that elects to convert such holder’s 2030 Convertible Notes in connection with such make-whole fundamental change. As of May 30, 2026, there have been no changes to the initial conversion rate.</w:t>
      </w:r>
    </w:p>
    <w:p>
      <w:pPr>
        <w:spacing w:after="0" w:line="201" w:lineRule="exact"/>
        <w:rPr>
          <w:sz w:val="20"/>
          <w:szCs w:val="20"/>
          <w:color w:val="auto"/>
        </w:rPr>
      </w:pPr>
    </w:p>
    <w:p>
      <w:pPr>
        <w:ind w:right="580"/>
        <w:spacing w:after="0" w:line="309" w:lineRule="auto"/>
        <w:rPr>
          <w:sz w:val="20"/>
          <w:szCs w:val="20"/>
          <w:color w:val="auto"/>
        </w:rPr>
      </w:pPr>
      <w:r>
        <w:rPr>
          <w:rFonts w:ascii="Arial" w:cs="Arial" w:eastAsia="Arial" w:hAnsi="Arial"/>
          <w:sz w:val="16"/>
          <w:szCs w:val="16"/>
          <w:color w:val="auto"/>
        </w:rPr>
        <w:t>Prior to the close of business on the business day immediately preceding July 15, 2029, the 2030 Convertible Notes will be convertible only under the following circumstances:</w:t>
      </w:r>
    </w:p>
    <w:p>
      <w:pPr>
        <w:spacing w:after="0" w:line="269" w:lineRule="exact"/>
        <w:rPr>
          <w:sz w:val="20"/>
          <w:szCs w:val="20"/>
          <w:color w:val="auto"/>
        </w:rPr>
      </w:pPr>
    </w:p>
    <w:p>
      <w:pPr>
        <w:ind w:left="640" w:right="40" w:hanging="323"/>
        <w:spacing w:after="0" w:line="266" w:lineRule="auto"/>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ended on March 31, 2024 (and only during such calendar quarter), if the last reported sale price (as defined in the Indenture to the 2030 Convertible Notes) per share of the common stock is more than 130% of the applicable conversion price (as defined in the Indenture to the 2030 Convertible Notes) on each applicable trading day for at least 20 trading days (whether or not consecutive) during a period of 30 consecutive trading days ending on, and including, the last trading day of the immediately preceding calendar quarter;</w:t>
      </w:r>
    </w:p>
    <w:p>
      <w:pPr>
        <w:spacing w:after="0" w:line="60" w:lineRule="exact"/>
        <w:rPr>
          <w:rFonts w:ascii="Arial" w:cs="Arial" w:eastAsia="Arial" w:hAnsi="Arial"/>
          <w:sz w:val="16"/>
          <w:szCs w:val="16"/>
          <w:color w:val="auto"/>
        </w:rPr>
      </w:pPr>
    </w:p>
    <w:p>
      <w:pPr>
        <w:ind w:left="640" w:right="100" w:hanging="323"/>
        <w:spacing w:after="0" w:line="267" w:lineRule="auto"/>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during the five consecutive business day period immediately after any five consecutive trading day period (the "measurement period to the 2030 Convertible Notes") in which the trading price (as defined in the 2030 Convertible Notes) per $1,000 principal amount of 2030 Convertible Notes for each trading day of the measurement period to the 2030 Convertible Notes was less than 98% of the product of the last reported sale price per share of the common stock and the conversion rate for the 2030 Convertible Notes on each such trading day;</w:t>
      </w:r>
    </w:p>
    <w:p>
      <w:pPr>
        <w:spacing w:after="0" w:line="72" w:lineRule="exact"/>
        <w:rPr>
          <w:rFonts w:ascii="Arial" w:cs="Arial" w:eastAsia="Arial" w:hAnsi="Arial"/>
          <w:sz w:val="16"/>
          <w:szCs w:val="16"/>
          <w:color w:val="auto"/>
        </w:rPr>
      </w:pPr>
    </w:p>
    <w:p>
      <w:pPr>
        <w:ind w:left="640" w:hanging="323"/>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upon the occurrence of certain specified corporate events set forth in the Indenture to the 2030 Convertible Notes; or</w:t>
      </w:r>
    </w:p>
    <w:p>
      <w:pPr>
        <w:spacing w:after="0" w:line="113" w:lineRule="exact"/>
        <w:rPr>
          <w:rFonts w:ascii="Arial" w:cs="Arial" w:eastAsia="Arial" w:hAnsi="Arial"/>
          <w:sz w:val="16"/>
          <w:szCs w:val="16"/>
          <w:color w:val="auto"/>
        </w:rPr>
      </w:pPr>
    </w:p>
    <w:p>
      <w:pPr>
        <w:ind w:left="640" w:hanging="323"/>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we call such 2030 Convertible Notes for redemption (as described below).</w:t>
      </w:r>
    </w:p>
    <w:p>
      <w:pPr>
        <w:spacing w:after="0" w:line="248"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2030 Convertible Notes will be redeemable, in whole or in part (subject to certain limitations), for cash at our option at any time, and from time to time, on or after January 15, 2028 and on or before the 40th scheduled trading day immediately before the maturity date, but only if the last reported sale price per share of our common stock exceeds 130% of the conversion price for a specified period of time (as set forth in the Indenture to the 2030 Convertible Notes). The redemption price will be equal to the principal amount of the 2030 Convertible Notes to be redeemed, plus accrued and unpaid interest, if any, to, but excluding, the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70485</wp:posOffset>
            </wp:positionV>
            <wp:extent cx="71831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spacing w:after="0" w:line="277" w:lineRule="auto"/>
        <w:rPr>
          <w:sz w:val="20"/>
          <w:szCs w:val="20"/>
          <w:color w:val="auto"/>
        </w:rPr>
      </w:pPr>
      <w:r>
        <w:rPr>
          <w:rFonts w:ascii="Arial" w:cs="Arial" w:eastAsia="Arial" w:hAnsi="Arial"/>
          <w:sz w:val="16"/>
          <w:szCs w:val="16"/>
          <w:color w:val="auto"/>
        </w:rPr>
        <w:t>On January 18, 2024 and January 19, 2024, in connection with the offering of the 2030 Convertible Notes, we entered into privately negotiated convertible note hedge transactions (collectively, the “2030 Hedge Transactions”) that cover, subject to customary anti-dilution adjustments, the number of shares of our common stock that initially underlie the 2030 Convertible Notes.</w:t>
      </w:r>
    </w:p>
    <w:p>
      <w:pPr>
        <w:spacing w:after="0" w:line="186"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On January 18, 2024 and January 19, 2024, we also entered into privately negotiated warrant transactions (collectively, the “2030 Warrant Transactions” and, together with the 2030 Hedge Transactions, the “2030 Call Spread Transactions”), whereby we sold warrants at a higher strike price relating to the same number of shares of our common stock that initially underlie the 2030 Convertible Notes, subject to customary anti-dilution adjustments.</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 2030 Hedge Transactions and the 2030 Warrant Transactions are separate transactions, and in each case, are not part of the terms of the 2030 Convertible Notes and will not affect any holder’s rights under the 2030 Convertible Notes. Holders of the 2030 Convertible Notes will not have any rights with respect to the 2030 Call Spread Transactions.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Treatment of the 2030 Convertible Notes and Related 2030 Hedge Transactions and 2030 Warrant Transactions</w:t>
      </w:r>
    </w:p>
    <w:p>
      <w:pPr>
        <w:spacing w:after="0" w:line="111"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auto"/>
        </w:rPr>
        <w:t>The 2030 Convertible Notes are accounted for as a single liability measured at amortized cost. Interest expense, representing the amortization of the $10.2 million of debt issuance costs as well as the contractual interest expense are amortized using an effective interest rate of 3.8% over the term of the 2030 Convertible Notes. We recorded $3.3 million and $9.8 million of interest expense during the three and nine months ended May 30, 2026. We recorded $3.2 million and $9.7 million of interest expense during the three and nine months ended May 31, 2025.</w:t>
      </w:r>
    </w:p>
    <w:p>
      <w:pPr>
        <w:spacing w:after="0" w:line="197"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 net after-tax cost incurred in connection with the 2030 Call Spread Transactions was $20.6 million. These transactions are classified as equity and are not remeasured each reporting period.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40" w:type="dxa"/>
            <w:vAlign w:val="bottom"/>
          </w:tcPr>
          <w:p>
            <w:pPr>
              <w:spacing w:after="0"/>
              <w:rPr>
                <w:sz w:val="20"/>
                <w:szCs w:val="20"/>
                <w:color w:val="auto"/>
              </w:rPr>
            </w:pPr>
            <w:r>
              <w:rPr>
                <w:rFonts w:ascii="Arial" w:cs="Arial" w:eastAsia="Arial" w:hAnsi="Arial"/>
                <w:sz w:val="16"/>
                <w:szCs w:val="16"/>
                <w:b w:val="1"/>
                <w:bCs w:val="1"/>
                <w:color w:val="auto"/>
              </w:rPr>
              <w:t>Fair Value and Future Maturities</w:t>
            </w:r>
          </w:p>
        </w:tc>
        <w:tc>
          <w:tcPr>
            <w:tcW w:w="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9"/>
        </w:trPr>
        <w:tc>
          <w:tcPr>
            <w:tcW w:w="7040" w:type="dxa"/>
            <w:vAlign w:val="bottom"/>
          </w:tcPr>
          <w:p>
            <w:pPr>
              <w:spacing w:after="0"/>
              <w:rPr>
                <w:sz w:val="20"/>
                <w:szCs w:val="20"/>
                <w:color w:val="auto"/>
              </w:rPr>
            </w:pPr>
            <w:r>
              <w:rPr>
                <w:rFonts w:ascii="Arial" w:cs="Arial" w:eastAsia="Arial" w:hAnsi="Arial"/>
                <w:sz w:val="16"/>
                <w:szCs w:val="16"/>
                <w:color w:val="auto"/>
              </w:rPr>
              <w:t>The fair value of outstanding debt obligations, gross is as follows:</w:t>
            </w: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May 30, 2026</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August 30, 2025</w:t>
            </w: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ABL Credit Facility</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040" w:type="dxa"/>
            <w:vAlign w:val="bottom"/>
          </w:tcPr>
          <w:p>
            <w:pPr>
              <w:ind w:left="20"/>
              <w:spacing w:after="0"/>
              <w:rPr>
                <w:sz w:val="20"/>
                <w:szCs w:val="20"/>
                <w:color w:val="auto"/>
              </w:rPr>
            </w:pPr>
            <w:r>
              <w:rPr>
                <w:rFonts w:ascii="Arial" w:cs="Arial" w:eastAsia="Arial" w:hAnsi="Arial"/>
                <w:sz w:val="16"/>
                <w:szCs w:val="16"/>
                <w:color w:val="auto"/>
              </w:rPr>
              <w:t>Senior Secured Notes</w:t>
            </w:r>
          </w:p>
        </w:tc>
        <w:tc>
          <w:tcPr>
            <w:tcW w:w="3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199.6</w:t>
            </w:r>
          </w:p>
        </w:tc>
        <w:tc>
          <w:tcPr>
            <w:tcW w:w="0" w:type="dxa"/>
            <w:vAlign w:val="bottom"/>
          </w:tcPr>
          <w:p>
            <w:pPr>
              <w:spacing w:after="0"/>
              <w:rPr>
                <w:sz w:val="1"/>
                <w:szCs w:val="1"/>
                <w:color w:val="auto"/>
              </w:rPr>
            </w:pPr>
          </w:p>
        </w:tc>
      </w:tr>
      <w:tr>
        <w:trPr>
          <w:trHeight w:val="216"/>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2030 Convertible Notes</w:t>
            </w:r>
          </w:p>
        </w:tc>
        <w:tc>
          <w:tcPr>
            <w:tcW w:w="32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313.8</w:t>
            </w:r>
          </w:p>
        </w:tc>
        <w:tc>
          <w:tcPr>
            <w:tcW w:w="0" w:type="dxa"/>
            <w:vAlign w:val="bottom"/>
          </w:tcPr>
          <w:p>
            <w:pPr>
              <w:spacing w:after="0"/>
              <w:rPr>
                <w:sz w:val="1"/>
                <w:szCs w:val="1"/>
                <w:color w:val="auto"/>
              </w:rPr>
            </w:pPr>
          </w:p>
        </w:tc>
      </w:tr>
      <w:tr>
        <w:trPr>
          <w:trHeight w:val="210"/>
        </w:trPr>
        <w:tc>
          <w:tcPr>
            <w:tcW w:w="7040" w:type="dxa"/>
            <w:vAlign w:val="bottom"/>
          </w:tcPr>
          <w:p>
            <w:pPr>
              <w:ind w:left="140"/>
              <w:spacing w:after="0"/>
              <w:rPr>
                <w:sz w:val="20"/>
                <w:szCs w:val="20"/>
                <w:color w:val="auto"/>
              </w:rPr>
            </w:pPr>
            <w:r>
              <w:rPr>
                <w:rFonts w:ascii="Arial" w:cs="Arial" w:eastAsia="Arial" w:hAnsi="Arial"/>
                <w:sz w:val="16"/>
                <w:szCs w:val="16"/>
                <w:color w:val="auto"/>
              </w:rPr>
              <w:t>Total debt, gross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423.6</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513.4</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Arial" w:cs="Arial" w:eastAsia="Arial" w:hAnsi="Arial"/>
                <w:sz w:val="16"/>
                <w:szCs w:val="16"/>
                <w:color w:val="auto"/>
              </w:rPr>
              <w:t>Aggregate contractual maturities of debt in future fiscal years are as follows: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2"/>
        </w:trPr>
        <w:tc>
          <w:tcPr>
            <w:tcW w:w="70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Fiscal 2026</w:t>
            </w:r>
          </w:p>
        </w:tc>
        <w:tc>
          <w:tcPr>
            <w:tcW w:w="3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040" w:type="dxa"/>
            <w:vAlign w:val="bottom"/>
          </w:tcPr>
          <w:p>
            <w:pPr>
              <w:ind w:left="20"/>
              <w:spacing w:after="0"/>
              <w:rPr>
                <w:sz w:val="20"/>
                <w:szCs w:val="20"/>
                <w:color w:val="auto"/>
              </w:rPr>
            </w:pPr>
            <w:r>
              <w:rPr>
                <w:rFonts w:ascii="Arial" w:cs="Arial" w:eastAsia="Arial" w:hAnsi="Arial"/>
                <w:sz w:val="16"/>
                <w:szCs w:val="16"/>
                <w:color w:val="auto"/>
              </w:rPr>
              <w:t>Fiscal 2027</w:t>
            </w:r>
          </w:p>
        </w:tc>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2028</w:t>
            </w:r>
          </w:p>
        </w:tc>
        <w:tc>
          <w:tcPr>
            <w:tcW w:w="3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6"/>
        </w:trPr>
        <w:tc>
          <w:tcPr>
            <w:tcW w:w="7040" w:type="dxa"/>
            <w:vAlign w:val="bottom"/>
          </w:tcPr>
          <w:p>
            <w:pPr>
              <w:ind w:left="20"/>
              <w:spacing w:after="0"/>
              <w:rPr>
                <w:sz w:val="20"/>
                <w:szCs w:val="20"/>
                <w:color w:val="auto"/>
              </w:rPr>
            </w:pPr>
            <w:r>
              <w:rPr>
                <w:rFonts w:ascii="Arial" w:cs="Arial" w:eastAsia="Arial" w:hAnsi="Arial"/>
                <w:sz w:val="16"/>
                <w:szCs w:val="16"/>
                <w:color w:val="auto"/>
              </w:rPr>
              <w:t>Fiscal 2029</w:t>
            </w:r>
          </w:p>
        </w:tc>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2030</w:t>
            </w:r>
          </w:p>
        </w:tc>
        <w:tc>
          <w:tcPr>
            <w:tcW w:w="3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0" w:type="dxa"/>
            <w:vAlign w:val="bottom"/>
          </w:tcPr>
          <w:p>
            <w:pPr>
              <w:spacing w:after="0"/>
              <w:rPr>
                <w:sz w:val="1"/>
                <w:szCs w:val="1"/>
                <w:color w:val="auto"/>
              </w:rPr>
            </w:pPr>
          </w:p>
        </w:tc>
      </w:tr>
      <w:tr>
        <w:trPr>
          <w:trHeight w:val="216"/>
        </w:trPr>
        <w:tc>
          <w:tcPr>
            <w:tcW w:w="7040" w:type="dxa"/>
            <w:vAlign w:val="bottom"/>
          </w:tcPr>
          <w:p>
            <w:pPr>
              <w:ind w:left="20"/>
              <w:spacing w:after="0"/>
              <w:rPr>
                <w:sz w:val="20"/>
                <w:szCs w:val="20"/>
                <w:color w:val="auto"/>
              </w:rPr>
            </w:pPr>
            <w:r>
              <w:rPr>
                <w:rFonts w:ascii="Arial" w:cs="Arial" w:eastAsia="Arial" w:hAnsi="Arial"/>
                <w:sz w:val="16"/>
                <w:szCs w:val="16"/>
                <w:color w:val="auto"/>
              </w:rPr>
              <w:t>Fiscal 2031</w:t>
            </w:r>
          </w:p>
        </w:tc>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32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040" w:type="dxa"/>
            <w:vAlign w:val="bottom"/>
          </w:tcPr>
          <w:p>
            <w:pPr>
              <w:ind w:left="140"/>
              <w:spacing w:after="0"/>
              <w:rPr>
                <w:sz w:val="20"/>
                <w:szCs w:val="20"/>
                <w:color w:val="auto"/>
              </w:rPr>
            </w:pPr>
            <w:r>
              <w:rPr>
                <w:rFonts w:ascii="Arial" w:cs="Arial" w:eastAsia="Arial" w:hAnsi="Arial"/>
                <w:sz w:val="16"/>
                <w:szCs w:val="16"/>
                <w:color w:val="auto"/>
              </w:rPr>
              <w:t>Total debt, gross</w:t>
            </w:r>
          </w:p>
        </w:tc>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450.0</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We were in compliance with all of our financial debt covenants as of May 30, 2026.</w:t>
      </w:r>
    </w:p>
    <w:p>
      <w:pPr>
        <w:spacing w:after="0" w:line="248" w:lineRule="exact"/>
        <w:rPr>
          <w:sz w:val="20"/>
          <w:szCs w:val="20"/>
          <w:color w:val="auto"/>
        </w:rPr>
      </w:pPr>
    </w:p>
    <w:p>
      <w:pPr>
        <w:ind w:right="220"/>
        <w:spacing w:after="0" w:line="309" w:lineRule="auto"/>
        <w:rPr>
          <w:sz w:val="20"/>
          <w:szCs w:val="20"/>
          <w:color w:val="auto"/>
        </w:rPr>
      </w:pPr>
      <w:r>
        <w:rPr>
          <w:rFonts w:ascii="Arial" w:cs="Arial" w:eastAsia="Arial" w:hAnsi="Arial"/>
          <w:sz w:val="16"/>
          <w:szCs w:val="16"/>
          <w:color w:val="auto"/>
        </w:rPr>
        <w:t>Refer to Note 9 in the Notes to Consolidated Financial Statements included in Item 8 of Part II of our Annual Report on Form 10-K for the fiscal year ended August 30, 2025 for additional information regarding our debt.</w:t>
      </w:r>
    </w:p>
    <w:p>
      <w:pPr>
        <w:spacing w:after="0" w:line="159"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Note 9.</w:t>
        <w:tab/>
        <w:t>Contingent Liabilities and Commitments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115" w:lineRule="exact"/>
        <w:rPr>
          <w:sz w:val="20"/>
          <w:szCs w:val="20"/>
          <w:color w:val="auto"/>
        </w:rPr>
      </w:pPr>
    </w:p>
    <w:p>
      <w:pPr>
        <w:ind w:right="160"/>
        <w:spacing w:after="0" w:line="277" w:lineRule="auto"/>
        <w:rPr>
          <w:sz w:val="20"/>
          <w:szCs w:val="20"/>
          <w:color w:val="auto"/>
        </w:rPr>
      </w:pPr>
      <w:r>
        <w:rPr>
          <w:rFonts w:ascii="Arial" w:cs="Arial" w:eastAsia="Arial" w:hAnsi="Arial"/>
          <w:sz w:val="16"/>
          <w:szCs w:val="16"/>
          <w:color w:val="auto"/>
        </w:rPr>
        <w:t>Generally, manufacturers in the same industries as us enter into repurchase agreements with lending institutions which have provided wholesale floorplan financing to dealers. Most dealers are financed on a "floorplan" basis under which a bank or finance company lends the dealer all, or substantially all, of the purchase price, collateralized by a security interest in the units purchased.</w:t>
      </w:r>
    </w:p>
    <w:p>
      <w:pPr>
        <w:spacing w:after="0" w:line="186" w:lineRule="exact"/>
        <w:rPr>
          <w:sz w:val="20"/>
          <w:szCs w:val="20"/>
          <w:color w:val="auto"/>
        </w:rPr>
      </w:pPr>
    </w:p>
    <w:p>
      <w:pPr>
        <w:ind w:right="140"/>
        <w:spacing w:after="0" w:line="277" w:lineRule="auto"/>
        <w:rPr>
          <w:sz w:val="20"/>
          <w:szCs w:val="20"/>
          <w:color w:val="auto"/>
        </w:rPr>
      </w:pPr>
      <w:r>
        <w:rPr>
          <w:rFonts w:ascii="Arial" w:cs="Arial" w:eastAsia="Arial" w:hAnsi="Arial"/>
          <w:sz w:val="16"/>
          <w:szCs w:val="16"/>
          <w:color w:val="auto"/>
        </w:rPr>
        <w:t>Our repurchase agreements generally provide that, in the event of default by the dealer on the agreement to pay the lending institution, we will repurchase the financed merchandise. The terms of these agreements, which generally can last up to 24 months, provide that our liability will be the lesser of remaining principal owed by the dealer to the lending institution, or dealer</w:t>
      </w:r>
    </w:p>
    <w:p>
      <w:pPr>
        <w:sectPr>
          <w:pgSz w:w="11920" w:h="16838" w:orient="portrait"/>
          <w:cols w:equalWidth="0" w:num="1">
            <w:col w:w="11260"/>
          </w:cols>
          <w:pgMar w:left="340" w:top="116" w:right="318"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79375</wp:posOffset>
            </wp:positionV>
            <wp:extent cx="71831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type w:val="continuous"/>
        </w:sectPr>
      </w:pPr>
    </w:p>
    <w:bookmarkStart w:id="19" w:name="page20"/>
    <w:bookmarkEnd w:id="19"/>
    <w:p>
      <w:pPr>
        <w:ind w:left="7"/>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 w:right="20"/>
        <w:spacing w:after="0" w:line="266" w:lineRule="auto"/>
        <w:rPr>
          <w:sz w:val="20"/>
          <w:szCs w:val="20"/>
          <w:color w:val="auto"/>
        </w:rPr>
      </w:pPr>
      <w:r>
        <w:rPr>
          <w:rFonts w:ascii="Arial" w:cs="Arial" w:eastAsia="Arial" w:hAnsi="Arial"/>
          <w:sz w:val="16"/>
          <w:szCs w:val="16"/>
          <w:color w:val="auto"/>
        </w:rPr>
        <w:t>invoice less periodic reductions based on the time since the date of the original invoice. Our liability cannot exceed 100% of the dealer invoice. In certain instances, we also repurchase inventory from dealers due to state law or regulatory requirements that govern voluntary or involuntary relationship terminations. Although laws vary from state to state, some states have laws in place that require manufacturers of recreational vehicles or boats to repurchase current inventory if a dealership exits the business. The total contingent liability on all repurchase agreements was approximately $1,777.7 million and $1,640.0 million at May 30, 2026 and August 30, 2025, respectively.</w:t>
      </w:r>
    </w:p>
    <w:p>
      <w:pPr>
        <w:spacing w:after="0" w:line="195" w:lineRule="exact"/>
        <w:rPr>
          <w:sz w:val="20"/>
          <w:szCs w:val="20"/>
          <w:color w:val="auto"/>
        </w:rPr>
      </w:pPr>
    </w:p>
    <w:p>
      <w:pPr>
        <w:ind w:left="7" w:right="20"/>
        <w:spacing w:after="0" w:line="259" w:lineRule="auto"/>
        <w:rPr>
          <w:sz w:val="20"/>
          <w:szCs w:val="20"/>
          <w:color w:val="auto"/>
        </w:rPr>
      </w:pPr>
      <w:r>
        <w:rPr>
          <w:rFonts w:ascii="Arial" w:cs="Arial" w:eastAsia="Arial" w:hAnsi="Arial"/>
          <w:sz w:val="16"/>
          <w:szCs w:val="16"/>
          <w:color w:val="auto"/>
        </w:rPr>
        <w:t>Our loss reserve for repurchase commitments contains uncertainties because the calculation requires management to make assumptions and apply judgment regarding a number of factors. Our risk of loss related to these repurchase commitments is significantly reduced by the potential resale value of any products that are subject to repurchase and is spread over numerous dealers and lenders. The aggregate contingent liability related to our repurchase agreements represents all financed dealer inventory at the period-end reporting date subject to a repurchase agreement, net of the greater of periodic reductions per the agreement or dealer principal payments. Based on these repurchase agreements and our historical loss experience, an associated loss reserve is established, which is included in other current liabilities on the Consolidated Balance Sheets. Our repurchase accrual was $1.3 million and $1.6 million at May 30, 2026 and August 30, 2025, respectively. Repurchase risk is affected by the credit worthiness of our dealer network. We do not believe there is a reasonable likelihood that there will be a material change in the estimates or assumptions used to establish the loss reserve for repurchase commitments.</w:t>
      </w:r>
    </w:p>
    <w:p>
      <w:pPr>
        <w:spacing w:after="0" w:line="200" w:lineRule="exact"/>
        <w:rPr>
          <w:sz w:val="20"/>
          <w:szCs w:val="20"/>
          <w:color w:val="auto"/>
        </w:rPr>
      </w:pPr>
    </w:p>
    <w:p>
      <w:pPr>
        <w:spacing w:after="0" w:line="210"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There was no material activity related to repurchase agreements during the nine months ended May 30, 2026 and May 31, 2025.</w:t>
      </w:r>
    </w:p>
    <w:p>
      <w:pPr>
        <w:spacing w:after="0" w:line="246"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Litigation</w:t>
      </w:r>
    </w:p>
    <w:p>
      <w:pPr>
        <w:spacing w:after="0" w:line="129" w:lineRule="exact"/>
        <w:rPr>
          <w:sz w:val="20"/>
          <w:szCs w:val="20"/>
          <w:color w:val="auto"/>
        </w:rPr>
      </w:pPr>
    </w:p>
    <w:p>
      <w:pPr>
        <w:ind w:left="7" w:right="140"/>
        <w:spacing w:after="0" w:line="262" w:lineRule="auto"/>
        <w:rPr>
          <w:sz w:val="20"/>
          <w:szCs w:val="20"/>
          <w:color w:val="auto"/>
        </w:rPr>
      </w:pPr>
      <w:r>
        <w:rPr>
          <w:rFonts w:ascii="Arial" w:cs="Arial" w:eastAsia="Arial" w:hAnsi="Arial"/>
          <w:sz w:val="16"/>
          <w:szCs w:val="16"/>
          <w:color w:val="auto"/>
        </w:rPr>
        <w:t>We are involved in various legal proceedings which are considered ordinary and routine litigation incidental to the business, some of which are covered in whole or in part by insurance. While we believe the ultimate disposition of litigation will not have a material adverse effect on our financial position, results of operations or liquidity, the possibility exists that such litigation may have an impact on our results for a particular reporting period in which litigation effects become probable and reasonably estimable. Though we do not believe there is a reasonable likelihood that there will be a material change related to these matters, litigation is subject to inherent uncertainties and our view of these matters may change in the future.</w:t>
      </w:r>
    </w:p>
    <w:p>
      <w:pPr>
        <w:spacing w:after="0" w:line="209"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Note 10. Revenue</w:t>
      </w:r>
    </w:p>
    <w:p>
      <w:pPr>
        <w:spacing w:after="0" w:line="169" w:lineRule="exact"/>
        <w:rPr>
          <w:sz w:val="20"/>
          <w:szCs w:val="20"/>
          <w:color w:val="auto"/>
        </w:rPr>
      </w:pPr>
    </w:p>
    <w:p>
      <w:pPr>
        <w:jc w:val="both"/>
        <w:ind w:left="7" w:right="260"/>
        <w:spacing w:after="0" w:line="277" w:lineRule="auto"/>
        <w:rPr>
          <w:sz w:val="20"/>
          <w:szCs w:val="20"/>
          <w:color w:val="auto"/>
        </w:rPr>
      </w:pPr>
      <w:r>
        <w:rPr>
          <w:rFonts w:ascii="Arial" w:cs="Arial" w:eastAsia="Arial" w:hAnsi="Arial"/>
          <w:sz w:val="16"/>
          <w:szCs w:val="16"/>
          <w:color w:val="auto"/>
        </w:rPr>
        <w:t>All operating revenue is generated from contracts with customers. Our primary revenue source is generated through the sale of manufactured towable RV units, motorhome RV units and marine units to our independent dealer network (our customers). The following table disaggregates revenue by reportable segment and product category:</w:t>
      </w:r>
    </w:p>
    <w:p>
      <w:pPr>
        <w:spacing w:after="0" w:line="225" w:lineRule="exact"/>
        <w:rPr>
          <w:sz w:val="20"/>
          <w:szCs w:val="20"/>
          <w:color w:val="auto"/>
        </w:rPr>
      </w:pPr>
    </w:p>
    <w:tbl>
      <w:tblPr>
        <w:tblLayout w:type="fixed"/>
        <w:tblInd w:w="7" w:type="dxa"/>
        <w:tblCellMar>
          <w:top w:w="0" w:type="dxa"/>
          <w:left w:w="0" w:type="dxa"/>
          <w:bottom w:w="0" w:type="dxa"/>
          <w:right w:w="0" w:type="dxa"/>
        </w:tblCellMar>
      </w:tblPr>
      <w:tr>
        <w:trPr>
          <w:trHeight w:val="223"/>
        </w:trPr>
        <w:tc>
          <w:tcPr>
            <w:tcW w:w="4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May 30, 2026</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May 31, 2025</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May 30, 2026</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May 31, 2025</w:t>
            </w:r>
          </w:p>
        </w:tc>
      </w:tr>
      <w:tr>
        <w:trPr>
          <w:trHeight w:val="210"/>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4520" w:type="dxa"/>
            <w:vAlign w:val="bottom"/>
          </w:tcPr>
          <w:p>
            <w:pPr>
              <w:ind w:left="20"/>
              <w:spacing w:after="0"/>
              <w:rPr>
                <w:sz w:val="20"/>
                <w:szCs w:val="20"/>
                <w:color w:val="auto"/>
              </w:rPr>
            </w:pPr>
            <w:r>
              <w:rPr>
                <w:rFonts w:ascii="Arial" w:cs="Arial" w:eastAsia="Arial" w:hAnsi="Arial"/>
                <w:sz w:val="16"/>
                <w:szCs w:val="16"/>
                <w:color w:val="auto"/>
              </w:rPr>
              <w:t>Towable RV</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4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Fifth Wheel</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464.8</w:t>
            </w:r>
          </w:p>
        </w:tc>
      </w:tr>
      <w:tr>
        <w:trPr>
          <w:trHeight w:val="216"/>
        </w:trPr>
        <w:tc>
          <w:tcPr>
            <w:tcW w:w="4520" w:type="dxa"/>
            <w:vAlign w:val="bottom"/>
          </w:tcPr>
          <w:p>
            <w:pPr>
              <w:ind w:left="140"/>
              <w:spacing w:after="0"/>
              <w:rPr>
                <w:sz w:val="20"/>
                <w:szCs w:val="20"/>
                <w:color w:val="auto"/>
              </w:rPr>
            </w:pPr>
            <w:r>
              <w:rPr>
                <w:rFonts w:ascii="Arial" w:cs="Arial" w:eastAsia="Arial" w:hAnsi="Arial"/>
                <w:sz w:val="16"/>
                <w:szCs w:val="16"/>
                <w:color w:val="auto"/>
              </w:rPr>
              <w:t>Travel Trailer</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424.6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426.0</w:t>
            </w:r>
          </w:p>
        </w:tc>
      </w:tr>
      <w:tr>
        <w:trPr>
          <w:trHeight w:val="216"/>
        </w:trPr>
        <w:tc>
          <w:tcPr>
            <w:tcW w:w="4520" w:type="dxa"/>
            <w:vAlign w:val="bottom"/>
            <w:tcBorders>
              <w:bottom w:val="single" w:sz="8" w:color="CCEEFF"/>
            </w:tcBorders>
            <w:shd w:val="clear" w:color="auto" w:fill="CCEEFF"/>
          </w:tcPr>
          <w:p>
            <w:pPr>
              <w:ind w:left="140"/>
              <w:spacing w:after="0" w:line="216"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w:t>
            </w:r>
          </w:p>
        </w:tc>
      </w:tr>
      <w:tr>
        <w:trPr>
          <w:trHeight w:val="210"/>
        </w:trPr>
        <w:tc>
          <w:tcPr>
            <w:tcW w:w="4520" w:type="dxa"/>
            <w:vAlign w:val="bottom"/>
          </w:tcPr>
          <w:p>
            <w:pPr>
              <w:ind w:left="220"/>
              <w:spacing w:after="0"/>
              <w:rPr>
                <w:sz w:val="20"/>
                <w:szCs w:val="20"/>
                <w:color w:val="auto"/>
              </w:rPr>
            </w:pPr>
            <w:r>
              <w:rPr>
                <w:rFonts w:ascii="Arial" w:cs="Arial" w:eastAsia="Arial" w:hAnsi="Arial"/>
                <w:sz w:val="16"/>
                <w:szCs w:val="16"/>
                <w:color w:val="auto"/>
              </w:rPr>
              <w:t>Total Towable RV</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371.7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830.5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913.9</w:t>
            </w:r>
          </w:p>
        </w:tc>
      </w:t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 RV</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4520" w:type="dxa"/>
            <w:vAlign w:val="bottom"/>
          </w:tcPr>
          <w:p>
            <w:pPr>
              <w:ind w:left="140"/>
              <w:spacing w:after="0"/>
              <w:rPr>
                <w:sz w:val="20"/>
                <w:szCs w:val="20"/>
                <w:color w:val="auto"/>
              </w:rPr>
            </w:pPr>
            <w:r>
              <w:rPr>
                <w:rFonts w:ascii="Arial" w:cs="Arial" w:eastAsia="Arial" w:hAnsi="Arial"/>
                <w:sz w:val="16"/>
                <w:szCs w:val="16"/>
                <w:color w:val="auto"/>
              </w:rPr>
              <w:t>Class A</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108.9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323.9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324.5</w:t>
            </w:r>
          </w:p>
        </w:tc>
      </w:tr>
      <w:tr>
        <w:trPr>
          <w:trHeight w:val="216"/>
        </w:trPr>
        <w:tc>
          <w:tcPr>
            <w:tcW w:w="4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Class B</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114.1</w:t>
            </w:r>
          </w:p>
        </w:tc>
      </w:tr>
      <w:tr>
        <w:trPr>
          <w:trHeight w:val="216"/>
        </w:trPr>
        <w:tc>
          <w:tcPr>
            <w:tcW w:w="4520" w:type="dxa"/>
            <w:vAlign w:val="bottom"/>
          </w:tcPr>
          <w:p>
            <w:pPr>
              <w:ind w:left="140"/>
              <w:spacing w:after="0" w:line="216" w:lineRule="exact"/>
              <w:rPr>
                <w:sz w:val="20"/>
                <w:szCs w:val="20"/>
                <w:color w:val="auto"/>
              </w:rPr>
            </w:pPr>
            <w:r>
              <w:rPr>
                <w:rFonts w:ascii="Arial" w:cs="Arial" w:eastAsia="Arial" w:hAnsi="Arial"/>
                <w:sz w:val="16"/>
                <w:szCs w:val="16"/>
                <w:color w:val="auto"/>
              </w:rPr>
              <w:t>Class C and Other</w:t>
            </w:r>
            <w:r>
              <w:rPr>
                <w:rFonts w:ascii="Arial" w:cs="Arial" w:eastAsia="Arial" w:hAnsi="Arial"/>
                <w:sz w:val="21"/>
                <w:szCs w:val="21"/>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152.7</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143.4</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438.0</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359.9</w:t>
            </w:r>
          </w:p>
        </w:tc>
      </w:tr>
      <w:tr>
        <w:trPr>
          <w:trHeight w:val="209"/>
        </w:trPr>
        <w:tc>
          <w:tcPr>
            <w:tcW w:w="4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Motorhome RV</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798.5</w:t>
            </w:r>
          </w:p>
        </w:tc>
      </w:tr>
      <w:tr>
        <w:trPr>
          <w:trHeight w:val="216"/>
        </w:trPr>
        <w:tc>
          <w:tcPr>
            <w:tcW w:w="4520" w:type="dxa"/>
            <w:vAlign w:val="bottom"/>
          </w:tcPr>
          <w:p>
            <w:pPr>
              <w:ind w:left="20"/>
              <w:spacing w:after="0"/>
              <w:rPr>
                <w:sz w:val="20"/>
                <w:szCs w:val="20"/>
                <w:color w:val="auto"/>
              </w:rPr>
            </w:pPr>
            <w:r>
              <w:rPr>
                <w:rFonts w:ascii="Arial" w:cs="Arial" w:eastAsia="Arial" w:hAnsi="Arial"/>
                <w:sz w:val="16"/>
                <w:szCs w:val="16"/>
                <w:color w:val="auto"/>
              </w:rPr>
              <w:t>Marine</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264.1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272.9</w:t>
            </w:r>
          </w:p>
        </w:tc>
      </w:tr>
      <w:tr>
        <w:trPr>
          <w:trHeight w:val="216"/>
        </w:trPr>
        <w:tc>
          <w:tcPr>
            <w:tcW w:w="4520" w:type="dxa"/>
            <w:vAlign w:val="bottom"/>
            <w:tcBorders>
              <w:bottom w:val="single" w:sz="8" w:color="CCEEFF"/>
            </w:tcBorders>
            <w:shd w:val="clear" w:color="auto" w:fill="CCEEFF"/>
          </w:tcPr>
          <w:p>
            <w:pPr>
              <w:ind w:left="20"/>
              <w:spacing w:after="0" w:line="216" w:lineRule="exact"/>
              <w:rPr>
                <w:sz w:val="20"/>
                <w:szCs w:val="20"/>
                <w:color w:val="auto"/>
              </w:rPr>
            </w:pPr>
            <w:r>
              <w:rPr>
                <w:rFonts w:ascii="Arial" w:cs="Arial" w:eastAsia="Arial" w:hAnsi="Arial"/>
                <w:sz w:val="16"/>
                <w:szCs w:val="16"/>
                <w:color w:val="auto"/>
              </w:rPr>
              <w:t>Corporate / All Other</w:t>
            </w:r>
            <w:r>
              <w:rPr>
                <w:rFonts w:ascii="Arial" w:cs="Arial" w:eastAsia="Arial" w:hAnsi="Arial"/>
                <w:sz w:val="21"/>
                <w:szCs w:val="21"/>
                <w:color w:val="auto"/>
                <w:vertAlign w:val="superscript"/>
              </w:rPr>
              <w:t>(2)</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w:t>
            </w:r>
          </w:p>
        </w:tc>
      </w:tr>
      <w:tr>
        <w:trPr>
          <w:trHeight w:val="210"/>
        </w:trPr>
        <w:tc>
          <w:tcPr>
            <w:tcW w:w="4520" w:type="dxa"/>
            <w:vAlign w:val="bottom"/>
          </w:tcPr>
          <w:p>
            <w:pPr>
              <w:ind w:left="340"/>
              <w:spacing w:after="0"/>
              <w:rPr>
                <w:sz w:val="20"/>
                <w:szCs w:val="20"/>
                <w:color w:val="auto"/>
              </w:rPr>
            </w:pPr>
            <w:r>
              <w:rPr>
                <w:rFonts w:ascii="Arial" w:cs="Arial" w:eastAsia="Arial" w:hAnsi="Arial"/>
                <w:sz w:val="16"/>
                <w:szCs w:val="16"/>
                <w:color w:val="auto"/>
              </w:rPr>
              <w:t>Consolidated Net Revenues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698.7</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775.1</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2,058.8</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2,020.9</w:t>
            </w:r>
          </w:p>
        </w:tc>
      </w:tr>
      <w:tr>
        <w:trPr>
          <w:trHeight w:val="20"/>
        </w:trPr>
        <w:tc>
          <w:tcPr>
            <w:tcW w:w="4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ind w:left="287" w:hanging="287"/>
        <w:spacing w:after="0"/>
        <w:tabs>
          <w:tab w:leader="none" w:pos="287" w:val="left"/>
        </w:tabs>
        <w:numPr>
          <w:ilvl w:val="0"/>
          <w:numId w:val="8"/>
        </w:numPr>
        <w:rPr>
          <w:rFonts w:ascii="Arial" w:cs="Arial" w:eastAsia="Arial" w:hAnsi="Arial"/>
          <w:sz w:val="21"/>
          <w:szCs w:val="21"/>
          <w:color w:val="auto"/>
          <w:vertAlign w:val="superscript"/>
        </w:rPr>
      </w:pPr>
      <w:r>
        <w:rPr>
          <w:rFonts w:ascii="Arial" w:cs="Arial" w:eastAsia="Arial" w:hAnsi="Arial"/>
          <w:sz w:val="14"/>
          <w:szCs w:val="14"/>
          <w:color w:val="auto"/>
        </w:rPr>
        <w:t>Relates to parts, accessories, and services.</w:t>
      </w:r>
    </w:p>
    <w:p>
      <w:pPr>
        <w:ind w:left="247" w:right="120" w:hanging="247"/>
        <w:spacing w:after="0" w:line="201" w:lineRule="auto"/>
        <w:tabs>
          <w:tab w:leader="none" w:pos="293" w:val="left"/>
        </w:tabs>
        <w:numPr>
          <w:ilvl w:val="0"/>
          <w:numId w:val="8"/>
        </w:numPr>
        <w:rPr>
          <w:rFonts w:ascii="Arial" w:cs="Arial" w:eastAsia="Arial" w:hAnsi="Arial"/>
          <w:sz w:val="21"/>
          <w:szCs w:val="21"/>
          <w:color w:val="auto"/>
          <w:vertAlign w:val="superscript"/>
        </w:rPr>
      </w:pPr>
      <w:r>
        <w:rPr>
          <w:rFonts w:ascii="Arial" w:cs="Arial" w:eastAsia="Arial" w:hAnsi="Arial"/>
          <w:sz w:val="14"/>
          <w:szCs w:val="14"/>
          <w:color w:val="auto"/>
        </w:rPr>
        <w:t>Relates to units, parts, accessories, and services associated with Winnebago specialty vehicles. In addition, this activity also includes Lithionics battery sales, including the related systems and accessories, that are sold directly to external customers.</w:t>
      </w:r>
    </w:p>
    <w:p>
      <w:pPr>
        <w:spacing w:after="0" w:line="221" w:lineRule="exact"/>
        <w:rPr>
          <w:sz w:val="20"/>
          <w:szCs w:val="20"/>
          <w:color w:val="auto"/>
        </w:rPr>
      </w:pPr>
    </w:p>
    <w:p>
      <w:pPr>
        <w:ind w:left="7" w:right="180"/>
        <w:spacing w:after="0" w:line="309" w:lineRule="auto"/>
        <w:rPr>
          <w:sz w:val="20"/>
          <w:szCs w:val="20"/>
          <w:color w:val="auto"/>
        </w:rPr>
      </w:pPr>
      <w:r>
        <w:rPr>
          <w:rFonts w:ascii="Arial" w:cs="Arial" w:eastAsia="Arial" w:hAnsi="Arial"/>
          <w:sz w:val="16"/>
          <w:szCs w:val="16"/>
          <w:color w:val="auto"/>
        </w:rPr>
        <w:t>We do not have material contract assets or liabilities. Allowances for uncollectible receivables are established based on historical collection trends, write-off history, consideration of current conditions and expectations for future economic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831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16" w:right="318"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Risk</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No single dealer organization accounted for more than 10.0% of net revenue for the nine months ended May 30, 2026 or May 31, 2025.</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Income Taxes</w:t>
      </w:r>
    </w:p>
    <w:p>
      <w:pPr>
        <w:spacing w:after="0" w:line="169"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Our effective tax rate was 19.4% and 26.3% for the three months ended May 30, 2026 and May 31, 2025, respectively; and 21.9% and 28.5% for the nine months ended May 30, 2026 and May 31, 2025, respectively. The decrease in tax rate for the three months ended May 30, 2026 compared to the three months ended May 31, 2025 was driven primarily by an increase in R&amp;D tax credits. The decrease in tax rate for the nine months ended May 30, 2026 compared to the nine months ended May 31, 2025 was driven primarily by the impact of increased R&amp;D tax credits and discrete tax benefits in the current year as compared to the prior year.</w:t>
      </w:r>
    </w:p>
    <w:p>
      <w:pPr>
        <w:spacing w:after="0" w:line="195" w:lineRule="exact"/>
        <w:rPr>
          <w:sz w:val="20"/>
          <w:szCs w:val="20"/>
          <w:color w:val="auto"/>
        </w:rPr>
      </w:pPr>
    </w:p>
    <w:p>
      <w:pPr>
        <w:jc w:val="both"/>
        <w:ind w:right="300"/>
        <w:spacing w:after="0" w:line="277" w:lineRule="auto"/>
        <w:rPr>
          <w:sz w:val="20"/>
          <w:szCs w:val="20"/>
          <w:color w:val="auto"/>
        </w:rPr>
      </w:pPr>
      <w:r>
        <w:rPr>
          <w:rFonts w:ascii="Arial" w:cs="Arial" w:eastAsia="Arial" w:hAnsi="Arial"/>
          <w:sz w:val="16"/>
          <w:szCs w:val="16"/>
          <w:color w:val="auto"/>
        </w:rPr>
        <w:t>As of May 30, 2026, $8.8 million of U.S. federal income taxes receivable was included in prepaid expenses and other current assets on the Consolidated Balance Sheets. Comparatively, as of August 30, 2025, $7.3 million of U.S. federal income taxes receivable was included in prepaid expenses and other current assets on the Consolidated Balance Sheets.</w:t>
      </w:r>
    </w:p>
    <w:p>
      <w:pPr>
        <w:spacing w:after="0" w:line="186" w:lineRule="exact"/>
        <w:rPr>
          <w:sz w:val="20"/>
          <w:szCs w:val="20"/>
          <w:color w:val="auto"/>
        </w:rPr>
      </w:pPr>
    </w:p>
    <w:p>
      <w:pPr>
        <w:ind w:right="200"/>
        <w:spacing w:after="0" w:line="273" w:lineRule="auto"/>
        <w:rPr>
          <w:sz w:val="20"/>
          <w:szCs w:val="20"/>
          <w:color w:val="auto"/>
        </w:rPr>
      </w:pPr>
      <w:r>
        <w:rPr>
          <w:rFonts w:ascii="Arial" w:cs="Arial" w:eastAsia="Arial" w:hAnsi="Arial"/>
          <w:sz w:val="16"/>
          <w:szCs w:val="16"/>
          <w:color w:val="auto"/>
        </w:rPr>
        <w:t>The Company files a U.S. Federal tax return, as well as returns in various international and state jurisdictions. As of May 30, 2026, the Company's Federal returns from Fiscal 2022 to present are subject to review by the Internal Revenue Service. With limited exceptions, U.S. state returns from Fiscal 2021 to present continue to be subject to review by state taxing jurisdictions. We believe we have adequately reserved for our exposure to potential additional payments for uncertain tax positions in our liability for unrecognized tax benefits.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Tax Legislation</w:t>
      </w:r>
    </w:p>
    <w:p>
      <w:pPr>
        <w:spacing w:after="0" w:line="264"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On July 4, 2025, the One Big Beautiful Bill Act (“OBBBA”) was signed into law, which included various provisions, such as the permanent extension of certain expiring provisions of the Tax Cuts and Jobs Act and restoration of favorable tax treatment for certain business provisions. The legislation has multiple effective dates, with certain provisions that became effective in Fiscal 2025 and others implemented through Fiscal 2027.</w:t>
      </w:r>
    </w:p>
    <w:p>
      <w:pPr>
        <w:spacing w:after="0" w:line="205" w:lineRule="exact"/>
        <w:rPr>
          <w:sz w:val="20"/>
          <w:szCs w:val="20"/>
          <w:color w:val="auto"/>
        </w:rPr>
      </w:pPr>
    </w:p>
    <w:p>
      <w:pPr>
        <w:ind w:right="460"/>
        <w:spacing w:after="0" w:line="267" w:lineRule="auto"/>
        <w:rPr>
          <w:sz w:val="20"/>
          <w:szCs w:val="20"/>
          <w:color w:val="auto"/>
        </w:rPr>
      </w:pPr>
      <w:r>
        <w:rPr>
          <w:rFonts w:ascii="Arial" w:cs="Arial" w:eastAsia="Arial" w:hAnsi="Arial"/>
          <w:sz w:val="16"/>
          <w:szCs w:val="16"/>
          <w:color w:val="auto"/>
        </w:rPr>
        <w:t>In Fiscal 2026, the OBBBA could have a more significant impact, particularly related to the reinstatement of 100% bonus depreciation, expensing of previously capitalized and unamortized U.S. research and development costs, and changes to interest deductibility. We will continue to assess the implications of the OBBBA. During the nine months ended May 30, 2026, none of the relevant provisions of the OBBBA had a significant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70485</wp:posOffset>
            </wp:positionV>
            <wp:extent cx="71831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20"/>
          </w:cols>
          <w:pgMar w:left="340" w:top="116" w:right="358" w:bottom="1440" w:gutter="0" w:footer="0" w:header="0"/>
        </w:sectPr>
      </w:pPr>
    </w:p>
    <w:bookmarkStart w:id="21" w:name="page22"/>
    <w:bookmarkEnd w:id="21"/>
    <w:tbl>
      <w:tblPr>
        <w:tblLayout w:type="fixed"/>
        <w:tblInd w:w="7" w:type="dxa"/>
        <w:tblCellMar>
          <w:top w:w="0" w:type="dxa"/>
          <w:left w:w="0" w:type="dxa"/>
          <w:bottom w:w="0" w:type="dxa"/>
          <w:right w:w="0" w:type="dxa"/>
        </w:tblCellMar>
      </w:tblPr>
      <w:tr>
        <w:trPr>
          <w:trHeight w:val="184"/>
        </w:trPr>
        <w:tc>
          <w:tcPr>
            <w:tcW w:w="126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8"/>
              </w:rPr>
              <w:t>Table of Contents</w:t>
            </w:r>
          </w:p>
        </w:tc>
        <w:tc>
          <w:tcPr>
            <w:tcW w:w="3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8"/>
        </w:trPr>
        <w:tc>
          <w:tcPr>
            <w:tcW w:w="4520" w:type="dxa"/>
            <w:vAlign w:val="bottom"/>
            <w:gridSpan w:val="2"/>
          </w:tcPr>
          <w:p>
            <w:pPr>
              <w:spacing w:after="0"/>
              <w:rPr>
                <w:sz w:val="20"/>
                <w:szCs w:val="20"/>
                <w:color w:val="auto"/>
              </w:rPr>
            </w:pPr>
            <w:r>
              <w:rPr>
                <w:rFonts w:ascii="Arial" w:cs="Arial" w:eastAsia="Arial" w:hAnsi="Arial"/>
                <w:sz w:val="16"/>
                <w:szCs w:val="16"/>
                <w:b w:val="1"/>
                <w:bCs w:val="1"/>
                <w:color w:val="auto"/>
              </w:rPr>
              <w:t>Note 12. Earnings Per Share</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4520" w:type="dxa"/>
            <w:vAlign w:val="bottom"/>
            <w:gridSpan w:val="2"/>
          </w:tcPr>
          <w:p>
            <w:pPr>
              <w:spacing w:after="0"/>
              <w:rPr>
                <w:sz w:val="20"/>
                <w:szCs w:val="20"/>
                <w:color w:val="auto"/>
              </w:rPr>
            </w:pPr>
            <w:r>
              <w:rPr>
                <w:rFonts w:ascii="Arial" w:cs="Arial" w:eastAsia="Arial" w:hAnsi="Arial"/>
                <w:sz w:val="16"/>
                <w:szCs w:val="16"/>
                <w:color w:val="auto"/>
              </w:rPr>
              <w:t>Basic and diluted earnings per share are calculated as follows:</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26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09"/>
        </w:trPr>
        <w:tc>
          <w:tcPr>
            <w:tcW w:w="4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millions, except per share data)</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May 30, 2026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May 31, 2025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May 30, 2026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May 31, 2025</w:t>
            </w:r>
          </w:p>
        </w:tc>
        <w:tc>
          <w:tcPr>
            <w:tcW w:w="0" w:type="dxa"/>
            <w:vAlign w:val="bottom"/>
          </w:tcPr>
          <w:p>
            <w:pPr>
              <w:spacing w:after="0"/>
              <w:rPr>
                <w:sz w:val="1"/>
                <w:szCs w:val="1"/>
                <w:color w:val="auto"/>
              </w:rPr>
            </w:pPr>
          </w:p>
        </w:tc>
      </w:tr>
      <w:tr>
        <w:trPr>
          <w:trHeight w:val="210"/>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share - basic</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tcPr>
          <w:p>
            <w:pPr>
              <w:ind w:left="12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14.5</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17.6</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24.8</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Weighted average common shares outstanding</w:t>
            </w: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09"/>
        </w:trPr>
        <w:tc>
          <w:tcPr>
            <w:tcW w:w="4520" w:type="dxa"/>
            <w:vAlign w:val="bottom"/>
            <w:gridSpan w:val="2"/>
          </w:tcPr>
          <w:p>
            <w:pPr>
              <w:ind w:left="220"/>
              <w:spacing w:after="0" w:line="210" w:lineRule="exact"/>
              <w:rPr>
                <w:sz w:val="20"/>
                <w:szCs w:val="20"/>
                <w:color w:val="auto"/>
              </w:rPr>
            </w:pPr>
            <w:r>
              <w:rPr>
                <w:rFonts w:ascii="Arial" w:cs="Arial" w:eastAsia="Arial" w:hAnsi="Arial"/>
                <w:sz w:val="16"/>
                <w:szCs w:val="16"/>
                <w:color w:val="auto"/>
              </w:rPr>
              <w:t>Basic earnings per common share</w:t>
            </w:r>
            <w:r>
              <w:rPr>
                <w:rFonts w:ascii="Arial" w:cs="Arial" w:eastAsia="Arial" w:hAnsi="Arial"/>
                <w:sz w:val="21"/>
                <w:szCs w:val="21"/>
                <w:color w:val="auto"/>
                <w:vertAlign w:val="superscript"/>
              </w:rPr>
              <w:t>(1)</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0.43</w:t>
            </w:r>
          </w:p>
        </w:tc>
        <w:tc>
          <w:tcPr>
            <w:tcW w:w="0" w:type="dxa"/>
            <w:vAlign w:val="bottom"/>
          </w:tcPr>
          <w:p>
            <w:pPr>
              <w:spacing w:after="0"/>
              <w:rPr>
                <w:sz w:val="1"/>
                <w:szCs w:val="1"/>
                <w:color w:val="auto"/>
              </w:rPr>
            </w:pPr>
          </w:p>
        </w:tc>
      </w:tr>
      <w:tr>
        <w:trPr>
          <w:trHeight w:val="20"/>
        </w:trPr>
        <w:tc>
          <w:tcPr>
            <w:tcW w:w="1260" w:type="dxa"/>
            <w:vAlign w:val="bottom"/>
            <w:tcBorders>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60" w:type="dxa"/>
            <w:vAlign w:val="bottom"/>
            <w:shd w:val="clear" w:color="auto" w:fill="CCEEFF"/>
          </w:tcPr>
          <w:p>
            <w:pPr>
              <w:spacing w:after="0"/>
              <w:rPr>
                <w:sz w:val="20"/>
                <w:szCs w:val="20"/>
                <w:color w:val="auto"/>
              </w:rPr>
            </w:pPr>
          </w:p>
        </w:tc>
        <w:tc>
          <w:tcPr>
            <w:tcW w:w="3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20" w:type="dxa"/>
            <w:vAlign w:val="bottom"/>
            <w:gridSpan w:val="2"/>
          </w:tcPr>
          <w:p>
            <w:pPr>
              <w:ind w:left="20"/>
              <w:spacing w:after="0"/>
              <w:rPr>
                <w:sz w:val="20"/>
                <w:szCs w:val="20"/>
                <w:color w:val="auto"/>
              </w:rPr>
            </w:pPr>
            <w:r>
              <w:rPr>
                <w:rFonts w:ascii="Arial" w:cs="Arial" w:eastAsia="Arial" w:hAnsi="Arial"/>
                <w:sz w:val="16"/>
                <w:szCs w:val="16"/>
                <w:b w:val="1"/>
                <w:bCs w:val="1"/>
                <w:color w:val="auto"/>
              </w:rPr>
              <w:t>Earnings per share - diluted</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3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3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16"/>
        </w:trPr>
        <w:tc>
          <w:tcPr>
            <w:tcW w:w="452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Interest expense on convertible notes, net of tax</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5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Diluted net income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Weighted average common shares outstanding</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16"/>
        </w:trPr>
        <w:tc>
          <w:tcPr>
            <w:tcW w:w="4520" w:type="dxa"/>
            <w:vAlign w:val="bottom"/>
            <w:gridSpan w:val="2"/>
          </w:tcPr>
          <w:p>
            <w:pPr>
              <w:ind w:left="120"/>
              <w:spacing w:after="0"/>
              <w:rPr>
                <w:sz w:val="20"/>
                <w:szCs w:val="20"/>
                <w:color w:val="auto"/>
              </w:rPr>
            </w:pPr>
            <w:r>
              <w:rPr>
                <w:rFonts w:ascii="Arial" w:cs="Arial" w:eastAsia="Arial" w:hAnsi="Arial"/>
                <w:sz w:val="16"/>
                <w:szCs w:val="16"/>
                <w:color w:val="auto"/>
              </w:rPr>
              <w:t>Dilutive impact of stock compensation awards</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6"/>
        </w:trPr>
        <w:tc>
          <w:tcPr>
            <w:tcW w:w="4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Dilutive impact of convertible notes</w:t>
            </w: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6"/>
        </w:trPr>
        <w:tc>
          <w:tcPr>
            <w:tcW w:w="4520" w:type="dxa"/>
            <w:vAlign w:val="bottom"/>
            <w:gridSpan w:val="2"/>
          </w:tcPr>
          <w:p>
            <w:pPr>
              <w:ind w:left="120"/>
              <w:spacing w:after="0" w:line="155" w:lineRule="exact"/>
              <w:rPr>
                <w:sz w:val="20"/>
                <w:szCs w:val="20"/>
                <w:color w:val="auto"/>
              </w:rPr>
            </w:pPr>
            <w:r>
              <w:rPr>
                <w:rFonts w:ascii="Arial" w:cs="Arial" w:eastAsia="Arial" w:hAnsi="Arial"/>
                <w:sz w:val="16"/>
                <w:szCs w:val="16"/>
                <w:color w:val="auto"/>
              </w:rPr>
              <w:t>Weighted average common shares outstanding, assuming</w:t>
            </w:r>
          </w:p>
        </w:tc>
        <w:tc>
          <w:tcPr>
            <w:tcW w:w="20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16"/>
        </w:trPr>
        <w:tc>
          <w:tcPr>
            <w:tcW w:w="4520" w:type="dxa"/>
            <w:vAlign w:val="bottom"/>
            <w:gridSpan w:val="2"/>
          </w:tcPr>
          <w:p>
            <w:pPr>
              <w:ind w:left="120"/>
              <w:spacing w:after="0"/>
              <w:rPr>
                <w:sz w:val="20"/>
                <w:szCs w:val="20"/>
                <w:color w:val="auto"/>
              </w:rPr>
            </w:pPr>
            <w:r>
              <w:rPr>
                <w:rFonts w:ascii="Arial" w:cs="Arial" w:eastAsia="Arial" w:hAnsi="Arial"/>
                <w:sz w:val="16"/>
                <w:szCs w:val="16"/>
                <w:color w:val="auto"/>
              </w:rPr>
              <w:t>dilution</w:t>
            </w:r>
          </w:p>
        </w:tc>
        <w:tc>
          <w:tcPr>
            <w:tcW w:w="20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520" w:type="dxa"/>
            <w:vAlign w:val="bottom"/>
            <w:gridSpan w:val="2"/>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4520" w:type="dxa"/>
            <w:vAlign w:val="bottom"/>
            <w:gridSpan w:val="2"/>
          </w:tcPr>
          <w:p>
            <w:pPr>
              <w:ind w:left="120"/>
              <w:spacing w:after="0" w:line="162" w:lineRule="exact"/>
              <w:rPr>
                <w:sz w:val="20"/>
                <w:szCs w:val="20"/>
                <w:color w:val="auto"/>
              </w:rPr>
            </w:pPr>
            <w:r>
              <w:rPr>
                <w:rFonts w:ascii="Arial" w:cs="Arial" w:eastAsia="Arial" w:hAnsi="Arial"/>
                <w:sz w:val="16"/>
                <w:szCs w:val="16"/>
                <w:color w:val="auto"/>
              </w:rPr>
              <w:t>Anti-dilutive securities excluded from weighted average</w:t>
            </w:r>
          </w:p>
        </w:tc>
        <w:tc>
          <w:tcPr>
            <w:tcW w:w="20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6"/>
        </w:trPr>
        <w:tc>
          <w:tcPr>
            <w:tcW w:w="4520" w:type="dxa"/>
            <w:vAlign w:val="bottom"/>
            <w:gridSpan w:val="2"/>
          </w:tcPr>
          <w:p>
            <w:pPr>
              <w:ind w:left="120"/>
              <w:spacing w:after="0"/>
              <w:rPr>
                <w:sz w:val="20"/>
                <w:szCs w:val="20"/>
                <w:color w:val="auto"/>
              </w:rPr>
            </w:pPr>
            <w:r>
              <w:rPr>
                <w:rFonts w:ascii="Arial" w:cs="Arial" w:eastAsia="Arial" w:hAnsi="Arial"/>
                <w:sz w:val="16"/>
                <w:szCs w:val="16"/>
                <w:color w:val="auto"/>
              </w:rPr>
              <w:t>common shares outstanding, assuming dilution</w:t>
            </w:r>
          </w:p>
        </w:tc>
        <w:tc>
          <w:tcPr>
            <w:tcW w:w="20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520" w:type="dxa"/>
            <w:vAlign w:val="bottom"/>
            <w:tcBorders>
              <w:bottom w:val="single" w:sz="8" w:color="CCEEFF"/>
            </w:tcBorders>
            <w:gridSpan w:val="2"/>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520" w:type="dxa"/>
            <w:vAlign w:val="bottom"/>
            <w:gridSpan w:val="2"/>
          </w:tcPr>
          <w:p>
            <w:pPr>
              <w:ind w:left="220"/>
              <w:spacing w:after="0" w:line="210" w:lineRule="exact"/>
              <w:rPr>
                <w:sz w:val="20"/>
                <w:szCs w:val="20"/>
                <w:color w:val="auto"/>
              </w:rPr>
            </w:pPr>
            <w:r>
              <w:rPr>
                <w:rFonts w:ascii="Arial" w:cs="Arial" w:eastAsia="Arial" w:hAnsi="Arial"/>
                <w:sz w:val="16"/>
                <w:szCs w:val="16"/>
                <w:color w:val="auto"/>
              </w:rPr>
              <w:t>Diluted earnings per common share</w:t>
            </w:r>
            <w:r>
              <w:rPr>
                <w:rFonts w:ascii="Arial" w:cs="Arial" w:eastAsia="Arial" w:hAnsi="Arial"/>
                <w:sz w:val="21"/>
                <w:szCs w:val="21"/>
                <w:color w:val="auto"/>
                <w:vertAlign w:val="superscript"/>
              </w:rPr>
              <w:t>(1)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0.51</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0.62</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0.87</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0.42</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287" w:hanging="287"/>
        <w:spacing w:after="0"/>
        <w:tabs>
          <w:tab w:leader="none" w:pos="287" w:val="left"/>
        </w:tabs>
        <w:numPr>
          <w:ilvl w:val="0"/>
          <w:numId w:val="9"/>
        </w:numPr>
        <w:rPr>
          <w:rFonts w:ascii="Arial" w:cs="Arial" w:eastAsia="Arial" w:hAnsi="Arial"/>
          <w:sz w:val="21"/>
          <w:szCs w:val="21"/>
          <w:color w:val="auto"/>
          <w:vertAlign w:val="superscript"/>
        </w:rPr>
      </w:pPr>
      <w:r>
        <w:rPr>
          <w:rFonts w:ascii="Arial" w:cs="Arial" w:eastAsia="Arial" w:hAnsi="Arial"/>
          <w:sz w:val="14"/>
          <w:szCs w:val="14"/>
          <w:color w:val="auto"/>
        </w:rPr>
        <w:t>Earnings per share amounts are calculated based on unrounded numbers and therefore may not recalculate using the rounded numbers provided.</w:t>
      </w:r>
    </w:p>
    <w:p>
      <w:pPr>
        <w:spacing w:after="0" w:line="273" w:lineRule="exact"/>
        <w:rPr>
          <w:sz w:val="20"/>
          <w:szCs w:val="20"/>
          <w:color w:val="auto"/>
        </w:rPr>
      </w:pPr>
    </w:p>
    <w:p>
      <w:pPr>
        <w:ind w:left="7" w:right="200"/>
        <w:spacing w:after="0" w:line="259" w:lineRule="auto"/>
        <w:rPr>
          <w:sz w:val="20"/>
          <w:szCs w:val="20"/>
          <w:color w:val="auto"/>
        </w:rPr>
      </w:pPr>
      <w:r>
        <w:rPr>
          <w:rFonts w:ascii="Arial" w:cs="Arial" w:eastAsia="Arial" w:hAnsi="Arial"/>
          <w:sz w:val="16"/>
          <w:szCs w:val="16"/>
          <w:color w:val="auto"/>
        </w:rPr>
        <w:t>The dilutive effect of stock compensation awards, if any, was determined using the treasury stock method while the dilutive impact of the 2030 Convertible Notes was determined using the if-converted method. Under the treasury stock method, shares associated with certain anti-dilutive securities have been excluded from the diluted weighted average shares outstanding calculation because the exercise of those options would lead to a net reduction in common shares outstanding or anti-dilution. Under the if-converted method, the 2030 Convertible Notes are assumed to be converted into common stock at the beginning of the reporting period. However, since we are required to settle the principal amount in cash and any conversion premium in excess of the principal amount in cash, shares of common stock, or a combination of cash and shares of common stock, at our election, the 2030 Convertible Notes only have an impact on diluted earnings per share when the average share price of our common stock exceeds the conversion price.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79375</wp:posOffset>
            </wp:positionV>
            <wp:extent cx="71831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13" w:right="318"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The terms "Winnebago," "we," "us," and "our," unless the context otherwise requires, refer to Winnebago Industries, Inc. and its wholly-owned subsidiaries.</w:t>
      </w:r>
    </w:p>
    <w:p>
      <w:pPr>
        <w:spacing w:after="0" w:line="262"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Unless otherwise noted, transactions and other factors significantly impacting our financial condition, results of operations and liquidity are discussed in order of magnitude.</w:t>
      </w:r>
    </w:p>
    <w:p>
      <w:pPr>
        <w:spacing w:after="0" w:line="194" w:lineRule="exact"/>
        <w:rPr>
          <w:sz w:val="20"/>
          <w:szCs w:val="20"/>
          <w:color w:val="auto"/>
        </w:rPr>
      </w:pPr>
    </w:p>
    <w:p>
      <w:pPr>
        <w:ind w:right="220"/>
        <w:spacing w:after="0" w:line="273" w:lineRule="auto"/>
        <w:rPr>
          <w:sz w:val="20"/>
          <w:szCs w:val="20"/>
          <w:color w:val="auto"/>
        </w:rPr>
      </w:pPr>
      <w:r>
        <w:rPr>
          <w:rFonts w:ascii="Arial" w:cs="Arial" w:eastAsia="Arial" w:hAnsi="Arial"/>
          <w:sz w:val="16"/>
          <w:szCs w:val="16"/>
          <w:color w:val="auto"/>
        </w:rPr>
        <w:t>Our MD&amp;A should be read in conjunction with the Consolidated Financial Statements and related Notes included in Item 1 of Part I of this Quarterly Report on Form 10-Q and our Annual Report on Form 10-K for the fiscal year ended August 30, 2025 (including the information presented therein under Risk Factors), as well as our reports on Forms 10-Q and 8-K and other publicly available information. All amounts herein are unaudited. All amounts are in millions, except share and per share data, unless otherwise noted.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15"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Winnebago Industries, Inc. is a leading North American manufacturer of outdoor lifestyle products under the Winnebago, Grand Design, Chris-Craft, Newmar and Barletta brands, which are used primarily in leisure travel and outdoor recreation activities. We also design and manufacture advanced battery solutions that deliver “house power,” supporting internal electrical features and appliances for a variety of outdoor products including RVs, boats, specialty and other low-speed vehicles, as well as other industrial applications. Other products manufactured by us consist primarily of original equipment manufacturing parts for other manufacturers and commercial vehicles. We produce our motorhome RV units in Iowa and Indiana; our towable RV units in Indiana; our marine units in Indiana and Florida; and our battery solutions in Florida. We distribute our RV and marine products primarily through independent dealers throughout the U.S. and Canada, who then retail the products to the end consumer. We also distribute our marine products internationally through independent dealers, who then retail the products to the end consumer. Our battery solutions are primarily sold to customers in the U.S.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Known Trends and Uncertainties</w:t>
      </w:r>
    </w:p>
    <w:p>
      <w:pPr>
        <w:spacing w:after="0" w:line="115" w:lineRule="exact"/>
        <w:rPr>
          <w:sz w:val="20"/>
          <w:szCs w:val="20"/>
          <w:color w:val="auto"/>
        </w:rPr>
      </w:pPr>
    </w:p>
    <w:p>
      <w:pPr>
        <w:ind w:right="240"/>
        <w:spacing w:after="0" w:line="267" w:lineRule="auto"/>
        <w:rPr>
          <w:sz w:val="20"/>
          <w:szCs w:val="20"/>
          <w:color w:val="auto"/>
        </w:rPr>
      </w:pPr>
      <w:r>
        <w:rPr>
          <w:rFonts w:ascii="Arial" w:cs="Arial" w:eastAsia="Arial" w:hAnsi="Arial"/>
          <w:sz w:val="16"/>
          <w:szCs w:val="16"/>
          <w:color w:val="auto"/>
        </w:rPr>
        <w:t>Recently, conflicts among the United States, Israel, and Iran intensified, contributing to higher global energy prices due to supply disruptions in the Middle East. Sustained increases in energy costs may further pressure consumer discretionary spending and demand for RV and marine products. Further, these conditions may contribute to broader inflationary pressures and delay expected interest rate reductions, which could result in higher borrowing costs for consumers.</w:t>
      </w:r>
    </w:p>
    <w:p>
      <w:pPr>
        <w:spacing w:after="0" w:line="72" w:lineRule="exact"/>
        <w:rPr>
          <w:sz w:val="20"/>
          <w:szCs w:val="20"/>
          <w:color w:val="auto"/>
        </w:rPr>
      </w:pPr>
    </w:p>
    <w:p>
      <w:pPr>
        <w:ind w:right="320"/>
        <w:spacing w:after="0" w:line="267" w:lineRule="auto"/>
        <w:rPr>
          <w:sz w:val="20"/>
          <w:szCs w:val="20"/>
          <w:color w:val="auto"/>
        </w:rPr>
      </w:pPr>
      <w:r>
        <w:rPr>
          <w:rFonts w:ascii="Arial" w:cs="Arial" w:eastAsia="Arial" w:hAnsi="Arial"/>
          <w:sz w:val="16"/>
          <w:szCs w:val="16"/>
          <w:color w:val="auto"/>
        </w:rPr>
        <w:t>Our business also continues to be challenged by additional macroeconomic conditions impacting retail consumers and our dealers, such as inflation, elevated interest rates, and lower consumer confidence. These factors have contributed to lower consumer spending and reduced short-term demand for large discretionary products such as RVs and marine products. In response, our dealers continue to exercise caution when managing stocking levels. Competitive market pressures continue to be observed across our portfolio.</w:t>
      </w:r>
    </w:p>
    <w:p>
      <w:pPr>
        <w:spacing w:after="0" w:line="194" w:lineRule="exact"/>
        <w:rPr>
          <w:sz w:val="20"/>
          <w:szCs w:val="20"/>
          <w:color w:val="auto"/>
        </w:rPr>
      </w:pPr>
    </w:p>
    <w:p>
      <w:pPr>
        <w:ind w:right="160"/>
        <w:spacing w:after="0" w:line="277" w:lineRule="auto"/>
        <w:rPr>
          <w:sz w:val="20"/>
          <w:szCs w:val="20"/>
          <w:color w:val="auto"/>
        </w:rPr>
      </w:pPr>
      <w:r>
        <w:rPr>
          <w:rFonts w:ascii="Arial" w:cs="Arial" w:eastAsia="Arial" w:hAnsi="Arial"/>
          <w:sz w:val="16"/>
          <w:szCs w:val="16"/>
          <w:color w:val="auto"/>
        </w:rPr>
        <w:t>We expect that as consumer demand stabilizes, dealers will return to more stable ordering patterns across our portfolio of businesses. We continue to produce and ship in accordance with dealer demand as evidenced and requested by dealer orders. Despite the current economic uncertainty, we believe in the long-term health of consumer demand for RV and marine products.</w:t>
      </w:r>
    </w:p>
    <w:p>
      <w:pPr>
        <w:spacing w:after="0" w:line="200" w:lineRule="exact"/>
        <w:rPr>
          <w:sz w:val="20"/>
          <w:szCs w:val="20"/>
          <w:color w:val="auto"/>
        </w:rPr>
      </w:pPr>
    </w:p>
    <w:p>
      <w:pPr>
        <w:jc w:val="both"/>
        <w:ind w:right="80"/>
        <w:spacing w:after="0" w:line="267" w:lineRule="auto"/>
        <w:rPr>
          <w:sz w:val="20"/>
          <w:szCs w:val="20"/>
          <w:color w:val="auto"/>
        </w:rPr>
      </w:pPr>
      <w:r>
        <w:rPr>
          <w:rFonts w:ascii="Arial" w:cs="Arial" w:eastAsia="Arial" w:hAnsi="Arial"/>
          <w:sz w:val="16"/>
          <w:szCs w:val="16"/>
          <w:color w:val="auto"/>
        </w:rPr>
        <w:t>On February 20, 2026, the United States Supreme Court issued a decision concluding that the International Emergency Economic Powers Act (IEEPA) does not authorize the imposition of tariffs. The financial impact of this decision cannot be reasonably estimated at this time; however, this decision did not have a material impact on our financial statements for the nine months ended May 30, 2026. We will continue to monitor developments and will assess the effect of the ruling or of impending refund of tariffs directly associated with IEEPA on future reporting periods as additional information becomes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70485</wp:posOffset>
            </wp:positionV>
            <wp:extent cx="71831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23" w:name="page24"/>
    <w:bookmarkEnd w:id="23"/>
    <w:p>
      <w:pPr>
        <w:ind w:left="7"/>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Results of Operations - Three Months Ended May 30, 2026 Compared to Three Months Ended May 31, 2025</w:t>
      </w:r>
    </w:p>
    <w:p>
      <w:pPr>
        <w:spacing w:after="0" w:line="250"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Consolidated Performance Summary</w:t>
      </w:r>
    </w:p>
    <w:p>
      <w:pPr>
        <w:spacing w:after="0" w:line="127" w:lineRule="exact"/>
        <w:rPr>
          <w:sz w:val="20"/>
          <w:szCs w:val="20"/>
          <w:color w:val="auto"/>
        </w:rPr>
      </w:pPr>
    </w:p>
    <w:p>
      <w:pPr>
        <w:ind w:left="7" w:right="80"/>
        <w:spacing w:after="0" w:line="280" w:lineRule="auto"/>
        <w:rPr>
          <w:sz w:val="20"/>
          <w:szCs w:val="20"/>
          <w:color w:val="auto"/>
        </w:rPr>
      </w:pPr>
      <w:r>
        <w:rPr>
          <w:rFonts w:ascii="Arial" w:cs="Arial" w:eastAsia="Arial" w:hAnsi="Arial"/>
          <w:sz w:val="16"/>
          <w:szCs w:val="16"/>
          <w:color w:val="auto"/>
        </w:rPr>
        <w:t>The following is an analysis of changes in key items included in the Consolidated Statements of Income for the three months ended May 30, 2026 compared to the three months ended May 31, 2025:</w:t>
      </w:r>
    </w:p>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223"/>
        </w:trPr>
        <w:tc>
          <w:tcPr>
            <w:tcW w:w="2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560" w:type="dxa"/>
            <w:vAlign w:val="bottom"/>
          </w:tcPr>
          <w:p>
            <w:pPr>
              <w:ind w:left="20"/>
              <w:spacing w:after="0"/>
              <w:rPr>
                <w:sz w:val="20"/>
                <w:szCs w:val="20"/>
                <w:color w:val="auto"/>
              </w:rPr>
            </w:pPr>
            <w:r>
              <w:rPr>
                <w:rFonts w:ascii="Arial" w:cs="Arial" w:eastAsia="Arial" w:hAnsi="Arial"/>
                <w:sz w:val="14"/>
                <w:szCs w:val="14"/>
                <w:color w:val="auto"/>
              </w:rPr>
              <w:t>($ in millions, except per share data)</w:t>
            </w:r>
          </w:p>
        </w:tc>
        <w:tc>
          <w:tcPr>
            <w:tcW w:w="160" w:type="dxa"/>
            <w:vAlign w:val="bottom"/>
          </w:tcPr>
          <w:p>
            <w:pPr>
              <w:spacing w:after="0"/>
              <w:rPr>
                <w:sz w:val="18"/>
                <w:szCs w:val="18"/>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30, 2026</w:t>
            </w:r>
          </w:p>
        </w:tc>
        <w:tc>
          <w:tcPr>
            <w:tcW w:w="80" w:type="dxa"/>
            <w:vAlign w:val="bottom"/>
          </w:tcPr>
          <w:p>
            <w:pPr>
              <w:spacing w:after="0"/>
              <w:rPr>
                <w:sz w:val="18"/>
                <w:szCs w:val="18"/>
                <w:color w:val="auto"/>
              </w:rPr>
            </w:pPr>
          </w:p>
        </w:tc>
        <w:tc>
          <w:tcPr>
            <w:tcW w:w="1400" w:type="dxa"/>
            <w:vAlign w:val="bottom"/>
          </w:tcPr>
          <w:p>
            <w:pPr>
              <w:jc w:val="right"/>
              <w:spacing w:after="0" w:line="210"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b w:val="1"/>
                <w:bCs w:val="1"/>
                <w:color w:val="auto"/>
              </w:rPr>
              <w:t>May 31, 2025</w:t>
            </w:r>
          </w:p>
        </w:tc>
        <w:tc>
          <w:tcPr>
            <w:tcW w:w="100" w:type="dxa"/>
            <w:vAlign w:val="bottom"/>
          </w:tcPr>
          <w:p>
            <w:pPr>
              <w:spacing w:after="0"/>
              <w:rPr>
                <w:sz w:val="18"/>
                <w:szCs w:val="18"/>
                <w:color w:val="auto"/>
              </w:rPr>
            </w:pPr>
          </w:p>
        </w:tc>
        <w:tc>
          <w:tcPr>
            <w:tcW w:w="1380" w:type="dxa"/>
            <w:vAlign w:val="bottom"/>
          </w:tcPr>
          <w:p>
            <w:pPr>
              <w:jc w:val="right"/>
              <w:spacing w:after="0" w:line="210"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4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119"/>
              <w:spacing w:after="0" w:line="210" w:lineRule="exact"/>
              <w:rPr>
                <w:sz w:val="20"/>
                <w:szCs w:val="20"/>
                <w:color w:val="auto"/>
              </w:rPr>
            </w:pPr>
            <w:r>
              <w:rPr>
                <w:rFonts w:ascii="Arial" w:cs="Arial" w:eastAsia="Arial" w:hAnsi="Arial"/>
                <w:sz w:val="16"/>
                <w:szCs w:val="16"/>
                <w:b w:val="1"/>
                <w:bCs w:val="1"/>
                <w:color w:val="auto"/>
                <w:w w:val="94"/>
              </w:rPr>
              <w:t>Change</w:t>
            </w:r>
            <w:r>
              <w:rPr>
                <w:rFonts w:ascii="Arial" w:cs="Arial" w:eastAsia="Arial" w:hAnsi="Arial"/>
                <w:sz w:val="21"/>
                <w:szCs w:val="21"/>
                <w:b w:val="1"/>
                <w:bCs w:val="1"/>
                <w:color w:val="auto"/>
                <w:w w:val="94"/>
                <w:vertAlign w:val="superscript"/>
              </w:rPr>
              <w:t>(1)</w:t>
            </w:r>
          </w:p>
        </w:tc>
        <w:tc>
          <w:tcPr>
            <w:tcW w:w="100" w:type="dxa"/>
            <w:vAlign w:val="bottom"/>
          </w:tcPr>
          <w:p>
            <w:pPr>
              <w:spacing w:after="0"/>
              <w:rPr>
                <w:sz w:val="18"/>
                <w:szCs w:val="18"/>
                <w:color w:val="auto"/>
              </w:rPr>
            </w:pPr>
          </w:p>
        </w:tc>
        <w:tc>
          <w:tcPr>
            <w:tcW w:w="1360" w:type="dxa"/>
            <w:vAlign w:val="bottom"/>
          </w:tcPr>
          <w:p>
            <w:pPr>
              <w:jc w:val="right"/>
              <w:ind w:right="139"/>
              <w:spacing w:after="0" w:line="210" w:lineRule="exact"/>
              <w:rPr>
                <w:sz w:val="20"/>
                <w:szCs w:val="20"/>
                <w:color w:val="auto"/>
              </w:rPr>
            </w:pPr>
            <w:r>
              <w:rPr>
                <w:rFonts w:ascii="Arial" w:cs="Arial" w:eastAsia="Arial" w:hAnsi="Arial"/>
                <w:sz w:val="16"/>
                <w:szCs w:val="16"/>
                <w:b w:val="1"/>
                <w:bCs w:val="1"/>
                <w:color w:val="auto"/>
              </w:rPr>
              <w:t>% Change</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10"/>
        </w:trPr>
        <w:tc>
          <w:tcPr>
            <w:tcW w:w="2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698.7</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775.1</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(76.4)</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6"/>
        </w:trPr>
        <w:tc>
          <w:tcPr>
            <w:tcW w:w="256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603.8</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86.4 %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669.1</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86.3 %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(65.3)</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09"/>
        </w:trPr>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94.9</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106.0</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13.7 %</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142"/>
        </w:trPr>
        <w:tc>
          <w:tcPr>
            <w:tcW w:w="2560" w:type="dxa"/>
            <w:vAlign w:val="bottom"/>
          </w:tcPr>
          <w:p>
            <w:pPr>
              <w:ind w:left="20"/>
              <w:spacing w:after="0" w:line="142" w:lineRule="exact"/>
              <w:rPr>
                <w:sz w:val="20"/>
                <w:szCs w:val="20"/>
                <w:color w:val="auto"/>
              </w:rPr>
            </w:pPr>
            <w:r>
              <w:rPr>
                <w:rFonts w:ascii="Arial" w:cs="Arial" w:eastAsia="Arial" w:hAnsi="Arial"/>
                <w:sz w:val="16"/>
                <w:szCs w:val="16"/>
                <w:color w:val="auto"/>
              </w:rPr>
              <w:t>Selling, general, and administrative</w:t>
            </w:r>
          </w:p>
        </w:tc>
        <w:tc>
          <w:tcPr>
            <w:tcW w:w="16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66.5</w:t>
            </w:r>
          </w:p>
        </w:tc>
        <w:tc>
          <w:tcPr>
            <w:tcW w:w="1480" w:type="dxa"/>
            <w:vAlign w:val="bottom"/>
            <w:gridSpan w:val="2"/>
            <w:vMerge w:val="restart"/>
          </w:tcPr>
          <w:p>
            <w:pPr>
              <w:jc w:val="right"/>
              <w:spacing w:after="0"/>
              <w:rPr>
                <w:sz w:val="20"/>
                <w:szCs w:val="20"/>
                <w:color w:val="auto"/>
              </w:rPr>
            </w:pPr>
            <w:r>
              <w:rPr>
                <w:rFonts w:ascii="Arial" w:cs="Arial" w:eastAsia="Arial" w:hAnsi="Arial"/>
                <w:sz w:val="16"/>
                <w:szCs w:val="16"/>
                <w:color w:val="auto"/>
              </w:rPr>
              <w:t>9.5 %</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70.3</w:t>
            </w:r>
          </w:p>
        </w:tc>
        <w:tc>
          <w:tcPr>
            <w:tcW w:w="1480" w:type="dxa"/>
            <w:vAlign w:val="bottom"/>
            <w:gridSpan w:val="2"/>
            <w:vMerge w:val="restart"/>
          </w:tcPr>
          <w:p>
            <w:pPr>
              <w:jc w:val="right"/>
              <w:spacing w:after="0"/>
              <w:rPr>
                <w:sz w:val="20"/>
                <w:szCs w:val="20"/>
                <w:color w:val="auto"/>
              </w:rPr>
            </w:pPr>
            <w:r>
              <w:rPr>
                <w:rFonts w:ascii="Arial" w:cs="Arial" w:eastAsia="Arial" w:hAnsi="Arial"/>
                <w:sz w:val="16"/>
                <w:szCs w:val="16"/>
                <w:color w:val="auto"/>
              </w:rPr>
              <w:t>9.1 %</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1460" w:type="dxa"/>
            <w:vAlign w:val="bottom"/>
            <w:gridSpan w:val="2"/>
            <w:vMerge w:val="restart"/>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6"/>
        </w:trPr>
        <w:tc>
          <w:tcPr>
            <w:tcW w:w="2560" w:type="dxa"/>
            <w:vAlign w:val="bottom"/>
          </w:tcPr>
          <w:p>
            <w:pPr>
              <w:ind w:left="20"/>
              <w:spacing w:after="0"/>
              <w:rPr>
                <w:sz w:val="20"/>
                <w:szCs w:val="20"/>
                <w:color w:val="auto"/>
              </w:rPr>
            </w:pPr>
            <w:r>
              <w:rPr>
                <w:rFonts w:ascii="Arial" w:cs="Arial" w:eastAsia="Arial" w:hAnsi="Arial"/>
                <w:sz w:val="16"/>
                <w:szCs w:val="16"/>
                <w:color w:val="auto"/>
              </w:rPr>
              <w:t>expenses</w:t>
            </w:r>
          </w:p>
        </w:tc>
        <w:tc>
          <w:tcPr>
            <w:tcW w:w="1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0"/>
        </w:trPr>
        <w:tc>
          <w:tcPr>
            <w:tcW w:w="2560" w:type="dxa"/>
            <w:vAlign w:val="bottom"/>
          </w:tcPr>
          <w:p>
            <w:pPr>
              <w:ind w:left="20"/>
              <w:spacing w:after="0"/>
              <w:rPr>
                <w:sz w:val="20"/>
                <w:szCs w:val="20"/>
                <w:color w:val="auto"/>
              </w:rPr>
            </w:pPr>
            <w:r>
              <w:rPr>
                <w:rFonts w:ascii="Arial" w:cs="Arial" w:eastAsia="Arial" w:hAnsi="Arial"/>
                <w:sz w:val="16"/>
                <w:szCs w:val="16"/>
                <w:color w:val="auto"/>
              </w:rPr>
              <w:t>Total operating expenses</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w:t>
            </w:r>
          </w:p>
        </w:tc>
        <w:tc>
          <w:tcPr>
            <w:tcW w:w="8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10.3 %</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9.8 %</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09"/>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16"/>
        </w:trPr>
        <w:tc>
          <w:tcPr>
            <w:tcW w:w="256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0.7 %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6.7</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16"/>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Non-operating income</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0"/>
        </w:trPr>
        <w:tc>
          <w:tcPr>
            <w:tcW w:w="256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2.6 %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23.9</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16"/>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0" w:type="dxa"/>
            <w:vAlign w:val="bottom"/>
          </w:tcPr>
          <w:p>
            <w:pPr>
              <w:spacing w:after="0"/>
              <w:rPr>
                <w:sz w:val="1"/>
                <w:szCs w:val="1"/>
                <w:color w:val="auto"/>
              </w:rPr>
            </w:pPr>
          </w:p>
        </w:tc>
      </w:tr>
      <w:tr>
        <w:trPr>
          <w:trHeight w:val="209"/>
        </w:trPr>
        <w:tc>
          <w:tcPr>
            <w:tcW w:w="25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14.5</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2.1 %</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17.6</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2.3 %</w:t>
            </w:r>
          </w:p>
        </w:tc>
        <w:tc>
          <w:tcPr>
            <w:tcW w:w="4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(3.1)</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0"/>
        </w:trPr>
        <w:tc>
          <w:tcPr>
            <w:tcW w:w="25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0.51</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(0.11)</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162"/>
        </w:trPr>
        <w:tc>
          <w:tcPr>
            <w:tcW w:w="256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Diluted weighted average shares</w:t>
            </w:r>
          </w:p>
        </w:tc>
        <w:tc>
          <w:tcPr>
            <w:tcW w:w="1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w:t>
            </w:r>
          </w:p>
        </w:tc>
        <w:tc>
          <w:tcPr>
            <w:tcW w:w="16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247" w:right="40" w:hanging="247"/>
        <w:spacing w:after="0" w:line="220" w:lineRule="auto"/>
        <w:tabs>
          <w:tab w:leader="none" w:pos="285" w:val="left"/>
        </w:tabs>
        <w:numPr>
          <w:ilvl w:val="0"/>
          <w:numId w:val="10"/>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 In addition, percentages may not add in total due to rounding.</w:t>
      </w:r>
    </w:p>
    <w:p>
      <w:pPr>
        <w:spacing w:after="0" w:line="261" w:lineRule="exact"/>
        <w:rPr>
          <w:sz w:val="20"/>
          <w:szCs w:val="20"/>
          <w:color w:val="auto"/>
        </w:rPr>
      </w:pPr>
    </w:p>
    <w:p>
      <w:pPr>
        <w:ind w:left="7"/>
        <w:spacing w:after="0"/>
        <w:rPr>
          <w:sz w:val="20"/>
          <w:szCs w:val="20"/>
          <w:color w:val="auto"/>
        </w:rPr>
      </w:pPr>
      <w:r>
        <w:rPr>
          <w:rFonts w:ascii="Arial" w:cs="Arial" w:eastAsia="Arial" w:hAnsi="Arial"/>
          <w:sz w:val="16"/>
          <w:szCs w:val="16"/>
          <w:color w:val="auto"/>
        </w:rPr>
        <w:t>Net revenues decreased primarily due to lower unit volume, partially offset by selective price adjustments and product mix.</w:t>
      </w:r>
    </w:p>
    <w:p>
      <w:pPr>
        <w:spacing w:after="0" w:line="262" w:lineRule="exact"/>
        <w:rPr>
          <w:sz w:val="20"/>
          <w:szCs w:val="20"/>
          <w:color w:val="auto"/>
        </w:rPr>
      </w:pPr>
    </w:p>
    <w:p>
      <w:pPr>
        <w:ind w:left="7" w:right="900"/>
        <w:spacing w:after="0" w:line="291" w:lineRule="auto"/>
        <w:rPr>
          <w:sz w:val="20"/>
          <w:szCs w:val="20"/>
          <w:color w:val="auto"/>
        </w:rPr>
      </w:pPr>
      <w:r>
        <w:rPr>
          <w:rFonts w:ascii="Arial" w:cs="Arial" w:eastAsia="Arial" w:hAnsi="Arial"/>
          <w:sz w:val="16"/>
          <w:szCs w:val="16"/>
          <w:color w:val="auto"/>
        </w:rPr>
        <w:t>Gross profit as a percentage of revenue was consistent with prior year as higher input costs and deleverage were largely offset by selective price adjustments.</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color w:val="auto"/>
        </w:rPr>
        <w:t>Operating expenses decreased primarily due to cost reduction initiatives.</w:t>
      </w:r>
    </w:p>
    <w:p>
      <w:pPr>
        <w:spacing w:after="0" w:line="248"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change in our effective tax rate is primarily attributable to an increase in R&amp;D tax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831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16" w:right="318" w:bottom="1440" w:gutter="0" w:footer="0" w:header="0"/>
        </w:sectPr>
      </w:pPr>
    </w:p>
    <w:bookmarkStart w:id="24" w:name="page25"/>
    <w:bookmarkEnd w:id="24"/>
    <w:p>
      <w:pPr>
        <w:ind w:left="7"/>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Reportable Segment Performance Summary</w:t>
      </w:r>
    </w:p>
    <w:p>
      <w:pPr>
        <w:spacing w:after="0" w:line="115"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Towable RV</w:t>
      </w:r>
    </w:p>
    <w:p>
      <w:pPr>
        <w:spacing w:after="0" w:line="125"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following is an analysis of key changes in our Towable RV segment for the three months ended May 30, 2026 compared to the three months ended</w:t>
      </w:r>
    </w:p>
    <w:p>
      <w:pPr>
        <w:spacing w:after="0" w:line="25" w:lineRule="exact"/>
        <w:rPr>
          <w:sz w:val="20"/>
          <w:szCs w:val="20"/>
          <w:color w:val="auto"/>
        </w:rPr>
      </w:pPr>
    </w:p>
    <w:p>
      <w:pPr>
        <w:ind w:left="7"/>
        <w:spacing w:after="0"/>
        <w:rPr>
          <w:sz w:val="20"/>
          <w:szCs w:val="20"/>
          <w:color w:val="auto"/>
        </w:rPr>
      </w:pPr>
      <w:r>
        <w:rPr>
          <w:rFonts w:ascii="Arial" w:cs="Arial" w:eastAsia="Arial" w:hAnsi="Arial"/>
          <w:sz w:val="16"/>
          <w:szCs w:val="16"/>
          <w:color w:val="auto"/>
        </w:rPr>
        <w:t>May 31, 2025:</w:t>
      </w:r>
    </w:p>
    <w:p>
      <w:pPr>
        <w:spacing w:after="0" w:line="37" w:lineRule="exact"/>
        <w:rPr>
          <w:sz w:val="20"/>
          <w:szCs w:val="20"/>
          <w:color w:val="auto"/>
        </w:rPr>
      </w:pPr>
    </w:p>
    <w:tbl>
      <w:tblPr>
        <w:tblLayout w:type="fixed"/>
        <w:tblInd w:w="7" w:type="dxa"/>
        <w:tblCellMar>
          <w:top w:w="0" w:type="dxa"/>
          <w:left w:w="0" w:type="dxa"/>
          <w:bottom w:w="0" w:type="dxa"/>
          <w:right w:w="0" w:type="dxa"/>
        </w:tblCellMar>
      </w:tblPr>
      <w:tr>
        <w:trPr>
          <w:trHeight w:val="223"/>
        </w:trPr>
        <w:tc>
          <w:tcPr>
            <w:tcW w:w="2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r>
      <w:tr>
        <w:trPr>
          <w:trHeight w:val="209"/>
        </w:trPr>
        <w:tc>
          <w:tcPr>
            <w:tcW w:w="2540" w:type="dxa"/>
            <w:vAlign w:val="bottom"/>
          </w:tcPr>
          <w:p>
            <w:pPr>
              <w:ind w:left="20"/>
              <w:spacing w:after="0"/>
              <w:rPr>
                <w:sz w:val="20"/>
                <w:szCs w:val="20"/>
                <w:color w:val="auto"/>
              </w:rPr>
            </w:pPr>
            <w:r>
              <w:rPr>
                <w:rFonts w:ascii="Arial" w:cs="Arial" w:eastAsia="Arial" w:hAnsi="Arial"/>
                <w:sz w:val="14"/>
                <w:szCs w:val="14"/>
                <w:color w:val="auto"/>
              </w:rPr>
              <w:t>(in millions, except ASP and units)</w:t>
            </w:r>
          </w:p>
        </w:tc>
        <w:tc>
          <w:tcPr>
            <w:tcW w:w="160" w:type="dxa"/>
            <w:vAlign w:val="bottom"/>
          </w:tcPr>
          <w:p>
            <w:pPr>
              <w:spacing w:after="0"/>
              <w:rPr>
                <w:sz w:val="18"/>
                <w:szCs w:val="18"/>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30, 2026</w:t>
            </w:r>
          </w:p>
        </w:tc>
        <w:tc>
          <w:tcPr>
            <w:tcW w:w="100" w:type="dxa"/>
            <w:vAlign w:val="bottom"/>
          </w:tcPr>
          <w:p>
            <w:pPr>
              <w:spacing w:after="0"/>
              <w:rPr>
                <w:sz w:val="18"/>
                <w:szCs w:val="18"/>
                <w:color w:val="auto"/>
              </w:rPr>
            </w:pPr>
          </w:p>
        </w:tc>
        <w:tc>
          <w:tcPr>
            <w:tcW w:w="1380" w:type="dxa"/>
            <w:vAlign w:val="bottom"/>
          </w:tcPr>
          <w:p>
            <w:pPr>
              <w:jc w:val="right"/>
              <w:spacing w:after="0" w:line="210" w:lineRule="exact"/>
              <w:rPr>
                <w:sz w:val="20"/>
                <w:szCs w:val="20"/>
                <w:color w:val="auto"/>
              </w:rPr>
            </w:pPr>
            <w:r>
              <w:rPr>
                <w:rFonts w:ascii="Arial" w:cs="Arial" w:eastAsia="Arial" w:hAnsi="Arial"/>
                <w:sz w:val="16"/>
                <w:szCs w:val="16"/>
                <w:b w:val="1"/>
                <w:bCs w:val="1"/>
                <w:color w:val="auto"/>
                <w:w w:val="99"/>
              </w:rPr>
              <w:t>% of Revenues</w:t>
            </w:r>
            <w:r>
              <w:rPr>
                <w:rFonts w:ascii="Arial" w:cs="Arial" w:eastAsia="Arial" w:hAnsi="Arial"/>
                <w:sz w:val="21"/>
                <w:szCs w:val="21"/>
                <w:b w:val="1"/>
                <w:bCs w:val="1"/>
                <w:color w:val="auto"/>
                <w:w w:val="99"/>
                <w:vertAlign w:val="superscript"/>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31, 2025</w:t>
            </w:r>
          </w:p>
        </w:tc>
        <w:tc>
          <w:tcPr>
            <w:tcW w:w="100" w:type="dxa"/>
            <w:vAlign w:val="bottom"/>
          </w:tcPr>
          <w:p>
            <w:pPr>
              <w:spacing w:after="0"/>
              <w:rPr>
                <w:sz w:val="18"/>
                <w:szCs w:val="18"/>
                <w:color w:val="auto"/>
              </w:rPr>
            </w:pPr>
          </w:p>
        </w:tc>
        <w:tc>
          <w:tcPr>
            <w:tcW w:w="1380" w:type="dxa"/>
            <w:vAlign w:val="bottom"/>
          </w:tcPr>
          <w:p>
            <w:pPr>
              <w:jc w:val="right"/>
              <w:spacing w:after="0" w:line="210"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4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119"/>
              <w:spacing w:after="0" w:line="210" w:lineRule="exact"/>
              <w:rPr>
                <w:sz w:val="20"/>
                <w:szCs w:val="20"/>
                <w:color w:val="auto"/>
              </w:rPr>
            </w:pPr>
            <w:r>
              <w:rPr>
                <w:rFonts w:ascii="Arial" w:cs="Arial" w:eastAsia="Arial" w:hAnsi="Arial"/>
                <w:sz w:val="16"/>
                <w:szCs w:val="16"/>
                <w:b w:val="1"/>
                <w:bCs w:val="1"/>
                <w:color w:val="auto"/>
                <w:w w:val="94"/>
              </w:rPr>
              <w:t>Change</w:t>
            </w:r>
            <w:r>
              <w:rPr>
                <w:rFonts w:ascii="Arial" w:cs="Arial" w:eastAsia="Arial" w:hAnsi="Arial"/>
                <w:sz w:val="21"/>
                <w:szCs w:val="21"/>
                <w:b w:val="1"/>
                <w:bCs w:val="1"/>
                <w:color w:val="auto"/>
                <w:w w:val="94"/>
                <w:vertAlign w:val="superscript"/>
              </w:rPr>
              <w:t>(1)</w:t>
            </w:r>
          </w:p>
        </w:tc>
        <w:tc>
          <w:tcPr>
            <w:tcW w:w="80" w:type="dxa"/>
            <w:vAlign w:val="bottom"/>
          </w:tcPr>
          <w:p>
            <w:pPr>
              <w:spacing w:after="0"/>
              <w:rPr>
                <w:sz w:val="18"/>
                <w:szCs w:val="18"/>
                <w:color w:val="auto"/>
              </w:rPr>
            </w:pPr>
          </w:p>
        </w:tc>
        <w:tc>
          <w:tcPr>
            <w:tcW w:w="1380" w:type="dxa"/>
            <w:vAlign w:val="bottom"/>
          </w:tcPr>
          <w:p>
            <w:pPr>
              <w:jc w:val="right"/>
              <w:ind w:right="139"/>
              <w:spacing w:after="0" w:line="210" w:lineRule="exact"/>
              <w:rPr>
                <w:sz w:val="20"/>
                <w:szCs w:val="20"/>
                <w:color w:val="auto"/>
              </w:rPr>
            </w:pPr>
            <w:r>
              <w:rPr>
                <w:rFonts w:ascii="Arial" w:cs="Arial" w:eastAsia="Arial" w:hAnsi="Arial"/>
                <w:sz w:val="16"/>
                <w:szCs w:val="16"/>
                <w:b w:val="1"/>
                <w:bCs w:val="1"/>
                <w:color w:val="auto"/>
              </w:rPr>
              <w:t>% Change</w:t>
            </w:r>
            <w:r>
              <w:rPr>
                <w:rFonts w:ascii="Arial" w:cs="Arial" w:eastAsia="Arial" w:hAnsi="Arial"/>
                <w:sz w:val="21"/>
                <w:szCs w:val="21"/>
                <w:b w:val="1"/>
                <w:bCs w:val="1"/>
                <w:color w:val="auto"/>
                <w:vertAlign w:val="superscript"/>
              </w:rPr>
              <w:t>(1)</w:t>
            </w:r>
          </w:p>
        </w:tc>
      </w:tr>
      <w:tr>
        <w:trPr>
          <w:trHeight w:val="209"/>
        </w:trPr>
        <w:tc>
          <w:tcPr>
            <w:tcW w:w="2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274.7</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371.7</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(96.9)</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w:t>
            </w:r>
          </w:p>
        </w:tc>
      </w:tr>
      <w:tr>
        <w:trPr>
          <w:trHeight w:val="216"/>
        </w:trPr>
        <w:tc>
          <w:tcPr>
            <w:tcW w:w="25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5.8 %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29.7</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8.0 %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(13.8)</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(46.3)%</w:t>
            </w:r>
          </w:p>
        </w:tc>
      </w:tr>
      <w:tr>
        <w:trPr>
          <w:trHeight w:val="270"/>
        </w:trPr>
        <w:tc>
          <w:tcPr>
            <w:tcW w:w="25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84"/>
        </w:trPr>
        <w:tc>
          <w:tcPr>
            <w:tcW w:w="2540" w:type="dxa"/>
            <w:vAlign w:val="bottom"/>
          </w:tcPr>
          <w:p>
            <w:pPr>
              <w:ind w:left="20"/>
              <w:spacing w:after="0"/>
              <w:rPr>
                <w:sz w:val="20"/>
                <w:szCs w:val="20"/>
                <w:color w:val="auto"/>
              </w:rPr>
            </w:pPr>
            <w:r>
              <w:rPr>
                <w:rFonts w:ascii="Arial" w:cs="Arial" w:eastAsia="Arial" w:hAnsi="Arial"/>
                <w:sz w:val="16"/>
                <w:szCs w:val="16"/>
                <w:color w:val="auto"/>
              </w:rPr>
              <w:t>Average Selling Price ("ASP")</w:t>
            </w:r>
            <w:r>
              <w:rPr>
                <w:rFonts w:ascii="Arial" w:cs="Arial" w:eastAsia="Arial" w:hAnsi="Arial"/>
                <w:sz w:val="21"/>
                <w:szCs w:val="21"/>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39,215</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38,934</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281</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0.7 %</w:t>
            </w:r>
          </w:p>
        </w:tc>
      </w:tr>
      <w:tr>
        <w:trPr>
          <w:trHeight w:val="310"/>
        </w:trPr>
        <w:tc>
          <w:tcPr>
            <w:tcW w:w="25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10"/>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May 30, 2026</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79"/>
              <w:spacing w:after="0" w:line="210" w:lineRule="exact"/>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May 31, 2025</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79"/>
              <w:spacing w:after="0" w:line="210" w:lineRule="exact"/>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(3)</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Unit Change</w:t>
            </w:r>
          </w:p>
        </w:tc>
        <w:tc>
          <w:tcPr>
            <w:tcW w:w="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5,274</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6,569</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(1,295)</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r>
      <w:tr>
        <w:trPr>
          <w:trHeight w:val="216"/>
        </w:trPr>
        <w:tc>
          <w:tcPr>
            <w:tcW w:w="2540" w:type="dxa"/>
            <w:vAlign w:val="bottom"/>
          </w:tcPr>
          <w:p>
            <w:pPr>
              <w:ind w:left="20"/>
              <w:spacing w:after="0"/>
              <w:rPr>
                <w:sz w:val="20"/>
                <w:szCs w:val="20"/>
                <w:color w:val="auto"/>
              </w:rPr>
            </w:pPr>
            <w:r>
              <w:rPr>
                <w:rFonts w:ascii="Arial" w:cs="Arial" w:eastAsia="Arial" w:hAnsi="Arial"/>
                <w:sz w:val="16"/>
                <w:szCs w:val="16"/>
                <w:color w:val="auto"/>
              </w:rPr>
              <w:t>Fifth wheel</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1,709</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24.5 %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2,926</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30.8 %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(1,217)</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(41.6)%</w:t>
            </w:r>
          </w:p>
        </w:tc>
      </w:tr>
      <w:tr>
        <w:trPr>
          <w:trHeight w:val="235"/>
        </w:trPr>
        <w:tc>
          <w:tcPr>
            <w:tcW w:w="25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Towable RV</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w:t>
            </w: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ind w:left="287" w:hanging="287"/>
        <w:spacing w:after="0" w:line="232" w:lineRule="auto"/>
        <w:tabs>
          <w:tab w:leader="none" w:pos="287" w:val="left"/>
        </w:tabs>
        <w:numPr>
          <w:ilvl w:val="0"/>
          <w:numId w:val="11"/>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ind w:left="287" w:hanging="287"/>
        <w:spacing w:after="0" w:line="183" w:lineRule="auto"/>
        <w:tabs>
          <w:tab w:leader="none" w:pos="287" w:val="left"/>
        </w:tabs>
        <w:numPr>
          <w:ilvl w:val="0"/>
          <w:numId w:val="11"/>
        </w:numPr>
        <w:rPr>
          <w:rFonts w:ascii="Arial" w:cs="Arial" w:eastAsia="Arial" w:hAnsi="Arial"/>
          <w:sz w:val="20"/>
          <w:szCs w:val="20"/>
          <w:color w:val="auto"/>
          <w:vertAlign w:val="superscript"/>
        </w:rPr>
      </w:pPr>
      <w:r>
        <w:rPr>
          <w:rFonts w:ascii="Arial" w:cs="Arial" w:eastAsia="Arial" w:hAnsi="Arial"/>
          <w:sz w:val="14"/>
          <w:szCs w:val="14"/>
          <w:color w:val="auto"/>
        </w:rPr>
        <w:t>ASP excludes off-invoice dealer incentives.</w:t>
      </w:r>
    </w:p>
    <w:p>
      <w:pPr>
        <w:ind w:left="287" w:hanging="287"/>
        <w:spacing w:after="0" w:line="183" w:lineRule="auto"/>
        <w:tabs>
          <w:tab w:leader="none" w:pos="287" w:val="left"/>
        </w:tabs>
        <w:numPr>
          <w:ilvl w:val="0"/>
          <w:numId w:val="11"/>
        </w:numPr>
        <w:rPr>
          <w:rFonts w:ascii="Arial" w:cs="Arial" w:eastAsia="Arial" w:hAnsi="Arial"/>
          <w:sz w:val="20"/>
          <w:szCs w:val="20"/>
          <w:color w:val="auto"/>
          <w:vertAlign w:val="superscript"/>
        </w:rPr>
      </w:pPr>
      <w:r>
        <w:rPr>
          <w:rFonts w:ascii="Arial" w:cs="Arial" w:eastAsia="Arial" w:hAnsi="Arial"/>
          <w:sz w:val="14"/>
          <w:szCs w:val="14"/>
          <w:color w:val="auto"/>
        </w:rPr>
        <w:t>Percentages may not add due to rounding differences.</w:t>
      </w:r>
    </w:p>
    <w:p>
      <w:pPr>
        <w:spacing w:after="0" w:line="220" w:lineRule="exact"/>
        <w:rPr>
          <w:sz w:val="20"/>
          <w:szCs w:val="20"/>
          <w:color w:val="auto"/>
        </w:rPr>
      </w:pPr>
    </w:p>
    <w:p>
      <w:pPr>
        <w:ind w:left="7" w:right="500"/>
        <w:spacing w:after="0" w:line="291" w:lineRule="auto"/>
        <w:rPr>
          <w:sz w:val="20"/>
          <w:szCs w:val="20"/>
          <w:color w:val="auto"/>
        </w:rPr>
      </w:pPr>
      <w:r>
        <w:rPr>
          <w:rFonts w:ascii="Arial" w:cs="Arial" w:eastAsia="Arial" w:hAnsi="Arial"/>
          <w:sz w:val="16"/>
          <w:szCs w:val="16"/>
          <w:color w:val="auto"/>
        </w:rPr>
        <w:t>Net revenues decreased primarily due to lower unit volume and a shift in product mix toward lower price-point models, partially offset by selective price adjustments.</w:t>
      </w:r>
    </w:p>
    <w:p>
      <w:pPr>
        <w:spacing w:after="0" w:line="175" w:lineRule="exact"/>
        <w:rPr>
          <w:sz w:val="20"/>
          <w:szCs w:val="20"/>
          <w:color w:val="auto"/>
        </w:rPr>
      </w:pPr>
    </w:p>
    <w:p>
      <w:pPr>
        <w:ind w:left="7" w:right="180"/>
        <w:spacing w:after="0" w:line="309" w:lineRule="auto"/>
        <w:rPr>
          <w:sz w:val="20"/>
          <w:szCs w:val="20"/>
          <w:color w:val="auto"/>
        </w:rPr>
      </w:pPr>
      <w:r>
        <w:rPr>
          <w:rFonts w:ascii="Arial" w:cs="Arial" w:eastAsia="Arial" w:hAnsi="Arial"/>
          <w:sz w:val="16"/>
          <w:szCs w:val="16"/>
          <w:color w:val="auto"/>
        </w:rPr>
        <w:t>Operating income margin decreased primarily due to higher input costs, volume deleverage, and product mix, partially offset by selective price adjustments and cost containment initiatives.</w:t>
      </w:r>
    </w:p>
    <w:p>
      <w:pPr>
        <w:spacing w:after="0" w:line="163"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Motorhome RV</w:t>
      </w:r>
    </w:p>
    <w:p>
      <w:pPr>
        <w:spacing w:after="0" w:line="125"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following is an analysis of key changes in our Motorhome RV segment for the three months ended May 30, 2026 compared to the three months ended</w:t>
      </w:r>
    </w:p>
    <w:p>
      <w:pPr>
        <w:spacing w:after="0" w:line="25" w:lineRule="exact"/>
        <w:rPr>
          <w:sz w:val="20"/>
          <w:szCs w:val="20"/>
          <w:color w:val="auto"/>
        </w:rPr>
      </w:pPr>
    </w:p>
    <w:p>
      <w:pPr>
        <w:ind w:left="7"/>
        <w:spacing w:after="0"/>
        <w:rPr>
          <w:sz w:val="20"/>
          <w:szCs w:val="20"/>
          <w:color w:val="auto"/>
        </w:rPr>
      </w:pPr>
      <w:r>
        <w:rPr>
          <w:rFonts w:ascii="Arial" w:cs="Arial" w:eastAsia="Arial" w:hAnsi="Arial"/>
          <w:sz w:val="16"/>
          <w:szCs w:val="16"/>
          <w:color w:val="auto"/>
        </w:rPr>
        <w:t>May 31, 2025:</w:t>
      </w:r>
    </w:p>
    <w:p>
      <w:pPr>
        <w:spacing w:after="0" w:line="37" w:lineRule="exact"/>
        <w:rPr>
          <w:sz w:val="20"/>
          <w:szCs w:val="20"/>
          <w:color w:val="auto"/>
        </w:rPr>
      </w:pPr>
    </w:p>
    <w:tbl>
      <w:tblPr>
        <w:tblLayout w:type="fixed"/>
        <w:tblInd w:w="7" w:type="dxa"/>
        <w:tblCellMar>
          <w:top w:w="0" w:type="dxa"/>
          <w:left w:w="0" w:type="dxa"/>
          <w:bottom w:w="0" w:type="dxa"/>
          <w:right w:w="0" w:type="dxa"/>
        </w:tblCellMar>
      </w:tblPr>
      <w:tr>
        <w:trPr>
          <w:trHeight w:val="223"/>
        </w:trPr>
        <w:tc>
          <w:tcPr>
            <w:tcW w:w="2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r>
      <w:tr>
        <w:trPr>
          <w:trHeight w:val="210"/>
        </w:trPr>
        <w:tc>
          <w:tcPr>
            <w:tcW w:w="2540" w:type="dxa"/>
            <w:vAlign w:val="bottom"/>
          </w:tcPr>
          <w:p>
            <w:pPr>
              <w:ind w:left="20"/>
              <w:spacing w:after="0"/>
              <w:rPr>
                <w:sz w:val="20"/>
                <w:szCs w:val="20"/>
                <w:color w:val="auto"/>
              </w:rPr>
            </w:pPr>
            <w:r>
              <w:rPr>
                <w:rFonts w:ascii="Arial" w:cs="Arial" w:eastAsia="Arial" w:hAnsi="Arial"/>
                <w:sz w:val="14"/>
                <w:szCs w:val="14"/>
                <w:color w:val="auto"/>
              </w:rPr>
              <w:t>(in millions, except ASP and units)</w:t>
            </w:r>
          </w:p>
        </w:tc>
        <w:tc>
          <w:tcPr>
            <w:tcW w:w="180" w:type="dxa"/>
            <w:vAlign w:val="bottom"/>
          </w:tcPr>
          <w:p>
            <w:pPr>
              <w:spacing w:after="0"/>
              <w:rPr>
                <w:sz w:val="18"/>
                <w:szCs w:val="18"/>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30, 2026</w:t>
            </w:r>
          </w:p>
        </w:tc>
        <w:tc>
          <w:tcPr>
            <w:tcW w:w="80" w:type="dxa"/>
            <w:vAlign w:val="bottom"/>
          </w:tcPr>
          <w:p>
            <w:pPr>
              <w:spacing w:after="0"/>
              <w:rPr>
                <w:sz w:val="18"/>
                <w:szCs w:val="18"/>
                <w:color w:val="auto"/>
              </w:rPr>
            </w:pPr>
          </w:p>
        </w:tc>
        <w:tc>
          <w:tcPr>
            <w:tcW w:w="1400" w:type="dxa"/>
            <w:vAlign w:val="bottom"/>
          </w:tcPr>
          <w:p>
            <w:pPr>
              <w:jc w:val="right"/>
              <w:spacing w:after="0" w:line="210"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31, 2025</w:t>
            </w:r>
          </w:p>
        </w:tc>
        <w:tc>
          <w:tcPr>
            <w:tcW w:w="80" w:type="dxa"/>
            <w:vAlign w:val="bottom"/>
          </w:tcPr>
          <w:p>
            <w:pPr>
              <w:spacing w:after="0"/>
              <w:rPr>
                <w:sz w:val="18"/>
                <w:szCs w:val="18"/>
                <w:color w:val="auto"/>
              </w:rPr>
            </w:pPr>
          </w:p>
        </w:tc>
        <w:tc>
          <w:tcPr>
            <w:tcW w:w="1400" w:type="dxa"/>
            <w:vAlign w:val="bottom"/>
          </w:tcPr>
          <w:p>
            <w:pPr>
              <w:jc w:val="right"/>
              <w:spacing w:after="0" w:line="210"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4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119"/>
              <w:spacing w:after="0" w:line="210" w:lineRule="exact"/>
              <w:rPr>
                <w:sz w:val="20"/>
                <w:szCs w:val="20"/>
                <w:color w:val="auto"/>
              </w:rPr>
            </w:pPr>
            <w:r>
              <w:rPr>
                <w:rFonts w:ascii="Arial" w:cs="Arial" w:eastAsia="Arial" w:hAnsi="Arial"/>
                <w:sz w:val="16"/>
                <w:szCs w:val="16"/>
                <w:b w:val="1"/>
                <w:bCs w:val="1"/>
                <w:color w:val="auto"/>
                <w:w w:val="94"/>
              </w:rPr>
              <w:t>Change</w:t>
            </w:r>
            <w:r>
              <w:rPr>
                <w:rFonts w:ascii="Arial" w:cs="Arial" w:eastAsia="Arial" w:hAnsi="Arial"/>
                <w:sz w:val="21"/>
                <w:szCs w:val="21"/>
                <w:b w:val="1"/>
                <w:bCs w:val="1"/>
                <w:color w:val="auto"/>
                <w:w w:val="94"/>
                <w:vertAlign w:val="superscript"/>
              </w:rPr>
              <w:t>(1)</w:t>
            </w:r>
          </w:p>
        </w:tc>
        <w:tc>
          <w:tcPr>
            <w:tcW w:w="100" w:type="dxa"/>
            <w:vAlign w:val="bottom"/>
          </w:tcPr>
          <w:p>
            <w:pPr>
              <w:spacing w:after="0"/>
              <w:rPr>
                <w:sz w:val="18"/>
                <w:szCs w:val="18"/>
                <w:color w:val="auto"/>
              </w:rPr>
            </w:pPr>
          </w:p>
        </w:tc>
        <w:tc>
          <w:tcPr>
            <w:tcW w:w="1360" w:type="dxa"/>
            <w:vAlign w:val="bottom"/>
          </w:tcPr>
          <w:p>
            <w:pPr>
              <w:jc w:val="right"/>
              <w:ind w:right="139"/>
              <w:spacing w:after="0" w:line="210" w:lineRule="exact"/>
              <w:rPr>
                <w:sz w:val="20"/>
                <w:szCs w:val="20"/>
                <w:color w:val="auto"/>
              </w:rPr>
            </w:pPr>
            <w:r>
              <w:rPr>
                <w:rFonts w:ascii="Arial" w:cs="Arial" w:eastAsia="Arial" w:hAnsi="Arial"/>
                <w:sz w:val="16"/>
                <w:szCs w:val="16"/>
                <w:b w:val="1"/>
                <w:bCs w:val="1"/>
                <w:color w:val="auto"/>
              </w:rPr>
              <w:t>% Change</w:t>
            </w:r>
            <w:r>
              <w:rPr>
                <w:rFonts w:ascii="Arial" w:cs="Arial" w:eastAsia="Arial" w:hAnsi="Arial"/>
                <w:sz w:val="21"/>
                <w:szCs w:val="21"/>
                <w:b w:val="1"/>
                <w:bCs w:val="1"/>
                <w:color w:val="auto"/>
                <w:vertAlign w:val="superscript"/>
              </w:rPr>
              <w:t>(1)</w:t>
            </w:r>
          </w:p>
        </w:tc>
      </w:tr>
      <w:tr>
        <w:trPr>
          <w:trHeight w:val="210"/>
        </w:trPr>
        <w:tc>
          <w:tcPr>
            <w:tcW w:w="2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320.7</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291.2</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10.1 %</w:t>
            </w:r>
          </w:p>
        </w:tc>
      </w:tr>
      <w:tr>
        <w:trPr>
          <w:trHeight w:val="216"/>
        </w:trPr>
        <w:tc>
          <w:tcPr>
            <w:tcW w:w="254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9.6</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70"/>
        </w:trPr>
        <w:tc>
          <w:tcPr>
            <w:tcW w:w="25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84"/>
        </w:trPr>
        <w:tc>
          <w:tcPr>
            <w:tcW w:w="2540" w:type="dxa"/>
            <w:vAlign w:val="bottom"/>
          </w:tcPr>
          <w:p>
            <w:pPr>
              <w:ind w:left="20"/>
              <w:spacing w:after="0"/>
              <w:rPr>
                <w:sz w:val="20"/>
                <w:szCs w:val="20"/>
                <w:color w:val="auto"/>
              </w:rPr>
            </w:pPr>
            <w:r>
              <w:rPr>
                <w:rFonts w:ascii="Arial" w:cs="Arial" w:eastAsia="Arial" w:hAnsi="Arial"/>
                <w:sz w:val="16"/>
                <w:szCs w:val="16"/>
                <w:color w:val="auto"/>
              </w:rPr>
              <w:t>ASP</w:t>
            </w:r>
            <w:r>
              <w:rPr>
                <w:rFonts w:ascii="Arial" w:cs="Arial" w:eastAsia="Arial" w:hAnsi="Arial"/>
                <w:sz w:val="21"/>
                <w:szCs w:val="21"/>
                <w:color w:val="auto"/>
                <w:vertAlign w:val="superscript"/>
              </w:rPr>
              <w:t>(2)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213,040</w:t>
            </w: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208,146</w:t>
            </w: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4,894</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2.4 %</w:t>
            </w:r>
          </w:p>
        </w:tc>
      </w:tr>
      <w:tr>
        <w:trPr>
          <w:trHeight w:val="310"/>
        </w:trPr>
        <w:tc>
          <w:tcPr>
            <w:tcW w:w="25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210"/>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Unit deliveries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May 30, 2026</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79"/>
              <w:spacing w:after="0" w:line="210" w:lineRule="exact"/>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May 31, 2025</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79"/>
              <w:spacing w:after="0" w:line="210" w:lineRule="exact"/>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(3)</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Unit Change</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r>
      <w:tr>
        <w:trPr>
          <w:trHeight w:val="216"/>
        </w:trPr>
        <w:tc>
          <w:tcPr>
            <w:tcW w:w="2540" w:type="dxa"/>
            <w:vAlign w:val="bottom"/>
          </w:tcPr>
          <w:p>
            <w:pPr>
              <w:ind w:left="20"/>
              <w:spacing w:after="0"/>
              <w:rPr>
                <w:sz w:val="20"/>
                <w:szCs w:val="20"/>
                <w:color w:val="auto"/>
              </w:rPr>
            </w:pPr>
            <w:r>
              <w:rPr>
                <w:rFonts w:ascii="Arial" w:cs="Arial" w:eastAsia="Arial" w:hAnsi="Arial"/>
                <w:sz w:val="16"/>
                <w:szCs w:val="16"/>
                <w:color w:val="auto"/>
              </w:rPr>
              <w:t>Class B</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517</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33.7 %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406</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28.4 %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111</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27.3 %</w:t>
            </w:r>
          </w:p>
        </w:tc>
      </w:tr>
      <w:tr>
        <w:trPr>
          <w:trHeight w:val="216"/>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51.5 %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8.1 %</w:t>
            </w:r>
          </w:p>
        </w:tc>
      </w:tr>
      <w:tr>
        <w:trPr>
          <w:trHeight w:val="210"/>
        </w:trPr>
        <w:tc>
          <w:tcPr>
            <w:tcW w:w="2540" w:type="dxa"/>
            <w:vAlign w:val="bottom"/>
          </w:tcPr>
          <w:p>
            <w:pPr>
              <w:ind w:left="140"/>
              <w:spacing w:after="0"/>
              <w:rPr>
                <w:sz w:val="20"/>
                <w:szCs w:val="20"/>
                <w:color w:val="auto"/>
              </w:rPr>
            </w:pPr>
            <w:r>
              <w:rPr>
                <w:rFonts w:ascii="Arial" w:cs="Arial" w:eastAsia="Arial" w:hAnsi="Arial"/>
                <w:sz w:val="16"/>
                <w:szCs w:val="16"/>
                <w:color w:val="auto"/>
              </w:rPr>
              <w:t>Total Motorhome RV</w:t>
            </w: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1,533</w:t>
            </w:r>
          </w:p>
        </w:tc>
        <w:tc>
          <w:tcPr>
            <w:tcW w:w="8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1,431</w:t>
            </w:r>
          </w:p>
        </w:tc>
        <w:tc>
          <w:tcPr>
            <w:tcW w:w="8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7.1 %</w:t>
            </w:r>
          </w:p>
        </w:tc>
      </w:tr>
      <w:tr>
        <w:trPr>
          <w:trHeight w:val="20"/>
        </w:trPr>
        <w:tc>
          <w:tcPr>
            <w:tcW w:w="2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ind w:left="287" w:hanging="287"/>
        <w:spacing w:after="0" w:line="232" w:lineRule="auto"/>
        <w:tabs>
          <w:tab w:leader="none" w:pos="287" w:val="left"/>
        </w:tabs>
        <w:numPr>
          <w:ilvl w:val="0"/>
          <w:numId w:val="12"/>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ind w:left="287" w:hanging="287"/>
        <w:spacing w:after="0" w:line="183" w:lineRule="auto"/>
        <w:tabs>
          <w:tab w:leader="none" w:pos="287"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ASP excludes off-invoice dealer incentives.</w:t>
      </w:r>
    </w:p>
    <w:p>
      <w:pPr>
        <w:ind w:left="287" w:hanging="287"/>
        <w:spacing w:after="0" w:line="183" w:lineRule="auto"/>
        <w:tabs>
          <w:tab w:leader="none" w:pos="287"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Percentages may not add due to rounding differences.</w:t>
      </w:r>
    </w:p>
    <w:p>
      <w:pPr>
        <w:ind w:left="7"/>
        <w:spacing w:after="0" w:line="214" w:lineRule="auto"/>
        <w:tabs>
          <w:tab w:leader="none" w:pos="287" w:val="left"/>
        </w:tabs>
        <w:rPr>
          <w:sz w:val="20"/>
          <w:szCs w:val="20"/>
          <w:color w:val="auto"/>
        </w:rPr>
      </w:pPr>
      <w:r>
        <w:rPr>
          <w:rFonts w:ascii="Arial" w:cs="Arial" w:eastAsia="Arial" w:hAnsi="Arial"/>
          <w:sz w:val="21"/>
          <w:szCs w:val="21"/>
          <w:color w:val="auto"/>
          <w:vertAlign w:val="superscript"/>
        </w:rPr>
        <w:t>NM:</w:t>
      </w:r>
      <w:r>
        <w:rPr>
          <w:sz w:val="20"/>
          <w:szCs w:val="20"/>
          <w:color w:val="auto"/>
        </w:rPr>
        <w:tab/>
      </w:r>
      <w:r>
        <w:rPr>
          <w:rFonts w:ascii="Arial" w:cs="Arial" w:eastAsia="Arial" w:hAnsi="Arial"/>
          <w:sz w:val="14"/>
          <w:szCs w:val="14"/>
          <w:color w:val="auto"/>
        </w:rPr>
        <w:t>Not meaningful.</w:t>
      </w:r>
    </w:p>
    <w:p>
      <w:pPr>
        <w:spacing w:after="0" w:line="221" w:lineRule="exact"/>
        <w:rPr>
          <w:sz w:val="20"/>
          <w:szCs w:val="20"/>
          <w:color w:val="auto"/>
        </w:rPr>
      </w:pPr>
    </w:p>
    <w:p>
      <w:pPr>
        <w:ind w:left="7"/>
        <w:spacing w:after="0"/>
        <w:rPr>
          <w:sz w:val="20"/>
          <w:szCs w:val="20"/>
          <w:color w:val="auto"/>
        </w:rPr>
      </w:pPr>
      <w:r>
        <w:rPr>
          <w:rFonts w:ascii="Arial" w:cs="Arial" w:eastAsia="Arial" w:hAnsi="Arial"/>
          <w:sz w:val="16"/>
          <w:szCs w:val="16"/>
          <w:color w:val="auto"/>
        </w:rPr>
        <w:t>Net revenues increased primarily due to higher unit volume and selective price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79375</wp:posOffset>
            </wp:positionV>
            <wp:extent cx="71831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16" w:right="318" w:bottom="1440" w:gutter="0" w:footer="0" w:header="0"/>
        </w:sectPr>
      </w:pPr>
    </w:p>
    <w:bookmarkStart w:id="25" w:name="page26"/>
    <w:bookmarkEnd w:id="25"/>
    <w:p>
      <w:pPr>
        <w:ind w:left="7"/>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 w:right="360"/>
        <w:spacing w:after="0" w:line="291" w:lineRule="auto"/>
        <w:rPr>
          <w:sz w:val="20"/>
          <w:szCs w:val="20"/>
          <w:color w:val="auto"/>
        </w:rPr>
      </w:pPr>
      <w:r>
        <w:rPr>
          <w:rFonts w:ascii="Arial" w:cs="Arial" w:eastAsia="Arial" w:hAnsi="Arial"/>
          <w:sz w:val="16"/>
          <w:szCs w:val="16"/>
          <w:color w:val="auto"/>
        </w:rPr>
        <w:t>Operating income margin increased primarily due to higher unit volume driven by new products and selective price adjustments, partially offset by higher input costs.</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Marine</w:t>
      </w:r>
    </w:p>
    <w:p>
      <w:pPr>
        <w:spacing w:after="0" w:line="111" w:lineRule="exact"/>
        <w:rPr>
          <w:sz w:val="20"/>
          <w:szCs w:val="20"/>
          <w:color w:val="auto"/>
        </w:rPr>
      </w:pPr>
    </w:p>
    <w:p>
      <w:pPr>
        <w:ind w:left="7" w:right="160"/>
        <w:spacing w:after="0" w:line="280" w:lineRule="auto"/>
        <w:rPr>
          <w:sz w:val="20"/>
          <w:szCs w:val="20"/>
          <w:color w:val="auto"/>
        </w:rPr>
      </w:pPr>
      <w:r>
        <w:rPr>
          <w:rFonts w:ascii="Arial" w:cs="Arial" w:eastAsia="Arial" w:hAnsi="Arial"/>
          <w:sz w:val="16"/>
          <w:szCs w:val="16"/>
          <w:color w:val="auto"/>
        </w:rPr>
        <w:t>The following is an analysis of key changes in our Marine segment for the three months ended May 30, 2026 compared to the three months ended May 31, 2025:</w:t>
      </w:r>
    </w:p>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223"/>
        </w:trPr>
        <w:tc>
          <w:tcPr>
            <w:tcW w:w="2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3"/>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r>
      <w:tr>
        <w:trPr>
          <w:trHeight w:val="210"/>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ASP and units)</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May 30, 2026</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6"/>
                <w:szCs w:val="16"/>
                <w:b w:val="1"/>
                <w:bCs w:val="1"/>
                <w:color w:val="auto"/>
                <w:w w:val="99"/>
              </w:rPr>
              <w:t>% of Revenues</w:t>
            </w:r>
            <w:r>
              <w:rPr>
                <w:rFonts w:ascii="Arial" w:cs="Arial" w:eastAsia="Arial" w:hAnsi="Arial"/>
                <w:sz w:val="21"/>
                <w:szCs w:val="21"/>
                <w:b w:val="1"/>
                <w:bCs w:val="1"/>
                <w:color w:val="auto"/>
                <w:w w:val="99"/>
                <w:vertAlign w:val="superscript"/>
              </w:rPr>
              <w:t>(1)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May 31, 2025</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6"/>
                <w:szCs w:val="16"/>
                <w:b w:val="1"/>
                <w:bCs w:val="1"/>
                <w:color w:val="auto"/>
                <w:w w:val="99"/>
              </w:rPr>
              <w:t>% of Revenues</w:t>
            </w:r>
            <w:r>
              <w:rPr>
                <w:rFonts w:ascii="Arial" w:cs="Arial" w:eastAsia="Arial" w:hAnsi="Arial"/>
                <w:sz w:val="21"/>
                <w:szCs w:val="21"/>
                <w:b w:val="1"/>
                <w:bCs w:val="1"/>
                <w:color w:val="auto"/>
                <w:w w:val="99"/>
                <w:vertAlign w:val="superscript"/>
              </w:rPr>
              <w:t>(1)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119"/>
              <w:spacing w:after="0" w:line="210" w:lineRule="exact"/>
              <w:rPr>
                <w:sz w:val="20"/>
                <w:szCs w:val="20"/>
                <w:color w:val="auto"/>
              </w:rPr>
            </w:pPr>
            <w:r>
              <w:rPr>
                <w:rFonts w:ascii="Arial" w:cs="Arial" w:eastAsia="Arial" w:hAnsi="Arial"/>
                <w:sz w:val="16"/>
                <w:szCs w:val="16"/>
                <w:b w:val="1"/>
                <w:bCs w:val="1"/>
                <w:color w:val="auto"/>
                <w:w w:val="94"/>
              </w:rPr>
              <w:t>Change</w:t>
            </w:r>
            <w:r>
              <w:rPr>
                <w:rFonts w:ascii="Arial" w:cs="Arial" w:eastAsia="Arial" w:hAnsi="Arial"/>
                <w:sz w:val="21"/>
                <w:szCs w:val="21"/>
                <w:b w:val="1"/>
                <w:bCs w:val="1"/>
                <w:color w:val="auto"/>
                <w:w w:val="94"/>
                <w:vertAlign w:val="superscript"/>
              </w:rPr>
              <w:t>(1)</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ind w:right="139"/>
              <w:spacing w:after="0" w:line="210" w:lineRule="exact"/>
              <w:rPr>
                <w:sz w:val="20"/>
                <w:szCs w:val="20"/>
                <w:color w:val="auto"/>
              </w:rPr>
            </w:pPr>
            <w:r>
              <w:rPr>
                <w:rFonts w:ascii="Arial" w:cs="Arial" w:eastAsia="Arial" w:hAnsi="Arial"/>
                <w:sz w:val="16"/>
                <w:szCs w:val="16"/>
                <w:b w:val="1"/>
                <w:bCs w:val="1"/>
                <w:color w:val="auto"/>
              </w:rPr>
              <w:t>% Change</w:t>
            </w:r>
            <w:r>
              <w:rPr>
                <w:rFonts w:ascii="Arial" w:cs="Arial" w:eastAsia="Arial" w:hAnsi="Arial"/>
                <w:sz w:val="21"/>
                <w:szCs w:val="21"/>
                <w:b w:val="1"/>
                <w:bCs w:val="1"/>
                <w:color w:val="auto"/>
                <w:vertAlign w:val="superscript"/>
              </w:rPr>
              <w:t>(1)</w:t>
            </w:r>
          </w:p>
        </w:tc>
      </w:tr>
      <w:tr>
        <w:trPr>
          <w:trHeight w:val="209"/>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w:t>
            </w:r>
          </w:p>
        </w:tc>
        <w:tc>
          <w:tcPr>
            <w:tcW w:w="174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w:t>
            </w:r>
          </w:p>
        </w:tc>
      </w:tr>
      <w:tr>
        <w:trPr>
          <w:trHeight w:val="216"/>
        </w:trPr>
        <w:tc>
          <w:tcPr>
            <w:tcW w:w="25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5.8 %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9.4</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9.3 %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(43.4)%</w:t>
            </w:r>
          </w:p>
        </w:tc>
      </w:tr>
      <w:tr>
        <w:trPr>
          <w:trHeight w:val="257"/>
        </w:trPr>
        <w:tc>
          <w:tcPr>
            <w:tcW w:w="25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371"/>
        </w:trPr>
        <w:tc>
          <w:tcPr>
            <w:tcW w:w="2540" w:type="dxa"/>
            <w:vAlign w:val="bottom"/>
          </w:tcPr>
          <w:p>
            <w:pPr>
              <w:ind w:left="20"/>
              <w:spacing w:after="0"/>
              <w:rPr>
                <w:sz w:val="20"/>
                <w:szCs w:val="20"/>
                <w:color w:val="auto"/>
              </w:rPr>
            </w:pPr>
            <w:r>
              <w:rPr>
                <w:rFonts w:ascii="Arial" w:cs="Arial" w:eastAsia="Arial" w:hAnsi="Arial"/>
                <w:sz w:val="32"/>
                <w:szCs w:val="32"/>
                <w:color w:val="auto"/>
                <w:vertAlign w:val="subscript"/>
              </w:rPr>
              <w:t>ASP</w:t>
            </w:r>
            <w:r>
              <w:rPr>
                <w:rFonts w:ascii="Arial" w:cs="Arial" w:eastAsia="Arial" w:hAnsi="Arial"/>
                <w:sz w:val="11"/>
                <w:szCs w:val="11"/>
                <w:color w:val="auto"/>
              </w:rPr>
              <w:t>(2)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81,042</w:t>
            </w:r>
          </w:p>
        </w:tc>
        <w:tc>
          <w:tcPr>
            <w:tcW w:w="1740" w:type="dxa"/>
            <w:vAlign w:val="bottom"/>
            <w:gridSpan w:val="4"/>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81,185</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(143)</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(0.2)%</w:t>
            </w:r>
          </w:p>
        </w:tc>
      </w:tr>
      <w:tr>
        <w:trPr>
          <w:trHeight w:val="223"/>
        </w:trPr>
        <w:tc>
          <w:tcPr>
            <w:tcW w:w="2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3"/>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r>
      <w:tr>
        <w:trPr>
          <w:trHeight w:val="209"/>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May 30, 2026</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May 31, 2025</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Unit Change</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Boats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r>
    </w:tbl>
    <w:p>
      <w:pPr>
        <w:spacing w:after="0" w:line="20" w:lineRule="exact"/>
        <w:rPr>
          <w:sz w:val="20"/>
          <w:szCs w:val="20"/>
          <w:color w:val="auto"/>
        </w:rPr>
      </w:pPr>
    </w:p>
    <w:p>
      <w:pPr>
        <w:ind w:left="287" w:hanging="287"/>
        <w:spacing w:after="0"/>
        <w:tabs>
          <w:tab w:leader="none" w:pos="287" w:val="left"/>
        </w:tabs>
        <w:numPr>
          <w:ilvl w:val="0"/>
          <w:numId w:val="13"/>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ind w:left="287" w:hanging="287"/>
        <w:spacing w:after="0" w:line="183" w:lineRule="auto"/>
        <w:tabs>
          <w:tab w:leader="none" w:pos="287" w:val="left"/>
        </w:tabs>
        <w:numPr>
          <w:ilvl w:val="0"/>
          <w:numId w:val="13"/>
        </w:numPr>
        <w:rPr>
          <w:rFonts w:ascii="Arial" w:cs="Arial" w:eastAsia="Arial" w:hAnsi="Arial"/>
          <w:sz w:val="20"/>
          <w:szCs w:val="20"/>
          <w:color w:val="auto"/>
          <w:vertAlign w:val="superscript"/>
        </w:rPr>
      </w:pPr>
      <w:r>
        <w:rPr>
          <w:rFonts w:ascii="Arial" w:cs="Arial" w:eastAsia="Arial" w:hAnsi="Arial"/>
          <w:sz w:val="14"/>
          <w:szCs w:val="14"/>
          <w:color w:val="auto"/>
        </w:rPr>
        <w:t>ASP excludes off-invoice dealer incentives.</w:t>
      </w:r>
    </w:p>
    <w:p>
      <w:pPr>
        <w:ind w:left="287" w:hanging="287"/>
        <w:spacing w:after="0" w:line="183" w:lineRule="auto"/>
        <w:tabs>
          <w:tab w:leader="none" w:pos="287" w:val="left"/>
        </w:tabs>
        <w:numPr>
          <w:ilvl w:val="0"/>
          <w:numId w:val="13"/>
        </w:numPr>
        <w:rPr>
          <w:rFonts w:ascii="Arial" w:cs="Arial" w:eastAsia="Arial" w:hAnsi="Arial"/>
          <w:sz w:val="20"/>
          <w:szCs w:val="20"/>
          <w:color w:val="auto"/>
          <w:vertAlign w:val="superscript"/>
        </w:rPr>
      </w:pPr>
      <w:r>
        <w:rPr>
          <w:rFonts w:ascii="Arial" w:cs="Arial" w:eastAsia="Arial" w:hAnsi="Arial"/>
          <w:sz w:val="14"/>
          <w:szCs w:val="14"/>
          <w:color w:val="auto"/>
        </w:rPr>
        <w:t>Due to the nature of the Marine industry, this amount includes a higher proportion of retail sold units than our other segments.</w:t>
      </w:r>
    </w:p>
    <w:p>
      <w:pPr>
        <w:spacing w:after="0" w:line="220" w:lineRule="exact"/>
        <w:rPr>
          <w:sz w:val="20"/>
          <w:szCs w:val="20"/>
          <w:color w:val="auto"/>
        </w:rPr>
      </w:pPr>
    </w:p>
    <w:p>
      <w:pPr>
        <w:ind w:left="7"/>
        <w:spacing w:after="0"/>
        <w:rPr>
          <w:sz w:val="20"/>
          <w:szCs w:val="20"/>
          <w:color w:val="auto"/>
        </w:rPr>
      </w:pPr>
      <w:r>
        <w:rPr>
          <w:rFonts w:ascii="Arial" w:cs="Arial" w:eastAsia="Arial" w:hAnsi="Arial"/>
          <w:sz w:val="16"/>
          <w:szCs w:val="16"/>
          <w:color w:val="auto"/>
        </w:rPr>
        <w:t>Net revenues decreased primarily due to lower unit volume and product mix, partially offset by selective price adjustments.</w:t>
      </w:r>
    </w:p>
    <w:p>
      <w:pPr>
        <w:spacing w:after="0" w:line="248" w:lineRule="exact"/>
        <w:rPr>
          <w:sz w:val="20"/>
          <w:szCs w:val="20"/>
          <w:color w:val="auto"/>
        </w:rPr>
      </w:pPr>
    </w:p>
    <w:p>
      <w:pPr>
        <w:ind w:left="7"/>
        <w:spacing w:after="0"/>
        <w:rPr>
          <w:sz w:val="20"/>
          <w:szCs w:val="20"/>
          <w:color w:val="auto"/>
        </w:rPr>
      </w:pPr>
      <w:r>
        <w:rPr>
          <w:rFonts w:ascii="Arial" w:cs="Arial" w:eastAsia="Arial" w:hAnsi="Arial"/>
          <w:sz w:val="16"/>
          <w:szCs w:val="16"/>
          <w:color w:val="auto"/>
        </w:rPr>
        <w:t>Operating income margin decreased primarily due to higher input costs and volume deleverage, partially offset by selective price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79375</wp:posOffset>
            </wp:positionV>
            <wp:extent cx="71831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16" w:right="318" w:bottom="1440" w:gutter="0" w:footer="0" w:header="0"/>
        </w:sectPr>
      </w:pPr>
    </w:p>
    <w:bookmarkStart w:id="26" w:name="page27"/>
    <w:bookmarkEnd w:id="26"/>
    <w:p>
      <w:pPr>
        <w:ind w:left="7"/>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Results of Operations - Nine Months Ended May 30, 2026 Compared to the Nine Months Ended May 31, 2025</w:t>
      </w:r>
    </w:p>
    <w:p>
      <w:pPr>
        <w:spacing w:after="0" w:line="250"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Consolidated Performance Summary</w:t>
      </w:r>
    </w:p>
    <w:p>
      <w:pPr>
        <w:spacing w:after="0" w:line="127" w:lineRule="exact"/>
        <w:rPr>
          <w:sz w:val="20"/>
          <w:szCs w:val="20"/>
          <w:color w:val="auto"/>
        </w:rPr>
      </w:pPr>
    </w:p>
    <w:p>
      <w:pPr>
        <w:ind w:left="7" w:right="140"/>
        <w:spacing w:after="0" w:line="280" w:lineRule="auto"/>
        <w:rPr>
          <w:sz w:val="20"/>
          <w:szCs w:val="20"/>
          <w:color w:val="auto"/>
        </w:rPr>
      </w:pPr>
      <w:r>
        <w:rPr>
          <w:rFonts w:ascii="Arial" w:cs="Arial" w:eastAsia="Arial" w:hAnsi="Arial"/>
          <w:sz w:val="16"/>
          <w:szCs w:val="16"/>
          <w:color w:val="auto"/>
        </w:rPr>
        <w:t>The following is an analysis of changes in key items included in the Consolidated Statements of Income for the nine months ended May 30, 2026 compared to the nine months ended May 31, 2025:</w:t>
      </w:r>
    </w:p>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223"/>
        </w:trPr>
        <w:tc>
          <w:tcPr>
            <w:tcW w:w="29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6"/>
                <w:szCs w:val="16"/>
                <w:b w:val="1"/>
                <w:bCs w:val="1"/>
                <w:color w:val="auto"/>
              </w:rPr>
              <w:t>Nine Months Ended</w:t>
            </w: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920" w:type="dxa"/>
            <w:vAlign w:val="bottom"/>
          </w:tcPr>
          <w:p>
            <w:pPr>
              <w:ind w:left="20"/>
              <w:spacing w:after="0"/>
              <w:rPr>
                <w:sz w:val="20"/>
                <w:szCs w:val="20"/>
                <w:color w:val="auto"/>
              </w:rPr>
            </w:pPr>
            <w:r>
              <w:rPr>
                <w:rFonts w:ascii="Arial" w:cs="Arial" w:eastAsia="Arial" w:hAnsi="Arial"/>
                <w:sz w:val="14"/>
                <w:szCs w:val="14"/>
                <w:color w:val="auto"/>
              </w:rPr>
              <w:t>($ in millions, except per share data)</w:t>
            </w:r>
          </w:p>
        </w:tc>
        <w:tc>
          <w:tcPr>
            <w:tcW w:w="1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May 30, 2026</w:t>
            </w:r>
          </w:p>
        </w:tc>
        <w:tc>
          <w:tcPr>
            <w:tcW w:w="100" w:type="dxa"/>
            <w:vAlign w:val="bottom"/>
          </w:tcPr>
          <w:p>
            <w:pPr>
              <w:spacing w:after="0"/>
              <w:rPr>
                <w:sz w:val="18"/>
                <w:szCs w:val="18"/>
                <w:color w:val="auto"/>
              </w:rPr>
            </w:pPr>
          </w:p>
        </w:tc>
        <w:tc>
          <w:tcPr>
            <w:tcW w:w="1380" w:type="dxa"/>
            <w:vAlign w:val="bottom"/>
          </w:tcPr>
          <w:p>
            <w:pPr>
              <w:jc w:val="right"/>
              <w:spacing w:after="0" w:line="210" w:lineRule="exact"/>
              <w:rPr>
                <w:sz w:val="20"/>
                <w:szCs w:val="20"/>
                <w:color w:val="auto"/>
              </w:rPr>
            </w:pPr>
            <w:r>
              <w:rPr>
                <w:rFonts w:ascii="Arial" w:cs="Arial" w:eastAsia="Arial" w:hAnsi="Arial"/>
                <w:sz w:val="16"/>
                <w:szCs w:val="16"/>
                <w:b w:val="1"/>
                <w:bCs w:val="1"/>
                <w:color w:val="auto"/>
                <w:w w:val="99"/>
              </w:rPr>
              <w:t>% of Revenues</w:t>
            </w:r>
            <w:r>
              <w:rPr>
                <w:rFonts w:ascii="Arial" w:cs="Arial" w:eastAsia="Arial" w:hAnsi="Arial"/>
                <w:sz w:val="21"/>
                <w:szCs w:val="21"/>
                <w:b w:val="1"/>
                <w:bCs w:val="1"/>
                <w:color w:val="auto"/>
                <w:w w:val="99"/>
                <w:vertAlign w:val="superscript"/>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3"/>
          </w:tcPr>
          <w:p>
            <w:pPr>
              <w:jc w:val="right"/>
              <w:spacing w:after="0" w:line="210" w:lineRule="exact"/>
              <w:rPr>
                <w:sz w:val="20"/>
                <w:szCs w:val="20"/>
                <w:color w:val="auto"/>
              </w:rPr>
            </w:pPr>
            <w:r>
              <w:rPr>
                <w:rFonts w:ascii="Arial" w:cs="Arial" w:eastAsia="Arial" w:hAnsi="Arial"/>
                <w:sz w:val="16"/>
                <w:szCs w:val="16"/>
                <w:b w:val="1"/>
                <w:bCs w:val="1"/>
                <w:color w:val="auto"/>
              </w:rPr>
              <w:t>May 31, 2025   % of Revenues</w:t>
            </w:r>
            <w:r>
              <w:rPr>
                <w:rFonts w:ascii="Arial" w:cs="Arial" w:eastAsia="Arial" w:hAnsi="Arial"/>
                <w:sz w:val="21"/>
                <w:szCs w:val="21"/>
                <w:b w:val="1"/>
                <w:bCs w:val="1"/>
                <w:color w:val="auto"/>
                <w:vertAlign w:val="superscript"/>
              </w:rPr>
              <w:t>(1)</w:t>
            </w:r>
          </w:p>
        </w:tc>
        <w:tc>
          <w:tcPr>
            <w:tcW w:w="4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119"/>
              <w:spacing w:after="0" w:line="210" w:lineRule="exact"/>
              <w:rPr>
                <w:sz w:val="20"/>
                <w:szCs w:val="20"/>
                <w:color w:val="auto"/>
              </w:rPr>
            </w:pPr>
            <w:r>
              <w:rPr>
                <w:rFonts w:ascii="Arial" w:cs="Arial" w:eastAsia="Arial" w:hAnsi="Arial"/>
                <w:sz w:val="16"/>
                <w:szCs w:val="16"/>
                <w:b w:val="1"/>
                <w:bCs w:val="1"/>
                <w:color w:val="auto"/>
                <w:w w:val="94"/>
              </w:rPr>
              <w:t>Change</w:t>
            </w:r>
            <w:r>
              <w:rPr>
                <w:rFonts w:ascii="Arial" w:cs="Arial" w:eastAsia="Arial" w:hAnsi="Arial"/>
                <w:sz w:val="21"/>
                <w:szCs w:val="21"/>
                <w:b w:val="1"/>
                <w:bCs w:val="1"/>
                <w:color w:val="auto"/>
                <w:w w:val="94"/>
                <w:vertAlign w:val="superscript"/>
              </w:rPr>
              <w:t>(1)</w:t>
            </w:r>
          </w:p>
        </w:tc>
        <w:tc>
          <w:tcPr>
            <w:tcW w:w="100" w:type="dxa"/>
            <w:vAlign w:val="bottom"/>
          </w:tcPr>
          <w:p>
            <w:pPr>
              <w:spacing w:after="0"/>
              <w:rPr>
                <w:sz w:val="18"/>
                <w:szCs w:val="18"/>
                <w:color w:val="auto"/>
              </w:rPr>
            </w:pPr>
          </w:p>
        </w:tc>
        <w:tc>
          <w:tcPr>
            <w:tcW w:w="1360" w:type="dxa"/>
            <w:vAlign w:val="bottom"/>
          </w:tcPr>
          <w:p>
            <w:pPr>
              <w:jc w:val="right"/>
              <w:ind w:right="139"/>
              <w:spacing w:after="0" w:line="210" w:lineRule="exact"/>
              <w:rPr>
                <w:sz w:val="20"/>
                <w:szCs w:val="20"/>
                <w:color w:val="auto"/>
              </w:rPr>
            </w:pPr>
            <w:r>
              <w:rPr>
                <w:rFonts w:ascii="Arial" w:cs="Arial" w:eastAsia="Arial" w:hAnsi="Arial"/>
                <w:sz w:val="16"/>
                <w:szCs w:val="16"/>
                <w:b w:val="1"/>
                <w:bCs w:val="1"/>
                <w:color w:val="auto"/>
              </w:rPr>
              <w:t>% Change</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09"/>
        </w:trPr>
        <w:tc>
          <w:tcPr>
            <w:tcW w:w="2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2,058.8</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2,020.9</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16"/>
        </w:trPr>
        <w:tc>
          <w:tcPr>
            <w:tcW w:w="292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1,789.3</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86.9 %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1,755.0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86.8 %</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34.3</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09"/>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269.5</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13.1 %</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265.9</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13.2 %</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142"/>
        </w:trPr>
        <w:tc>
          <w:tcPr>
            <w:tcW w:w="2920" w:type="dxa"/>
            <w:vAlign w:val="bottom"/>
          </w:tcPr>
          <w:p>
            <w:pPr>
              <w:ind w:left="20"/>
              <w:spacing w:after="0" w:line="142" w:lineRule="exact"/>
              <w:rPr>
                <w:sz w:val="20"/>
                <w:szCs w:val="20"/>
                <w:color w:val="auto"/>
              </w:rPr>
            </w:pPr>
            <w:r>
              <w:rPr>
                <w:rFonts w:ascii="Arial" w:cs="Arial" w:eastAsia="Arial" w:hAnsi="Arial"/>
                <w:sz w:val="16"/>
                <w:szCs w:val="16"/>
                <w:color w:val="auto"/>
              </w:rPr>
              <w:t>Selling, general, and administrative</w:t>
            </w: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204.7</w:t>
            </w:r>
          </w:p>
        </w:tc>
        <w:tc>
          <w:tcPr>
            <w:tcW w:w="1480" w:type="dxa"/>
            <w:vAlign w:val="bottom"/>
            <w:gridSpan w:val="2"/>
            <w:vMerge w:val="restart"/>
          </w:tcPr>
          <w:p>
            <w:pPr>
              <w:jc w:val="right"/>
              <w:spacing w:after="0"/>
              <w:rPr>
                <w:sz w:val="20"/>
                <w:szCs w:val="20"/>
                <w:color w:val="auto"/>
              </w:rPr>
            </w:pPr>
            <w:r>
              <w:rPr>
                <w:rFonts w:ascii="Arial" w:cs="Arial" w:eastAsia="Arial" w:hAnsi="Arial"/>
                <w:sz w:val="16"/>
                <w:szCs w:val="16"/>
                <w:color w:val="auto"/>
              </w:rPr>
              <w:t>9.9 %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212.1</w:t>
            </w:r>
          </w:p>
        </w:tc>
        <w:tc>
          <w:tcPr>
            <w:tcW w:w="1480" w:type="dxa"/>
            <w:vAlign w:val="bottom"/>
            <w:gridSpan w:val="2"/>
            <w:vMerge w:val="restart"/>
          </w:tcPr>
          <w:p>
            <w:pPr>
              <w:jc w:val="right"/>
              <w:spacing w:after="0"/>
              <w:rPr>
                <w:sz w:val="20"/>
                <w:szCs w:val="20"/>
                <w:color w:val="auto"/>
              </w:rPr>
            </w:pPr>
            <w:r>
              <w:rPr>
                <w:rFonts w:ascii="Arial" w:cs="Arial" w:eastAsia="Arial" w:hAnsi="Arial"/>
                <w:sz w:val="16"/>
                <w:szCs w:val="16"/>
                <w:color w:val="auto"/>
              </w:rPr>
              <w:t>10.5 %</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(7.4)</w:t>
            </w:r>
          </w:p>
        </w:tc>
        <w:tc>
          <w:tcPr>
            <w:tcW w:w="1460" w:type="dxa"/>
            <w:vAlign w:val="bottom"/>
            <w:gridSpan w:val="2"/>
            <w:vMerge w:val="restart"/>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6"/>
        </w:trPr>
        <w:tc>
          <w:tcPr>
            <w:tcW w:w="2920" w:type="dxa"/>
            <w:vAlign w:val="bottom"/>
          </w:tcPr>
          <w:p>
            <w:pPr>
              <w:ind w:left="20"/>
              <w:spacing w:after="0"/>
              <w:rPr>
                <w:sz w:val="20"/>
                <w:szCs w:val="20"/>
                <w:color w:val="auto"/>
              </w:rPr>
            </w:pPr>
            <w:r>
              <w:rPr>
                <w:rFonts w:ascii="Arial" w:cs="Arial" w:eastAsia="Arial" w:hAnsi="Arial"/>
                <w:sz w:val="16"/>
                <w:szCs w:val="16"/>
                <w:color w:val="auto"/>
              </w:rPr>
              <w:t>expenses</w:t>
            </w: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9"/>
        </w:trPr>
        <w:tc>
          <w:tcPr>
            <w:tcW w:w="2920" w:type="dxa"/>
            <w:vAlign w:val="bottom"/>
          </w:tcPr>
          <w:p>
            <w:pPr>
              <w:ind w:left="2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220.9</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10.7 %</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228.8</w:t>
            </w:r>
          </w:p>
        </w:tc>
        <w:tc>
          <w:tcPr>
            <w:tcW w:w="8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11.3 %</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30.9 %</w:t>
            </w:r>
          </w:p>
        </w:tc>
        <w:tc>
          <w:tcPr>
            <w:tcW w:w="0" w:type="dxa"/>
            <w:vAlign w:val="bottom"/>
          </w:tcPr>
          <w:p>
            <w:pPr>
              <w:spacing w:after="0"/>
              <w:rPr>
                <w:sz w:val="1"/>
                <w:szCs w:val="1"/>
                <w:color w:val="auto"/>
              </w:rPr>
            </w:pPr>
          </w:p>
        </w:tc>
      </w:tr>
      <w:tr>
        <w:trPr>
          <w:trHeight w:val="216"/>
        </w:trPr>
        <w:tc>
          <w:tcPr>
            <w:tcW w:w="292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16.3</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0.8 %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19.3</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1.0 %</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note repurchase</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(61.0)%</w:t>
            </w:r>
          </w:p>
        </w:tc>
        <w:tc>
          <w:tcPr>
            <w:tcW w:w="0" w:type="dxa"/>
            <w:vAlign w:val="bottom"/>
          </w:tcPr>
          <w:p>
            <w:pPr>
              <w:spacing w:after="0"/>
              <w:rPr>
                <w:sz w:val="1"/>
                <w:szCs w:val="1"/>
                <w:color w:val="auto"/>
              </w:rPr>
            </w:pPr>
          </w:p>
        </w:tc>
      </w:tr>
      <w:tr>
        <w:trPr>
          <w:trHeight w:val="216"/>
        </w:trPr>
        <w:tc>
          <w:tcPr>
            <w:tcW w:w="2920" w:type="dxa"/>
            <w:vAlign w:val="bottom"/>
          </w:tcPr>
          <w:p>
            <w:pPr>
              <w:ind w:left="20"/>
              <w:spacing w:after="0"/>
              <w:rPr>
                <w:sz w:val="20"/>
                <w:szCs w:val="20"/>
                <w:color w:val="auto"/>
              </w:rPr>
            </w:pPr>
            <w:r>
              <w:rPr>
                <w:rFonts w:ascii="Arial" w:cs="Arial" w:eastAsia="Arial" w:hAnsi="Arial"/>
                <w:sz w:val="16"/>
                <w:szCs w:val="16"/>
                <w:color w:val="auto"/>
              </w:rPr>
              <w:t>Non-operating income</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w:t>
            </w:r>
          </w:p>
        </w:tc>
        <w:tc>
          <w:tcPr>
            <w:tcW w:w="0" w:type="dxa"/>
            <w:vAlign w:val="bottom"/>
          </w:tcPr>
          <w:p>
            <w:pPr>
              <w:spacing w:after="0"/>
              <w:rPr>
                <w:sz w:val="1"/>
                <w:szCs w:val="1"/>
                <w:color w:val="auto"/>
              </w:rPr>
            </w:pPr>
          </w:p>
        </w:tc>
      </w:tr>
      <w:tr>
        <w:trPr>
          <w:trHeight w:val="20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88.9 %</w:t>
            </w:r>
          </w:p>
        </w:tc>
        <w:tc>
          <w:tcPr>
            <w:tcW w:w="0" w:type="dxa"/>
            <w:vAlign w:val="bottom"/>
          </w:tcPr>
          <w:p>
            <w:pPr>
              <w:spacing w:after="0"/>
              <w:rPr>
                <w:sz w:val="1"/>
                <w:szCs w:val="1"/>
                <w:color w:val="auto"/>
              </w:rPr>
            </w:pPr>
          </w:p>
        </w:tc>
      </w:tr>
      <w:tr>
        <w:trPr>
          <w:trHeight w:val="216"/>
        </w:trPr>
        <w:tc>
          <w:tcPr>
            <w:tcW w:w="2920" w:type="dxa"/>
            <w:vAlign w:val="bottom"/>
          </w:tcPr>
          <w:p>
            <w:pPr>
              <w:ind w:left="20"/>
              <w:spacing w:after="0"/>
              <w:rPr>
                <w:sz w:val="20"/>
                <w:szCs w:val="20"/>
                <w:color w:val="auto"/>
              </w:rPr>
            </w:pPr>
            <w:r>
              <w:rPr>
                <w:rFonts w:ascii="Arial" w:cs="Arial" w:eastAsia="Arial" w:hAnsi="Arial"/>
                <w:sz w:val="16"/>
                <w:szCs w:val="16"/>
                <w:color w:val="auto"/>
              </w:rPr>
              <w:t>Income tax provision</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8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0.2 %</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45.0 %</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4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106.3 %</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earning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0.87</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0.45</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107.1 %</w:t>
            </w:r>
          </w:p>
        </w:tc>
        <w:tc>
          <w:tcPr>
            <w:tcW w:w="0" w:type="dxa"/>
            <w:vAlign w:val="bottom"/>
          </w:tcPr>
          <w:p>
            <w:pPr>
              <w:spacing w:after="0"/>
              <w:rPr>
                <w:sz w:val="1"/>
                <w:szCs w:val="1"/>
                <w:color w:val="auto"/>
              </w:rPr>
            </w:pPr>
          </w:p>
        </w:tc>
      </w:tr>
      <w:tr>
        <w:trPr>
          <w:trHeight w:val="162"/>
        </w:trPr>
        <w:tc>
          <w:tcPr>
            <w:tcW w:w="2920" w:type="dxa"/>
            <w:vAlign w:val="bottom"/>
          </w:tcPr>
          <w:p>
            <w:pPr>
              <w:ind w:left="20"/>
              <w:spacing w:after="0" w:line="162" w:lineRule="exact"/>
              <w:rPr>
                <w:sz w:val="20"/>
                <w:szCs w:val="20"/>
                <w:color w:val="auto"/>
              </w:rPr>
            </w:pPr>
            <w:r>
              <w:rPr>
                <w:rFonts w:ascii="Arial" w:cs="Arial" w:eastAsia="Arial" w:hAnsi="Arial"/>
                <w:sz w:val="16"/>
                <w:szCs w:val="16"/>
                <w:color w:val="auto"/>
              </w:rPr>
              <w:t>Diluted weighted average shares</w:t>
            </w: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28.4</w:t>
            </w: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9"/>
        </w:trPr>
        <w:tc>
          <w:tcPr>
            <w:tcW w:w="2920" w:type="dxa"/>
            <w:vAlign w:val="bottom"/>
          </w:tcPr>
          <w:p>
            <w:pPr>
              <w:ind w:left="20"/>
              <w:spacing w:after="0"/>
              <w:rPr>
                <w:sz w:val="20"/>
                <w:szCs w:val="20"/>
                <w:color w:val="auto"/>
              </w:rPr>
            </w:pPr>
            <w:r>
              <w:rPr>
                <w:rFonts w:ascii="Arial" w:cs="Arial" w:eastAsia="Arial" w:hAnsi="Arial"/>
                <w:sz w:val="16"/>
                <w:szCs w:val="16"/>
                <w:color w:val="auto"/>
              </w:rPr>
              <w:t>outstanding</w:t>
            </w:r>
          </w:p>
        </w:tc>
        <w:tc>
          <w:tcPr>
            <w:tcW w:w="1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247" w:right="40" w:hanging="247"/>
        <w:spacing w:after="0" w:line="220" w:lineRule="auto"/>
        <w:tabs>
          <w:tab w:leader="none" w:pos="285" w:val="left"/>
        </w:tabs>
        <w:numPr>
          <w:ilvl w:val="0"/>
          <w:numId w:val="14"/>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 In addition, percentages may not add in total due to rounding.</w:t>
      </w:r>
    </w:p>
    <w:p>
      <w:pPr>
        <w:spacing w:after="0" w:line="315" w:lineRule="exact"/>
        <w:rPr>
          <w:sz w:val="20"/>
          <w:szCs w:val="20"/>
          <w:color w:val="auto"/>
        </w:rPr>
      </w:pPr>
    </w:p>
    <w:p>
      <w:pPr>
        <w:ind w:left="7"/>
        <w:spacing w:after="0"/>
        <w:rPr>
          <w:sz w:val="20"/>
          <w:szCs w:val="20"/>
          <w:color w:val="auto"/>
        </w:rPr>
      </w:pPr>
      <w:r>
        <w:rPr>
          <w:rFonts w:ascii="Arial" w:cs="Arial" w:eastAsia="Arial" w:hAnsi="Arial"/>
          <w:sz w:val="16"/>
          <w:szCs w:val="16"/>
          <w:color w:val="auto"/>
        </w:rPr>
        <w:t>Net revenues increased primarily due to selective price increases and product mix, partially offset by lower unit volume.</w:t>
      </w:r>
    </w:p>
    <w:p>
      <w:pPr>
        <w:spacing w:after="0" w:line="262" w:lineRule="exact"/>
        <w:rPr>
          <w:sz w:val="20"/>
          <w:szCs w:val="20"/>
          <w:color w:val="auto"/>
        </w:rPr>
      </w:pPr>
    </w:p>
    <w:p>
      <w:pPr>
        <w:ind w:left="7"/>
        <w:spacing w:after="0"/>
        <w:rPr>
          <w:sz w:val="20"/>
          <w:szCs w:val="20"/>
          <w:color w:val="auto"/>
        </w:rPr>
      </w:pPr>
      <w:r>
        <w:rPr>
          <w:rFonts w:ascii="Arial" w:cs="Arial" w:eastAsia="Arial" w:hAnsi="Arial"/>
          <w:sz w:val="16"/>
          <w:szCs w:val="16"/>
          <w:color w:val="auto"/>
        </w:rPr>
        <w:t>Gross profit as a percentage of revenue was consistent with prior year as higher input costs were largely offset by selective price adjustments.</w:t>
      </w:r>
    </w:p>
    <w:p>
      <w:pPr>
        <w:spacing w:after="0" w:line="248" w:lineRule="exact"/>
        <w:rPr>
          <w:sz w:val="20"/>
          <w:szCs w:val="20"/>
          <w:color w:val="auto"/>
        </w:rPr>
      </w:pPr>
    </w:p>
    <w:p>
      <w:pPr>
        <w:ind w:left="7" w:right="560"/>
        <w:spacing w:after="0" w:line="309" w:lineRule="auto"/>
        <w:rPr>
          <w:sz w:val="20"/>
          <w:szCs w:val="20"/>
          <w:color w:val="auto"/>
        </w:rPr>
      </w:pPr>
      <w:r>
        <w:rPr>
          <w:rFonts w:ascii="Arial" w:cs="Arial" w:eastAsia="Arial" w:hAnsi="Arial"/>
          <w:sz w:val="16"/>
          <w:szCs w:val="16"/>
          <w:color w:val="auto"/>
        </w:rPr>
        <w:t>Operating expenses decreased primarily due to cost reduction initiatives, partially offset by increased costs to support the growth of the Grand Design Motorhome business.</w:t>
      </w:r>
    </w:p>
    <w:p>
      <w:pPr>
        <w:spacing w:after="0" w:line="161" w:lineRule="exact"/>
        <w:rPr>
          <w:sz w:val="20"/>
          <w:szCs w:val="20"/>
          <w:color w:val="auto"/>
        </w:rPr>
      </w:pPr>
    </w:p>
    <w:p>
      <w:pPr>
        <w:ind w:left="7" w:right="100"/>
        <w:spacing w:after="0" w:line="277" w:lineRule="auto"/>
        <w:rPr>
          <w:sz w:val="20"/>
          <w:szCs w:val="20"/>
          <w:color w:val="auto"/>
        </w:rPr>
      </w:pPr>
      <w:r>
        <w:rPr>
          <w:rFonts w:ascii="Arial" w:cs="Arial" w:eastAsia="Arial" w:hAnsi="Arial"/>
          <w:sz w:val="16"/>
          <w:szCs w:val="16"/>
          <w:color w:val="auto"/>
        </w:rPr>
        <w:t>The loss on note repurchase recorded in the nine months ended May 30, 2026 and May 31, 2025 is related to the repurchase of $100.0 million of our Senior Secured Notes in both periods. Refer to Note 8 in the Notes to Consolidated Financial Statements included in Item 1 of Part I of this Quarterly Report on Form 10-Q for further information.</w:t>
      </w:r>
    </w:p>
    <w:p>
      <w:pPr>
        <w:spacing w:after="0" w:line="186" w:lineRule="exact"/>
        <w:rPr>
          <w:sz w:val="20"/>
          <w:szCs w:val="20"/>
          <w:color w:val="auto"/>
        </w:rPr>
      </w:pPr>
    </w:p>
    <w:p>
      <w:pPr>
        <w:ind w:left="7" w:right="20"/>
        <w:spacing w:after="0" w:line="309" w:lineRule="auto"/>
        <w:rPr>
          <w:sz w:val="20"/>
          <w:szCs w:val="20"/>
          <w:color w:val="auto"/>
        </w:rPr>
      </w:pPr>
      <w:r>
        <w:rPr>
          <w:rFonts w:ascii="Arial" w:cs="Arial" w:eastAsia="Arial" w:hAnsi="Arial"/>
          <w:sz w:val="16"/>
          <w:szCs w:val="16"/>
          <w:color w:val="auto"/>
        </w:rPr>
        <w:t>The change in our effective tax rate was driven primarily by the impact of increased R&amp;D tax credits and discrete tax benefits in the current year as compared to the prior year.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831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16" w:right="318" w:bottom="1440" w:gutter="0" w:footer="0" w:header="0"/>
        </w:sectPr>
      </w:pPr>
    </w:p>
    <w:bookmarkStart w:id="27" w:name="page28"/>
    <w:bookmarkEnd w:id="27"/>
    <w:p>
      <w:pPr>
        <w:ind w:left="7"/>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Reportable Segment Performance Summary</w:t>
      </w:r>
    </w:p>
    <w:p>
      <w:pPr>
        <w:spacing w:after="0" w:line="115"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Towable RV</w:t>
      </w:r>
    </w:p>
    <w:p>
      <w:pPr>
        <w:spacing w:after="0" w:line="125"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following is an analysis of key changes in our Towable RV segment for the nine months ended May 30, 2026 compared to the nine months ended</w:t>
      </w:r>
    </w:p>
    <w:p>
      <w:pPr>
        <w:spacing w:after="0" w:line="25" w:lineRule="exact"/>
        <w:rPr>
          <w:sz w:val="20"/>
          <w:szCs w:val="20"/>
          <w:color w:val="auto"/>
        </w:rPr>
      </w:pPr>
    </w:p>
    <w:p>
      <w:pPr>
        <w:ind w:left="7"/>
        <w:spacing w:after="0"/>
        <w:rPr>
          <w:sz w:val="20"/>
          <w:szCs w:val="20"/>
          <w:color w:val="auto"/>
        </w:rPr>
      </w:pPr>
      <w:r>
        <w:rPr>
          <w:rFonts w:ascii="Arial" w:cs="Arial" w:eastAsia="Arial" w:hAnsi="Arial"/>
          <w:sz w:val="16"/>
          <w:szCs w:val="16"/>
          <w:color w:val="auto"/>
        </w:rPr>
        <w:t>May 31, 2025:</w:t>
      </w:r>
    </w:p>
    <w:p>
      <w:pPr>
        <w:spacing w:after="0" w:line="37" w:lineRule="exact"/>
        <w:rPr>
          <w:sz w:val="20"/>
          <w:szCs w:val="20"/>
          <w:color w:val="auto"/>
        </w:rPr>
      </w:pPr>
    </w:p>
    <w:tbl>
      <w:tblPr>
        <w:tblLayout w:type="fixed"/>
        <w:tblInd w:w="7" w:type="dxa"/>
        <w:tblCellMar>
          <w:top w:w="0" w:type="dxa"/>
          <w:left w:w="0" w:type="dxa"/>
          <w:bottom w:w="0" w:type="dxa"/>
          <w:right w:w="0" w:type="dxa"/>
        </w:tblCellMar>
      </w:tblPr>
      <w:tr>
        <w:trPr>
          <w:trHeight w:val="223"/>
        </w:trPr>
        <w:tc>
          <w:tcPr>
            <w:tcW w:w="29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6"/>
                <w:szCs w:val="16"/>
                <w:b w:val="1"/>
                <w:bCs w:val="1"/>
                <w:color w:val="auto"/>
              </w:rPr>
              <w:t>Nine Months Ended</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r>
      <w:tr>
        <w:trPr>
          <w:trHeight w:val="209"/>
        </w:trPr>
        <w:tc>
          <w:tcPr>
            <w:tcW w:w="2920" w:type="dxa"/>
            <w:vAlign w:val="bottom"/>
          </w:tcPr>
          <w:p>
            <w:pPr>
              <w:ind w:left="20"/>
              <w:spacing w:after="0"/>
              <w:rPr>
                <w:sz w:val="20"/>
                <w:szCs w:val="20"/>
                <w:color w:val="auto"/>
              </w:rPr>
            </w:pPr>
            <w:r>
              <w:rPr>
                <w:rFonts w:ascii="Arial" w:cs="Arial" w:eastAsia="Arial" w:hAnsi="Arial"/>
                <w:sz w:val="14"/>
                <w:szCs w:val="14"/>
                <w:color w:val="auto"/>
              </w:rPr>
              <w:t>(in millions, except ASP and units)</w:t>
            </w:r>
          </w:p>
        </w:tc>
        <w:tc>
          <w:tcPr>
            <w:tcW w:w="1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May 30, 2026</w:t>
            </w:r>
          </w:p>
        </w:tc>
        <w:tc>
          <w:tcPr>
            <w:tcW w:w="80" w:type="dxa"/>
            <w:vAlign w:val="bottom"/>
          </w:tcPr>
          <w:p>
            <w:pPr>
              <w:spacing w:after="0"/>
              <w:rPr>
                <w:sz w:val="18"/>
                <w:szCs w:val="18"/>
                <w:color w:val="auto"/>
              </w:rPr>
            </w:pPr>
          </w:p>
        </w:tc>
        <w:tc>
          <w:tcPr>
            <w:tcW w:w="1600" w:type="dxa"/>
            <w:vAlign w:val="bottom"/>
            <w:gridSpan w:val="3"/>
          </w:tcPr>
          <w:p>
            <w:pPr>
              <w:jc w:val="right"/>
              <w:ind w:right="179"/>
              <w:spacing w:after="0" w:line="210"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140" w:type="dxa"/>
            <w:vAlign w:val="bottom"/>
          </w:tcPr>
          <w:p>
            <w:pPr>
              <w:jc w:val="right"/>
              <w:ind w:right="59"/>
              <w:spacing w:after="0"/>
              <w:rPr>
                <w:sz w:val="20"/>
                <w:szCs w:val="20"/>
                <w:color w:val="auto"/>
              </w:rPr>
            </w:pPr>
            <w:r>
              <w:rPr>
                <w:rFonts w:ascii="Arial" w:cs="Arial" w:eastAsia="Arial" w:hAnsi="Arial"/>
                <w:sz w:val="16"/>
                <w:szCs w:val="16"/>
                <w:b w:val="1"/>
                <w:bCs w:val="1"/>
                <w:color w:val="auto"/>
              </w:rPr>
              <w:t>May 31, 2025</w:t>
            </w:r>
          </w:p>
        </w:tc>
        <w:tc>
          <w:tcPr>
            <w:tcW w:w="1460" w:type="dxa"/>
            <w:vAlign w:val="bottom"/>
            <w:gridSpan w:val="2"/>
          </w:tcPr>
          <w:p>
            <w:pPr>
              <w:jc w:val="right"/>
              <w:spacing w:after="0" w:line="210"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59"/>
              <w:spacing w:after="0" w:line="210" w:lineRule="exact"/>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00" w:type="dxa"/>
            <w:vAlign w:val="bottom"/>
          </w:tcPr>
          <w:p>
            <w:pPr>
              <w:spacing w:after="0"/>
              <w:rPr>
                <w:sz w:val="18"/>
                <w:szCs w:val="18"/>
                <w:color w:val="auto"/>
              </w:rPr>
            </w:pPr>
          </w:p>
        </w:tc>
        <w:tc>
          <w:tcPr>
            <w:tcW w:w="1360" w:type="dxa"/>
            <w:vAlign w:val="bottom"/>
          </w:tcPr>
          <w:p>
            <w:pPr>
              <w:jc w:val="center"/>
              <w:spacing w:after="0" w:line="210" w:lineRule="exact"/>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r>
      <w:tr>
        <w:trPr>
          <w:trHeight w:val="209"/>
        </w:trPr>
        <w:tc>
          <w:tcPr>
            <w:tcW w:w="2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830.5</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913.9</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(83.4)</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r>
      <w:tr>
        <w:trPr>
          <w:trHeight w:val="216"/>
        </w:trPr>
        <w:tc>
          <w:tcPr>
            <w:tcW w:w="292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38.2</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4.6 %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79"/>
              <w:spacing w:after="0"/>
              <w:rPr>
                <w:sz w:val="20"/>
                <w:szCs w:val="20"/>
                <w:color w:val="auto"/>
              </w:rPr>
            </w:pPr>
            <w:r>
              <w:rPr>
                <w:rFonts w:ascii="Arial" w:cs="Arial" w:eastAsia="Arial" w:hAnsi="Arial"/>
                <w:sz w:val="16"/>
                <w:szCs w:val="16"/>
                <w:color w:val="auto"/>
              </w:rPr>
              <w:t>51.3</w:t>
            </w:r>
          </w:p>
        </w:tc>
        <w:tc>
          <w:tcPr>
            <w:tcW w:w="1380" w:type="dxa"/>
            <w:vAlign w:val="bottom"/>
          </w:tcPr>
          <w:p>
            <w:pPr>
              <w:jc w:val="right"/>
              <w:spacing w:after="0"/>
              <w:rPr>
                <w:sz w:val="20"/>
                <w:szCs w:val="20"/>
                <w:color w:val="auto"/>
              </w:rPr>
            </w:pPr>
            <w:r>
              <w:rPr>
                <w:rFonts w:ascii="Arial" w:cs="Arial" w:eastAsia="Arial" w:hAnsi="Arial"/>
                <w:sz w:val="16"/>
                <w:szCs w:val="16"/>
                <w:color w:val="auto"/>
              </w:rPr>
              <w:t>5.6 %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(13.1)</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(25.6)%</w:t>
            </w:r>
          </w:p>
        </w:tc>
      </w:tr>
      <w:tr>
        <w:trPr>
          <w:trHeight w:val="270"/>
        </w:trPr>
        <w:tc>
          <w:tcPr>
            <w:tcW w:w="2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84"/>
        </w:trPr>
        <w:tc>
          <w:tcPr>
            <w:tcW w:w="2920" w:type="dxa"/>
            <w:vAlign w:val="bottom"/>
          </w:tcPr>
          <w:p>
            <w:pPr>
              <w:ind w:left="20"/>
              <w:spacing w:after="0"/>
              <w:rPr>
                <w:sz w:val="20"/>
                <w:szCs w:val="20"/>
                <w:color w:val="auto"/>
              </w:rPr>
            </w:pPr>
            <w:r>
              <w:rPr>
                <w:rFonts w:ascii="Arial" w:cs="Arial" w:eastAsia="Arial" w:hAnsi="Arial"/>
                <w:sz w:val="16"/>
                <w:szCs w:val="16"/>
                <w:color w:val="auto"/>
              </w:rPr>
              <w:t>ASP</w:t>
            </w:r>
            <w:r>
              <w:rPr>
                <w:rFonts w:ascii="Arial" w:cs="Arial" w:eastAsia="Arial" w:hAnsi="Arial"/>
                <w:sz w:val="21"/>
                <w:szCs w:val="21"/>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39,232</w:t>
            </w:r>
          </w:p>
        </w:tc>
        <w:tc>
          <w:tcPr>
            <w:tcW w:w="168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79"/>
              <w:spacing w:after="0"/>
              <w:rPr>
                <w:sz w:val="20"/>
                <w:szCs w:val="20"/>
                <w:color w:val="auto"/>
              </w:rPr>
            </w:pPr>
            <w:r>
              <w:rPr>
                <w:rFonts w:ascii="Arial" w:cs="Arial" w:eastAsia="Arial" w:hAnsi="Arial"/>
                <w:sz w:val="16"/>
                <w:szCs w:val="16"/>
                <w:color w:val="auto"/>
              </w:rPr>
              <w:t>38,906</w:t>
            </w:r>
          </w:p>
        </w:tc>
        <w:tc>
          <w:tcPr>
            <w:tcW w:w="138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326</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0.8 %</w:t>
            </w:r>
          </w:p>
        </w:tc>
      </w:tr>
      <w:tr>
        <w:trPr>
          <w:trHeight w:val="310"/>
        </w:trPr>
        <w:tc>
          <w:tcPr>
            <w:tcW w:w="29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6"/>
                <w:szCs w:val="16"/>
                <w:b w:val="1"/>
                <w:bCs w:val="1"/>
                <w:color w:val="auto"/>
              </w:rPr>
              <w:t>Nine Months Ended</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210"/>
        </w:trPr>
        <w:tc>
          <w:tcPr>
            <w:tcW w:w="292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May 30, 2026</w:t>
            </w:r>
          </w:p>
        </w:tc>
        <w:tc>
          <w:tcPr>
            <w:tcW w:w="80" w:type="dxa"/>
            <w:vAlign w:val="bottom"/>
          </w:tcPr>
          <w:p>
            <w:pPr>
              <w:spacing w:after="0"/>
              <w:rPr>
                <w:sz w:val="18"/>
                <w:szCs w:val="18"/>
                <w:color w:val="auto"/>
              </w:rPr>
            </w:pPr>
          </w:p>
        </w:tc>
        <w:tc>
          <w:tcPr>
            <w:tcW w:w="1600" w:type="dxa"/>
            <w:vAlign w:val="bottom"/>
            <w:gridSpan w:val="3"/>
          </w:tcPr>
          <w:p>
            <w:pPr>
              <w:jc w:val="right"/>
              <w:ind w:right="299"/>
              <w:spacing w:after="0" w:line="210" w:lineRule="exact"/>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(3)</w:t>
            </w:r>
          </w:p>
        </w:tc>
        <w:tc>
          <w:tcPr>
            <w:tcW w:w="1140" w:type="dxa"/>
            <w:vAlign w:val="bottom"/>
          </w:tcPr>
          <w:p>
            <w:pPr>
              <w:jc w:val="right"/>
              <w:ind w:right="59"/>
              <w:spacing w:after="0"/>
              <w:rPr>
                <w:sz w:val="20"/>
                <w:szCs w:val="20"/>
                <w:color w:val="auto"/>
              </w:rPr>
            </w:pPr>
            <w:r>
              <w:rPr>
                <w:rFonts w:ascii="Arial" w:cs="Arial" w:eastAsia="Arial" w:hAnsi="Arial"/>
                <w:sz w:val="16"/>
                <w:szCs w:val="16"/>
                <w:b w:val="1"/>
                <w:bCs w:val="1"/>
                <w:color w:val="auto"/>
              </w:rPr>
              <w:t>May 31, 2025</w:t>
            </w:r>
          </w:p>
        </w:tc>
        <w:tc>
          <w:tcPr>
            <w:tcW w:w="80" w:type="dxa"/>
            <w:vAlign w:val="bottom"/>
          </w:tcPr>
          <w:p>
            <w:pPr>
              <w:spacing w:after="0"/>
              <w:rPr>
                <w:sz w:val="18"/>
                <w:szCs w:val="18"/>
                <w:color w:val="auto"/>
              </w:rPr>
            </w:pPr>
          </w:p>
        </w:tc>
        <w:tc>
          <w:tcPr>
            <w:tcW w:w="1380" w:type="dxa"/>
            <w:vAlign w:val="bottom"/>
          </w:tcPr>
          <w:p>
            <w:pPr>
              <w:jc w:val="right"/>
              <w:ind w:right="79"/>
              <w:spacing w:after="0" w:line="210" w:lineRule="exact"/>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Unit Change</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09"/>
        </w:trPr>
        <w:tc>
          <w:tcPr>
            <w:tcW w:w="2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15,350</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73.0 %</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16,034</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16"/>
        </w:trPr>
        <w:tc>
          <w:tcPr>
            <w:tcW w:w="2920" w:type="dxa"/>
            <w:vAlign w:val="bottom"/>
          </w:tcPr>
          <w:p>
            <w:pPr>
              <w:ind w:left="20"/>
              <w:spacing w:after="0"/>
              <w:rPr>
                <w:sz w:val="20"/>
                <w:szCs w:val="20"/>
                <w:color w:val="auto"/>
              </w:rPr>
            </w:pPr>
            <w:r>
              <w:rPr>
                <w:rFonts w:ascii="Arial" w:cs="Arial" w:eastAsia="Arial" w:hAnsi="Arial"/>
                <w:sz w:val="16"/>
                <w:szCs w:val="16"/>
                <w:color w:val="auto"/>
              </w:rPr>
              <w:t>Fifth wheel</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5,669</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27.0 %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79"/>
              <w:spacing w:after="0"/>
              <w:rPr>
                <w:sz w:val="20"/>
                <w:szCs w:val="20"/>
                <w:color w:val="auto"/>
              </w:rPr>
            </w:pPr>
            <w:r>
              <w:rPr>
                <w:rFonts w:ascii="Arial" w:cs="Arial" w:eastAsia="Arial" w:hAnsi="Arial"/>
                <w:sz w:val="16"/>
                <w:szCs w:val="16"/>
                <w:color w:val="auto"/>
              </w:rPr>
              <w:t>7,302</w:t>
            </w:r>
          </w:p>
        </w:tc>
        <w:tc>
          <w:tcPr>
            <w:tcW w:w="1380" w:type="dxa"/>
            <w:vAlign w:val="bottom"/>
          </w:tcPr>
          <w:p>
            <w:pPr>
              <w:jc w:val="right"/>
              <w:spacing w:after="0"/>
              <w:rPr>
                <w:sz w:val="20"/>
                <w:szCs w:val="20"/>
                <w:color w:val="auto"/>
              </w:rPr>
            </w:pPr>
            <w:r>
              <w:rPr>
                <w:rFonts w:ascii="Arial" w:cs="Arial" w:eastAsia="Arial" w:hAnsi="Arial"/>
                <w:sz w:val="16"/>
                <w:szCs w:val="16"/>
                <w:color w:val="auto"/>
              </w:rPr>
              <w:t>31.3 %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(1,633)</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(22.4)%</w:t>
            </w:r>
          </w:p>
        </w:tc>
      </w:tr>
      <w:tr>
        <w:trPr>
          <w:trHeight w:val="235"/>
        </w:trPr>
        <w:tc>
          <w:tcPr>
            <w:tcW w:w="29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Towable RV</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21,019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23,336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325"/>
        </w:trPr>
        <w:tc>
          <w:tcPr>
            <w:tcW w:w="2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May 30, 2026</w:t>
            </w:r>
          </w:p>
        </w:tc>
        <w:tc>
          <w:tcPr>
            <w:tcW w:w="8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May 31, 2025</w:t>
            </w:r>
          </w:p>
        </w:tc>
        <w:tc>
          <w:tcPr>
            <w:tcW w:w="8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r>
      <w:tr>
        <w:trPr>
          <w:trHeight w:val="209"/>
        </w:trPr>
        <w:tc>
          <w:tcPr>
            <w:tcW w:w="292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b w:val="1"/>
                <w:bCs w:val="1"/>
                <w:color w:val="auto"/>
              </w:rPr>
              <w:t>Dealer Inventory</w:t>
            </w:r>
            <w:r>
              <w:rPr>
                <w:rFonts w:ascii="Arial" w:cs="Arial" w:eastAsia="Arial" w:hAnsi="Arial"/>
                <w:sz w:val="21"/>
                <w:szCs w:val="21"/>
                <w:b w:val="1"/>
                <w:bCs w:val="1"/>
                <w:color w:val="auto"/>
                <w:vertAlign w:val="superscript"/>
              </w:rPr>
              <w:t>(4)</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9"/>
        </w:trPr>
        <w:tc>
          <w:tcPr>
            <w:tcW w:w="2920" w:type="dxa"/>
            <w:vAlign w:val="bottom"/>
          </w:tcPr>
          <w:p>
            <w:pPr>
              <w:ind w:left="120"/>
              <w:spacing w:after="0"/>
              <w:rPr>
                <w:sz w:val="20"/>
                <w:szCs w:val="20"/>
                <w:color w:val="auto"/>
              </w:rPr>
            </w:pPr>
            <w:r>
              <w:rPr>
                <w:rFonts w:ascii="Arial" w:cs="Arial" w:eastAsia="Arial" w:hAnsi="Arial"/>
                <w:sz w:val="16"/>
                <w:szCs w:val="16"/>
                <w:color w:val="auto"/>
              </w:rPr>
              <w:t>Units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18,721</w:t>
            </w: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79"/>
              <w:spacing w:after="0"/>
              <w:rPr>
                <w:sz w:val="20"/>
                <w:szCs w:val="20"/>
                <w:color w:val="auto"/>
              </w:rPr>
            </w:pPr>
            <w:r>
              <w:rPr>
                <w:rFonts w:ascii="Arial" w:cs="Arial" w:eastAsia="Arial" w:hAnsi="Arial"/>
                <w:sz w:val="16"/>
                <w:szCs w:val="16"/>
                <w:color w:val="auto"/>
              </w:rPr>
              <w:t>17,747</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974</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5.5 %</w:t>
            </w:r>
          </w:p>
        </w:tc>
      </w:tr>
    </w:tbl>
    <w:p>
      <w:pPr>
        <w:spacing w:after="0" w:line="17" w:lineRule="exact"/>
        <w:rPr>
          <w:sz w:val="20"/>
          <w:szCs w:val="20"/>
          <w:color w:val="auto"/>
        </w:rPr>
      </w:pPr>
    </w:p>
    <w:p>
      <w:pPr>
        <w:ind w:left="287" w:hanging="287"/>
        <w:spacing w:after="0"/>
        <w:tabs>
          <w:tab w:leader="none" w:pos="287" w:val="left"/>
        </w:tabs>
        <w:numPr>
          <w:ilvl w:val="0"/>
          <w:numId w:val="15"/>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ind w:left="287" w:hanging="287"/>
        <w:spacing w:after="0" w:line="183" w:lineRule="auto"/>
        <w:tabs>
          <w:tab w:leader="none" w:pos="287" w:val="left"/>
        </w:tabs>
        <w:numPr>
          <w:ilvl w:val="0"/>
          <w:numId w:val="15"/>
        </w:numPr>
        <w:rPr>
          <w:rFonts w:ascii="Arial" w:cs="Arial" w:eastAsia="Arial" w:hAnsi="Arial"/>
          <w:sz w:val="20"/>
          <w:szCs w:val="20"/>
          <w:color w:val="auto"/>
          <w:vertAlign w:val="superscript"/>
        </w:rPr>
      </w:pPr>
      <w:r>
        <w:rPr>
          <w:rFonts w:ascii="Arial" w:cs="Arial" w:eastAsia="Arial" w:hAnsi="Arial"/>
          <w:sz w:val="14"/>
          <w:szCs w:val="14"/>
          <w:color w:val="auto"/>
        </w:rPr>
        <w:t>ASP excludes off-invoice dealer incentives.</w:t>
      </w:r>
    </w:p>
    <w:p>
      <w:pPr>
        <w:ind w:left="287" w:hanging="287"/>
        <w:spacing w:after="0" w:line="183" w:lineRule="auto"/>
        <w:tabs>
          <w:tab w:leader="none" w:pos="287" w:val="left"/>
        </w:tabs>
        <w:numPr>
          <w:ilvl w:val="0"/>
          <w:numId w:val="15"/>
        </w:numPr>
        <w:rPr>
          <w:rFonts w:ascii="Arial" w:cs="Arial" w:eastAsia="Arial" w:hAnsi="Arial"/>
          <w:sz w:val="20"/>
          <w:szCs w:val="20"/>
          <w:color w:val="auto"/>
          <w:vertAlign w:val="superscript"/>
        </w:rPr>
      </w:pPr>
      <w:r>
        <w:rPr>
          <w:rFonts w:ascii="Arial" w:cs="Arial" w:eastAsia="Arial" w:hAnsi="Arial"/>
          <w:sz w:val="14"/>
          <w:szCs w:val="14"/>
          <w:color w:val="auto"/>
        </w:rPr>
        <w:t>Percentages may not add due to rounding differences.</w:t>
      </w:r>
    </w:p>
    <w:p>
      <w:pPr>
        <w:ind w:left="287" w:hanging="287"/>
        <w:spacing w:after="0" w:line="183" w:lineRule="auto"/>
        <w:tabs>
          <w:tab w:leader="none" w:pos="287" w:val="left"/>
        </w:tabs>
        <w:numPr>
          <w:ilvl w:val="0"/>
          <w:numId w:val="15"/>
        </w:numPr>
        <w:rPr>
          <w:rFonts w:ascii="Arial" w:cs="Arial" w:eastAsia="Arial" w:hAnsi="Arial"/>
          <w:sz w:val="20"/>
          <w:szCs w:val="20"/>
          <w:color w:val="auto"/>
          <w:vertAlign w:val="superscript"/>
        </w:rPr>
      </w:pPr>
      <w:r>
        <w:rPr>
          <w:rFonts w:ascii="Arial" w:cs="Arial" w:eastAsia="Arial" w:hAnsi="Arial"/>
          <w:sz w:val="14"/>
          <w:szCs w:val="14"/>
          <w:color w:val="auto"/>
        </w:rPr>
        <w:t>Data is based on the latest information available from our dealer partners and is subject to timing of reporting and other limitations.</w:t>
      </w:r>
    </w:p>
    <w:p>
      <w:pPr>
        <w:spacing w:after="0" w:line="207" w:lineRule="exact"/>
        <w:rPr>
          <w:sz w:val="20"/>
          <w:szCs w:val="20"/>
          <w:color w:val="auto"/>
        </w:rPr>
      </w:pPr>
    </w:p>
    <w:p>
      <w:pPr>
        <w:ind w:left="7" w:right="500"/>
        <w:spacing w:after="0" w:line="309" w:lineRule="auto"/>
        <w:rPr>
          <w:sz w:val="20"/>
          <w:szCs w:val="20"/>
          <w:color w:val="auto"/>
        </w:rPr>
      </w:pPr>
      <w:r>
        <w:rPr>
          <w:rFonts w:ascii="Arial" w:cs="Arial" w:eastAsia="Arial" w:hAnsi="Arial"/>
          <w:sz w:val="16"/>
          <w:szCs w:val="16"/>
          <w:color w:val="auto"/>
        </w:rPr>
        <w:t>Net revenues decreased primarily due to lower unit volume and a shift in product mix toward lower price-point models, partially offset by selective price adjustments.</w:t>
      </w:r>
    </w:p>
    <w:p>
      <w:pPr>
        <w:spacing w:after="0" w:line="161" w:lineRule="exact"/>
        <w:rPr>
          <w:sz w:val="20"/>
          <w:szCs w:val="20"/>
          <w:color w:val="auto"/>
        </w:rPr>
      </w:pPr>
    </w:p>
    <w:p>
      <w:pPr>
        <w:ind w:left="7" w:right="60"/>
        <w:spacing w:after="0" w:line="309" w:lineRule="auto"/>
        <w:rPr>
          <w:sz w:val="20"/>
          <w:szCs w:val="20"/>
          <w:color w:val="auto"/>
        </w:rPr>
      </w:pPr>
      <w:r>
        <w:rPr>
          <w:rFonts w:ascii="Arial" w:cs="Arial" w:eastAsia="Arial" w:hAnsi="Arial"/>
          <w:sz w:val="16"/>
          <w:szCs w:val="16"/>
          <w:color w:val="auto"/>
        </w:rPr>
        <w:t>Operating income margin decreased primarily due to higher input costs, deleverage, and product mix, partially offset by selective price adjustments, and cost containment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831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16" w:right="318" w:bottom="1440" w:gutter="0" w:footer="0" w:header="0"/>
        </w:sectPr>
      </w:pPr>
    </w:p>
    <w:bookmarkStart w:id="28" w:name="page29"/>
    <w:bookmarkEnd w:id="28"/>
    <w:p>
      <w:pPr>
        <w:ind w:left="7"/>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Motorhome RV</w:t>
      </w:r>
    </w:p>
    <w:p>
      <w:pPr>
        <w:spacing w:after="0" w:line="111"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following is an analysis of key changes in our Motorhome RV segment for the nine months ended May 30, 2026 compared to the nine months ended</w:t>
      </w:r>
    </w:p>
    <w:p>
      <w:pPr>
        <w:spacing w:after="0" w:line="35" w:lineRule="exact"/>
        <w:rPr>
          <w:sz w:val="20"/>
          <w:szCs w:val="20"/>
          <w:color w:val="auto"/>
        </w:rPr>
      </w:pPr>
    </w:p>
    <w:p>
      <w:pPr>
        <w:ind w:left="7"/>
        <w:spacing w:after="0"/>
        <w:rPr>
          <w:sz w:val="20"/>
          <w:szCs w:val="20"/>
          <w:color w:val="auto"/>
        </w:rPr>
      </w:pPr>
      <w:r>
        <w:rPr>
          <w:rFonts w:ascii="Arial" w:cs="Arial" w:eastAsia="Arial" w:hAnsi="Arial"/>
          <w:sz w:val="16"/>
          <w:szCs w:val="16"/>
          <w:color w:val="auto"/>
        </w:rPr>
        <w:t>May 31, 2025:</w:t>
      </w:r>
    </w:p>
    <w:p>
      <w:pPr>
        <w:spacing w:after="0" w:line="27" w:lineRule="exact"/>
        <w:rPr>
          <w:sz w:val="20"/>
          <w:szCs w:val="20"/>
          <w:color w:val="auto"/>
        </w:rPr>
      </w:pPr>
    </w:p>
    <w:tbl>
      <w:tblPr>
        <w:tblLayout w:type="fixed"/>
        <w:tblInd w:w="7" w:type="dxa"/>
        <w:tblCellMar>
          <w:top w:w="0" w:type="dxa"/>
          <w:left w:w="0" w:type="dxa"/>
          <w:bottom w:w="0" w:type="dxa"/>
          <w:right w:w="0" w:type="dxa"/>
        </w:tblCellMar>
      </w:tblPr>
      <w:tr>
        <w:trPr>
          <w:trHeight w:val="223"/>
        </w:trPr>
        <w:tc>
          <w:tcPr>
            <w:tcW w:w="29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6"/>
                <w:szCs w:val="16"/>
                <w:b w:val="1"/>
                <w:bCs w:val="1"/>
                <w:color w:val="auto"/>
              </w:rPr>
              <w:t>Nine Months Ended</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r>
        <w:trPr>
          <w:trHeight w:val="210"/>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ASP and units)</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May 30, 2026</w:t>
            </w:r>
          </w:p>
        </w:tc>
        <w:tc>
          <w:tcPr>
            <w:tcW w:w="80" w:type="dxa"/>
            <w:vAlign w:val="bottom"/>
          </w:tcPr>
          <w:p>
            <w:pPr>
              <w:spacing w:after="0"/>
              <w:rPr>
                <w:sz w:val="18"/>
                <w:szCs w:val="18"/>
                <w:color w:val="auto"/>
              </w:rPr>
            </w:pPr>
          </w:p>
        </w:tc>
        <w:tc>
          <w:tcPr>
            <w:tcW w:w="13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8"/>
              </w:rPr>
              <w:t>May 31, 2025</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6"/>
                <w:szCs w:val="16"/>
                <w:b w:val="1"/>
                <w:bCs w:val="1"/>
                <w:color w:val="auto"/>
                <w:w w:val="99"/>
              </w:rPr>
              <w:t>% of Revenues</w:t>
            </w:r>
            <w:r>
              <w:rPr>
                <w:rFonts w:ascii="Arial" w:cs="Arial" w:eastAsia="Arial" w:hAnsi="Arial"/>
                <w:sz w:val="21"/>
                <w:szCs w:val="21"/>
                <w:b w:val="1"/>
                <w:bCs w:val="1"/>
                <w:color w:val="auto"/>
                <w:w w:val="99"/>
                <w:vertAlign w:val="superscript"/>
              </w:rPr>
              <w:t>(1)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9"/>
              <w:spacing w:after="0" w:line="210" w:lineRule="exact"/>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center"/>
              <w:spacing w:after="0" w:line="210" w:lineRule="exact"/>
              <w:rPr>
                <w:sz w:val="20"/>
                <w:szCs w:val="20"/>
                <w:color w:val="auto"/>
              </w:rPr>
            </w:pPr>
            <w:r>
              <w:rPr>
                <w:rFonts w:ascii="Arial" w:cs="Arial" w:eastAsia="Arial" w:hAnsi="Arial"/>
                <w:sz w:val="16"/>
                <w:szCs w:val="16"/>
                <w:b w:val="1"/>
                <w:bCs w:val="1"/>
                <w:color w:val="auto"/>
                <w:w w:val="95"/>
              </w:rPr>
              <w:t>% Change</w:t>
            </w:r>
            <w:r>
              <w:rPr>
                <w:rFonts w:ascii="Arial" w:cs="Arial" w:eastAsia="Arial" w:hAnsi="Arial"/>
                <w:sz w:val="21"/>
                <w:szCs w:val="21"/>
                <w:b w:val="1"/>
                <w:bCs w:val="1"/>
                <w:color w:val="auto"/>
                <w:w w:val="95"/>
                <w:vertAlign w:val="superscript"/>
              </w:rPr>
              <w:t>(1)</w:t>
            </w:r>
          </w:p>
        </w:tc>
      </w:tr>
      <w:tr>
        <w:trPr>
          <w:trHeight w:val="20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933.9</w:t>
            </w:r>
          </w:p>
        </w:tc>
        <w:tc>
          <w:tcPr>
            <w:tcW w:w="168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798.5</w:t>
            </w:r>
          </w:p>
        </w:tc>
        <w:tc>
          <w:tcPr>
            <w:tcW w:w="13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16.9 %</w:t>
            </w:r>
          </w:p>
        </w:tc>
      </w:tr>
      <w:tr>
        <w:trPr>
          <w:trHeight w:val="216"/>
        </w:trPr>
        <w:tc>
          <w:tcPr>
            <w:tcW w:w="292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25.3</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(7.0)</w:t>
            </w:r>
          </w:p>
        </w:tc>
        <w:tc>
          <w:tcPr>
            <w:tcW w:w="138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70"/>
        </w:trPr>
        <w:tc>
          <w:tcPr>
            <w:tcW w:w="2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85"/>
        </w:trPr>
        <w:tc>
          <w:tcPr>
            <w:tcW w:w="2920" w:type="dxa"/>
            <w:vAlign w:val="bottom"/>
          </w:tcPr>
          <w:p>
            <w:pPr>
              <w:ind w:left="20"/>
              <w:spacing w:after="0"/>
              <w:rPr>
                <w:sz w:val="20"/>
                <w:szCs w:val="20"/>
                <w:color w:val="auto"/>
              </w:rPr>
            </w:pPr>
            <w:r>
              <w:rPr>
                <w:rFonts w:ascii="Arial" w:cs="Arial" w:eastAsia="Arial" w:hAnsi="Arial"/>
                <w:sz w:val="16"/>
                <w:szCs w:val="16"/>
                <w:color w:val="auto"/>
              </w:rPr>
              <w:t>ASP</w:t>
            </w:r>
            <w:r>
              <w:rPr>
                <w:rFonts w:ascii="Arial" w:cs="Arial" w:eastAsia="Arial" w:hAnsi="Arial"/>
                <w:sz w:val="21"/>
                <w:szCs w:val="21"/>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216,779</w:t>
            </w:r>
          </w:p>
        </w:tc>
        <w:tc>
          <w:tcPr>
            <w:tcW w:w="1680" w:type="dxa"/>
            <w:vAlign w:val="bottom"/>
            <w:gridSpan w:val="4"/>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204,588</w:t>
            </w:r>
          </w:p>
        </w:tc>
        <w:tc>
          <w:tcPr>
            <w:tcW w:w="138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12,191</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6.0 %</w:t>
            </w:r>
          </w:p>
        </w:tc>
      </w:tr>
      <w:tr>
        <w:trPr>
          <w:trHeight w:val="309"/>
        </w:trPr>
        <w:tc>
          <w:tcPr>
            <w:tcW w:w="29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6"/>
                <w:szCs w:val="16"/>
                <w:b w:val="1"/>
                <w:bCs w:val="1"/>
                <w:color w:val="auto"/>
              </w:rPr>
              <w:t>Nine Months Ended</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10"/>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Unit deliveries</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May 30, 2026</w:t>
            </w:r>
          </w:p>
        </w:tc>
        <w:tc>
          <w:tcPr>
            <w:tcW w:w="80" w:type="dxa"/>
            <w:vAlign w:val="bottom"/>
          </w:tcPr>
          <w:p>
            <w:pPr>
              <w:spacing w:after="0"/>
              <w:rPr>
                <w:sz w:val="18"/>
                <w:szCs w:val="18"/>
                <w:color w:val="auto"/>
              </w:rPr>
            </w:pPr>
          </w:p>
        </w:tc>
        <w:tc>
          <w:tcPr>
            <w:tcW w:w="1380" w:type="dxa"/>
            <w:vAlign w:val="bottom"/>
            <w:tcBorders>
              <w:bottom w:val="single" w:sz="8" w:color="auto"/>
            </w:tcBorders>
          </w:tcPr>
          <w:p>
            <w:pPr>
              <w:jc w:val="right"/>
              <w:ind w:right="79"/>
              <w:spacing w:after="0" w:line="210" w:lineRule="exact"/>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8"/>
              </w:rPr>
              <w:t>May 31, 2025</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ind w:right="79"/>
              <w:spacing w:after="0" w:line="210" w:lineRule="exact"/>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(3)</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Unit Change</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0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16.2 %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808</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(12.7)%</w:t>
            </w:r>
          </w:p>
        </w:tc>
      </w:tr>
      <w:tr>
        <w:trPr>
          <w:trHeight w:val="216"/>
        </w:trPr>
        <w:tc>
          <w:tcPr>
            <w:tcW w:w="2920" w:type="dxa"/>
            <w:vAlign w:val="bottom"/>
          </w:tcPr>
          <w:p>
            <w:pPr>
              <w:ind w:left="20"/>
              <w:spacing w:after="0"/>
              <w:rPr>
                <w:sz w:val="20"/>
                <w:szCs w:val="20"/>
                <w:color w:val="auto"/>
              </w:rPr>
            </w:pPr>
            <w:r>
              <w:rPr>
                <w:rFonts w:ascii="Arial" w:cs="Arial" w:eastAsia="Arial" w:hAnsi="Arial"/>
                <w:sz w:val="16"/>
                <w:szCs w:val="16"/>
                <w:color w:val="auto"/>
              </w:rPr>
              <w:t>Class B</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1,416</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32.5 %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1,158</w:t>
            </w:r>
          </w:p>
        </w:tc>
        <w:tc>
          <w:tcPr>
            <w:tcW w:w="1380" w:type="dxa"/>
            <w:vAlign w:val="bottom"/>
          </w:tcPr>
          <w:p>
            <w:pPr>
              <w:jc w:val="right"/>
              <w:spacing w:after="0"/>
              <w:rPr>
                <w:sz w:val="20"/>
                <w:szCs w:val="20"/>
                <w:color w:val="auto"/>
              </w:rPr>
            </w:pPr>
            <w:r>
              <w:rPr>
                <w:rFonts w:ascii="Arial" w:cs="Arial" w:eastAsia="Arial" w:hAnsi="Arial"/>
                <w:sz w:val="16"/>
                <w:szCs w:val="16"/>
                <w:color w:val="auto"/>
              </w:rPr>
              <w:t>29.0 %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258</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22.3 %</w:t>
            </w:r>
          </w:p>
        </w:tc>
      </w:tr>
      <w:tr>
        <w:trPr>
          <w:trHeight w:val="216"/>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2,234</w:t>
            </w:r>
          </w:p>
        </w:tc>
        <w:tc>
          <w:tcPr>
            <w:tcW w:w="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51.3 %</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2,031</w:t>
            </w: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50.8 %</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10"/>
        </w:trPr>
        <w:tc>
          <w:tcPr>
            <w:tcW w:w="2920" w:type="dxa"/>
            <w:vAlign w:val="bottom"/>
          </w:tcPr>
          <w:p>
            <w:pPr>
              <w:ind w:left="140"/>
              <w:spacing w:after="0"/>
              <w:rPr>
                <w:sz w:val="20"/>
                <w:szCs w:val="20"/>
                <w:color w:val="auto"/>
              </w:rPr>
            </w:pPr>
            <w:r>
              <w:rPr>
                <w:rFonts w:ascii="Arial" w:cs="Arial" w:eastAsia="Arial" w:hAnsi="Arial"/>
                <w:sz w:val="16"/>
                <w:szCs w:val="16"/>
                <w:color w:val="auto"/>
              </w:rPr>
              <w:t>Total Motorhome RV</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4,355</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3,997</w:t>
            </w:r>
          </w:p>
        </w:tc>
        <w:tc>
          <w:tcPr>
            <w:tcW w:w="1380" w:type="dxa"/>
            <w:vAlign w:val="bottom"/>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358</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9.0 %</w:t>
            </w:r>
          </w:p>
        </w:tc>
      </w:tr>
      <w:tr>
        <w:trPr>
          <w:trHeight w:val="20"/>
        </w:trPr>
        <w:tc>
          <w:tcPr>
            <w:tcW w:w="2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345"/>
        </w:trPr>
        <w:tc>
          <w:tcPr>
            <w:tcW w:w="2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May 30, 2026</w:t>
            </w: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8"/>
              </w:rPr>
              <w:t>May 31, 2025</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 Change</w:t>
            </w:r>
            <w:r>
              <w:rPr>
                <w:rFonts w:ascii="Arial" w:cs="Arial" w:eastAsia="Arial" w:hAnsi="Arial"/>
                <w:sz w:val="21"/>
                <w:szCs w:val="21"/>
                <w:b w:val="1"/>
                <w:bCs w:val="1"/>
                <w:color w:val="auto"/>
                <w:w w:val="95"/>
                <w:vertAlign w:val="superscript"/>
              </w:rPr>
              <w:t>(1)</w:t>
            </w:r>
          </w:p>
        </w:tc>
      </w:tr>
      <w:tr>
        <w:trPr>
          <w:trHeight w:val="209"/>
        </w:trPr>
        <w:tc>
          <w:tcPr>
            <w:tcW w:w="292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b w:val="1"/>
                <w:bCs w:val="1"/>
                <w:color w:val="auto"/>
              </w:rPr>
              <w:t>Dealer Inventory</w:t>
            </w:r>
            <w:r>
              <w:rPr>
                <w:rFonts w:ascii="Arial" w:cs="Arial" w:eastAsia="Arial" w:hAnsi="Arial"/>
                <w:sz w:val="21"/>
                <w:szCs w:val="21"/>
                <w:b w:val="1"/>
                <w:bCs w:val="1"/>
                <w:color w:val="auto"/>
                <w:vertAlign w:val="superscript"/>
              </w:rPr>
              <w:t>(4)</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9"/>
        </w:trPr>
        <w:tc>
          <w:tcPr>
            <w:tcW w:w="2920" w:type="dxa"/>
            <w:vAlign w:val="bottom"/>
          </w:tcPr>
          <w:p>
            <w:pPr>
              <w:ind w:left="120"/>
              <w:spacing w:after="0"/>
              <w:rPr>
                <w:sz w:val="20"/>
                <w:szCs w:val="20"/>
                <w:color w:val="auto"/>
              </w:rPr>
            </w:pPr>
            <w:r>
              <w:rPr>
                <w:rFonts w:ascii="Arial" w:cs="Arial" w:eastAsia="Arial" w:hAnsi="Arial"/>
                <w:sz w:val="16"/>
                <w:szCs w:val="16"/>
                <w:color w:val="auto"/>
              </w:rPr>
              <w:t>Units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3,468</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3,614</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(146)</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(4.0)%</w:t>
            </w:r>
          </w:p>
        </w:tc>
      </w:tr>
    </w:tbl>
    <w:p>
      <w:pPr>
        <w:spacing w:after="0" w:line="31" w:lineRule="exact"/>
        <w:rPr>
          <w:sz w:val="20"/>
          <w:szCs w:val="20"/>
          <w:color w:val="auto"/>
        </w:rPr>
      </w:pPr>
    </w:p>
    <w:p>
      <w:pPr>
        <w:ind w:left="287" w:hanging="287"/>
        <w:spacing w:after="0"/>
        <w:tabs>
          <w:tab w:leader="none" w:pos="287" w:val="left"/>
        </w:tabs>
        <w:numPr>
          <w:ilvl w:val="0"/>
          <w:numId w:val="16"/>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ind w:left="287" w:hanging="287"/>
        <w:spacing w:after="0" w:line="187" w:lineRule="auto"/>
        <w:tabs>
          <w:tab w:leader="none" w:pos="287" w:val="left"/>
        </w:tabs>
        <w:numPr>
          <w:ilvl w:val="0"/>
          <w:numId w:val="16"/>
        </w:numPr>
        <w:rPr>
          <w:rFonts w:ascii="Arial" w:cs="Arial" w:eastAsia="Arial" w:hAnsi="Arial"/>
          <w:sz w:val="18"/>
          <w:szCs w:val="18"/>
          <w:color w:val="auto"/>
          <w:vertAlign w:val="superscript"/>
        </w:rPr>
      </w:pPr>
      <w:r>
        <w:rPr>
          <w:rFonts w:ascii="Arial" w:cs="Arial" w:eastAsia="Arial" w:hAnsi="Arial"/>
          <w:sz w:val="12"/>
          <w:szCs w:val="12"/>
          <w:color w:val="auto"/>
        </w:rPr>
        <w:t>ASP excludes off-invoice dealer incentives.</w:t>
      </w:r>
    </w:p>
    <w:p>
      <w:pPr>
        <w:ind w:left="287" w:hanging="287"/>
        <w:spacing w:after="0" w:line="183" w:lineRule="auto"/>
        <w:tabs>
          <w:tab w:leader="none" w:pos="287" w:val="left"/>
        </w:tabs>
        <w:numPr>
          <w:ilvl w:val="0"/>
          <w:numId w:val="16"/>
        </w:numPr>
        <w:rPr>
          <w:rFonts w:ascii="Arial" w:cs="Arial" w:eastAsia="Arial" w:hAnsi="Arial"/>
          <w:sz w:val="20"/>
          <w:szCs w:val="20"/>
          <w:color w:val="auto"/>
          <w:vertAlign w:val="superscript"/>
        </w:rPr>
      </w:pPr>
      <w:r>
        <w:rPr>
          <w:rFonts w:ascii="Arial" w:cs="Arial" w:eastAsia="Arial" w:hAnsi="Arial"/>
          <w:sz w:val="14"/>
          <w:szCs w:val="14"/>
          <w:color w:val="auto"/>
        </w:rPr>
        <w:t>Percentages may not add due to rounding differences.</w:t>
      </w:r>
    </w:p>
    <w:p>
      <w:pPr>
        <w:ind w:left="287" w:hanging="287"/>
        <w:spacing w:after="0" w:line="183" w:lineRule="auto"/>
        <w:tabs>
          <w:tab w:leader="none" w:pos="287" w:val="left"/>
        </w:tabs>
        <w:numPr>
          <w:ilvl w:val="0"/>
          <w:numId w:val="16"/>
        </w:numPr>
        <w:rPr>
          <w:rFonts w:ascii="Arial" w:cs="Arial" w:eastAsia="Arial" w:hAnsi="Arial"/>
          <w:sz w:val="20"/>
          <w:szCs w:val="20"/>
          <w:color w:val="auto"/>
          <w:vertAlign w:val="superscript"/>
        </w:rPr>
      </w:pPr>
      <w:r>
        <w:rPr>
          <w:rFonts w:ascii="Arial" w:cs="Arial" w:eastAsia="Arial" w:hAnsi="Arial"/>
          <w:sz w:val="14"/>
          <w:szCs w:val="14"/>
          <w:color w:val="auto"/>
        </w:rPr>
        <w:t>Data is based on the latest information available from our dealer partners and is subject to timing of reporting and other limitations.</w:t>
      </w:r>
    </w:p>
    <w:p>
      <w:pPr>
        <w:ind w:left="7"/>
        <w:spacing w:after="0" w:line="227" w:lineRule="auto"/>
        <w:tabs>
          <w:tab w:leader="none" w:pos="287" w:val="left"/>
        </w:tabs>
        <w:rPr>
          <w:sz w:val="20"/>
          <w:szCs w:val="20"/>
          <w:color w:val="auto"/>
        </w:rPr>
      </w:pPr>
      <w:r>
        <w:rPr>
          <w:rFonts w:ascii="Arial" w:cs="Arial" w:eastAsia="Arial" w:hAnsi="Arial"/>
          <w:sz w:val="21"/>
          <w:szCs w:val="21"/>
          <w:color w:val="auto"/>
          <w:vertAlign w:val="superscript"/>
        </w:rPr>
        <w:t>NM:</w:t>
      </w:r>
      <w:r>
        <w:rPr>
          <w:sz w:val="20"/>
          <w:szCs w:val="20"/>
          <w:color w:val="auto"/>
        </w:rPr>
        <w:tab/>
      </w:r>
      <w:r>
        <w:rPr>
          <w:rFonts w:ascii="Arial" w:cs="Arial" w:eastAsia="Arial" w:hAnsi="Arial"/>
          <w:sz w:val="14"/>
          <w:szCs w:val="14"/>
          <w:color w:val="auto"/>
        </w:rPr>
        <w:t>Not meaningful.</w:t>
      </w:r>
    </w:p>
    <w:p>
      <w:pPr>
        <w:spacing w:after="0" w:line="208" w:lineRule="exact"/>
        <w:rPr>
          <w:sz w:val="20"/>
          <w:szCs w:val="20"/>
          <w:color w:val="auto"/>
        </w:rPr>
      </w:pPr>
    </w:p>
    <w:p>
      <w:pPr>
        <w:ind w:left="7"/>
        <w:spacing w:after="0"/>
        <w:rPr>
          <w:sz w:val="20"/>
          <w:szCs w:val="20"/>
          <w:color w:val="auto"/>
        </w:rPr>
      </w:pPr>
      <w:r>
        <w:rPr>
          <w:rFonts w:ascii="Arial" w:cs="Arial" w:eastAsia="Arial" w:hAnsi="Arial"/>
          <w:sz w:val="16"/>
          <w:szCs w:val="16"/>
          <w:color w:val="auto"/>
        </w:rPr>
        <w:t>Net revenues increased primarily due to higher unit volume, selective price adjustments and product mix.</w:t>
      </w:r>
    </w:p>
    <w:p>
      <w:pPr>
        <w:spacing w:after="0" w:line="248" w:lineRule="exact"/>
        <w:rPr>
          <w:sz w:val="20"/>
          <w:szCs w:val="20"/>
          <w:color w:val="auto"/>
        </w:rPr>
      </w:pPr>
    </w:p>
    <w:p>
      <w:pPr>
        <w:ind w:left="7"/>
        <w:spacing w:after="0"/>
        <w:rPr>
          <w:sz w:val="20"/>
          <w:szCs w:val="20"/>
          <w:color w:val="auto"/>
        </w:rPr>
      </w:pPr>
      <w:r>
        <w:rPr>
          <w:rFonts w:ascii="Arial" w:cs="Arial" w:eastAsia="Arial" w:hAnsi="Arial"/>
          <w:sz w:val="16"/>
          <w:szCs w:val="16"/>
          <w:color w:val="auto"/>
        </w:rPr>
        <w:t>Operating income margin increased primarily due to selective price adjustments and volume leverage, partially offset by higher input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86"/>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79375</wp:posOffset>
            </wp:positionV>
            <wp:extent cx="71831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187"/>
          </w:cols>
          <w:pgMar w:left="333" w:top="116" w:right="398" w:bottom="1440" w:gutter="0" w:footer="0" w:header="0"/>
        </w:sectPr>
      </w:pPr>
    </w:p>
    <w:bookmarkStart w:id="29" w:name="page30"/>
    <w:bookmarkEnd w:id="29"/>
    <w:p>
      <w:pPr>
        <w:ind w:left="7"/>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Marine</w:t>
      </w:r>
    </w:p>
    <w:p>
      <w:pPr>
        <w:spacing w:after="0" w:line="111" w:lineRule="exact"/>
        <w:rPr>
          <w:sz w:val="20"/>
          <w:szCs w:val="20"/>
          <w:color w:val="auto"/>
        </w:rPr>
      </w:pPr>
    </w:p>
    <w:p>
      <w:pPr>
        <w:ind w:left="7" w:right="300"/>
        <w:spacing w:after="0" w:line="280" w:lineRule="auto"/>
        <w:rPr>
          <w:sz w:val="20"/>
          <w:szCs w:val="20"/>
          <w:color w:val="auto"/>
        </w:rPr>
      </w:pPr>
      <w:r>
        <w:rPr>
          <w:rFonts w:ascii="Arial" w:cs="Arial" w:eastAsia="Arial" w:hAnsi="Arial"/>
          <w:sz w:val="16"/>
          <w:szCs w:val="16"/>
          <w:color w:val="auto"/>
        </w:rPr>
        <w:t>The following is an analysis of key changes in our Marine segment for the nine months ended May 30, 2026 compared to the nine months ended May 31, 2025:</w:t>
      </w:r>
    </w:p>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223"/>
        </w:trPr>
        <w:tc>
          <w:tcPr>
            <w:tcW w:w="29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ind w:left="480"/>
              <w:spacing w:after="0"/>
              <w:rPr>
                <w:sz w:val="20"/>
                <w:szCs w:val="20"/>
                <w:color w:val="auto"/>
              </w:rPr>
            </w:pPr>
            <w:r>
              <w:rPr>
                <w:rFonts w:ascii="Arial" w:cs="Arial" w:eastAsia="Arial" w:hAnsi="Arial"/>
                <w:sz w:val="16"/>
                <w:szCs w:val="16"/>
                <w:b w:val="1"/>
                <w:bCs w:val="1"/>
                <w:color w:val="auto"/>
              </w:rPr>
              <w:t>Nine Months Ended</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r>
      <w:tr>
        <w:trPr>
          <w:trHeight w:val="209"/>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ASP and units)</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May 30, 2026</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6"/>
                <w:szCs w:val="16"/>
                <w:b w:val="1"/>
                <w:bCs w:val="1"/>
                <w:color w:val="auto"/>
                <w:w w:val="99"/>
              </w:rPr>
              <w:t>% of Revenues</w:t>
            </w:r>
            <w:r>
              <w:rPr>
                <w:rFonts w:ascii="Arial" w:cs="Arial" w:eastAsia="Arial" w:hAnsi="Arial"/>
                <w:sz w:val="21"/>
                <w:szCs w:val="21"/>
                <w:b w:val="1"/>
                <w:bCs w:val="1"/>
                <w:color w:val="auto"/>
                <w:w w:val="99"/>
                <w:vertAlign w:val="superscript"/>
              </w:rPr>
              <w:t>(1)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8"/>
              </w:rPr>
              <w:t>May 31, 2025</w:t>
            </w:r>
          </w:p>
        </w:tc>
        <w:tc>
          <w:tcPr>
            <w:tcW w:w="80" w:type="dxa"/>
            <w:vAlign w:val="bottom"/>
          </w:tcPr>
          <w:p>
            <w:pPr>
              <w:spacing w:after="0"/>
              <w:rPr>
                <w:sz w:val="18"/>
                <w:szCs w:val="18"/>
                <w:color w:val="auto"/>
              </w:rPr>
            </w:pPr>
          </w:p>
        </w:tc>
        <w:tc>
          <w:tcPr>
            <w:tcW w:w="1400" w:type="dxa"/>
            <w:vAlign w:val="bottom"/>
            <w:tcBorders>
              <w:bottom w:val="single" w:sz="8" w:color="auto"/>
            </w:tcBorders>
            <w:gridSpan w:val="2"/>
          </w:tcPr>
          <w:p>
            <w:pPr>
              <w:jc w:val="right"/>
              <w:spacing w:after="0" w:line="210"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9"/>
              <w:spacing w:after="0" w:line="210" w:lineRule="exact"/>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center"/>
              <w:spacing w:after="0" w:line="210" w:lineRule="exact"/>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r>
      <w:tr>
        <w:trPr>
          <w:trHeight w:val="210"/>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264.1</w:t>
            </w:r>
          </w:p>
        </w:tc>
        <w:tc>
          <w:tcPr>
            <w:tcW w:w="170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272.9</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16"/>
        </w:trPr>
        <w:tc>
          <w:tcPr>
            <w:tcW w:w="292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14.3</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5.4 %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21.0</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7.7 %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(6.6)</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(31.6)%</w:t>
            </w:r>
          </w:p>
        </w:tc>
      </w:tr>
      <w:tr>
        <w:trPr>
          <w:trHeight w:val="270"/>
        </w:trPr>
        <w:tc>
          <w:tcPr>
            <w:tcW w:w="2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85"/>
        </w:trPr>
        <w:tc>
          <w:tcPr>
            <w:tcW w:w="2920" w:type="dxa"/>
            <w:vAlign w:val="bottom"/>
          </w:tcPr>
          <w:p>
            <w:pPr>
              <w:ind w:left="20"/>
              <w:spacing w:after="0"/>
              <w:rPr>
                <w:sz w:val="20"/>
                <w:szCs w:val="20"/>
                <w:color w:val="auto"/>
              </w:rPr>
            </w:pPr>
            <w:r>
              <w:rPr>
                <w:rFonts w:ascii="Arial" w:cs="Arial" w:eastAsia="Arial" w:hAnsi="Arial"/>
                <w:sz w:val="16"/>
                <w:szCs w:val="16"/>
                <w:color w:val="auto"/>
              </w:rPr>
              <w:t>ASP</w:t>
            </w:r>
            <w:r>
              <w:rPr>
                <w:rFonts w:ascii="Arial" w:cs="Arial" w:eastAsia="Arial" w:hAnsi="Arial"/>
                <w:sz w:val="21"/>
                <w:szCs w:val="21"/>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82,315</w:t>
            </w:r>
          </w:p>
        </w:tc>
        <w:tc>
          <w:tcPr>
            <w:tcW w:w="1700" w:type="dxa"/>
            <w:vAlign w:val="bottom"/>
            <w:gridSpan w:val="4"/>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79,846</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2,469</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3.1 %</w:t>
            </w:r>
          </w:p>
        </w:tc>
      </w:tr>
      <w:tr>
        <w:trPr>
          <w:trHeight w:val="309"/>
        </w:trPr>
        <w:tc>
          <w:tcPr>
            <w:tcW w:w="29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ind w:left="480"/>
              <w:spacing w:after="0"/>
              <w:rPr>
                <w:sz w:val="20"/>
                <w:szCs w:val="20"/>
                <w:color w:val="auto"/>
              </w:rPr>
            </w:pPr>
            <w:r>
              <w:rPr>
                <w:rFonts w:ascii="Arial" w:cs="Arial" w:eastAsia="Arial" w:hAnsi="Arial"/>
                <w:sz w:val="16"/>
                <w:szCs w:val="16"/>
                <w:b w:val="1"/>
                <w:bCs w:val="1"/>
                <w:color w:val="auto"/>
              </w:rPr>
              <w:t>Nine Months Ended</w:t>
            </w: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209"/>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Unit deliveries</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May 30, 2026</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8"/>
              </w:rPr>
              <w:t>May 31, 2025</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Unit Change</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Boats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3,471</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325"/>
        </w:trPr>
        <w:tc>
          <w:tcPr>
            <w:tcW w:w="2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May 30, 2026</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8"/>
              </w:rPr>
              <w:t>May 31, 2025</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0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r>
      <w:tr>
        <w:trPr>
          <w:trHeight w:val="209"/>
        </w:trPr>
        <w:tc>
          <w:tcPr>
            <w:tcW w:w="292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b w:val="1"/>
                <w:bCs w:val="1"/>
                <w:color w:val="auto"/>
              </w:rPr>
              <w:t>Dealer Inventory</w:t>
            </w:r>
            <w:r>
              <w:rPr>
                <w:rFonts w:ascii="Arial" w:cs="Arial" w:eastAsia="Arial" w:hAnsi="Arial"/>
                <w:sz w:val="21"/>
                <w:szCs w:val="21"/>
                <w:b w:val="1"/>
                <w:bCs w:val="1"/>
                <w:color w:val="auto"/>
                <w:vertAlign w:val="superscript"/>
              </w:rPr>
              <w:t>(3,4)</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9"/>
        </w:trPr>
        <w:tc>
          <w:tcPr>
            <w:tcW w:w="2920" w:type="dxa"/>
            <w:vAlign w:val="bottom"/>
          </w:tcPr>
          <w:p>
            <w:pPr>
              <w:ind w:left="120"/>
              <w:spacing w:after="0"/>
              <w:rPr>
                <w:sz w:val="20"/>
                <w:szCs w:val="20"/>
                <w:color w:val="auto"/>
              </w:rPr>
            </w:pPr>
            <w:r>
              <w:rPr>
                <w:rFonts w:ascii="Arial" w:cs="Arial" w:eastAsia="Arial" w:hAnsi="Arial"/>
                <w:sz w:val="16"/>
                <w:szCs w:val="16"/>
                <w:color w:val="auto"/>
              </w:rPr>
              <w:t>Units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3,175</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3,069</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106</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3.5 %</w:t>
            </w:r>
          </w:p>
        </w:tc>
      </w:tr>
    </w:tbl>
    <w:p>
      <w:pPr>
        <w:spacing w:after="0" w:line="31" w:lineRule="exact"/>
        <w:rPr>
          <w:sz w:val="20"/>
          <w:szCs w:val="20"/>
          <w:color w:val="auto"/>
        </w:rPr>
      </w:pPr>
    </w:p>
    <w:p>
      <w:pPr>
        <w:ind w:left="287" w:hanging="287"/>
        <w:spacing w:after="0"/>
        <w:tabs>
          <w:tab w:leader="none" w:pos="287" w:val="left"/>
        </w:tabs>
        <w:numPr>
          <w:ilvl w:val="0"/>
          <w:numId w:val="17"/>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ind w:left="287" w:hanging="287"/>
        <w:spacing w:after="0" w:line="187" w:lineRule="auto"/>
        <w:tabs>
          <w:tab w:leader="none" w:pos="287" w:val="left"/>
        </w:tabs>
        <w:numPr>
          <w:ilvl w:val="0"/>
          <w:numId w:val="17"/>
        </w:numPr>
        <w:rPr>
          <w:rFonts w:ascii="Arial" w:cs="Arial" w:eastAsia="Arial" w:hAnsi="Arial"/>
          <w:sz w:val="18"/>
          <w:szCs w:val="18"/>
          <w:color w:val="auto"/>
          <w:vertAlign w:val="superscript"/>
        </w:rPr>
      </w:pPr>
      <w:r>
        <w:rPr>
          <w:rFonts w:ascii="Arial" w:cs="Arial" w:eastAsia="Arial" w:hAnsi="Arial"/>
          <w:sz w:val="12"/>
          <w:szCs w:val="12"/>
          <w:color w:val="auto"/>
        </w:rPr>
        <w:t>ASP excludes off-invoice dealer incentives.</w:t>
      </w:r>
    </w:p>
    <w:p>
      <w:pPr>
        <w:ind w:left="287" w:hanging="287"/>
        <w:spacing w:after="0" w:line="183" w:lineRule="auto"/>
        <w:tabs>
          <w:tab w:leader="none" w:pos="287" w:val="left"/>
        </w:tabs>
        <w:numPr>
          <w:ilvl w:val="0"/>
          <w:numId w:val="17"/>
        </w:numPr>
        <w:rPr>
          <w:rFonts w:ascii="Arial" w:cs="Arial" w:eastAsia="Arial" w:hAnsi="Arial"/>
          <w:sz w:val="20"/>
          <w:szCs w:val="20"/>
          <w:color w:val="auto"/>
          <w:vertAlign w:val="superscript"/>
        </w:rPr>
      </w:pPr>
      <w:r>
        <w:rPr>
          <w:rFonts w:ascii="Arial" w:cs="Arial" w:eastAsia="Arial" w:hAnsi="Arial"/>
          <w:sz w:val="14"/>
          <w:szCs w:val="14"/>
          <w:color w:val="auto"/>
        </w:rPr>
        <w:t>Due to the nature of the Marine industry, this amount includes a higher proportion of retail sold units than our other segments.</w:t>
      </w:r>
    </w:p>
    <w:p>
      <w:pPr>
        <w:ind w:left="287" w:hanging="287"/>
        <w:spacing w:after="0" w:line="183" w:lineRule="auto"/>
        <w:tabs>
          <w:tab w:leader="none" w:pos="287" w:val="left"/>
        </w:tabs>
        <w:numPr>
          <w:ilvl w:val="0"/>
          <w:numId w:val="17"/>
        </w:numPr>
        <w:rPr>
          <w:rFonts w:ascii="Arial" w:cs="Arial" w:eastAsia="Arial" w:hAnsi="Arial"/>
          <w:sz w:val="20"/>
          <w:szCs w:val="20"/>
          <w:color w:val="auto"/>
          <w:vertAlign w:val="superscript"/>
        </w:rPr>
      </w:pPr>
      <w:r>
        <w:rPr>
          <w:rFonts w:ascii="Arial" w:cs="Arial" w:eastAsia="Arial" w:hAnsi="Arial"/>
          <w:sz w:val="14"/>
          <w:szCs w:val="14"/>
          <w:color w:val="auto"/>
        </w:rPr>
        <w:t>Data is based on the latest information available from our dealer partners and is subject to timing of reporting and other limitations.</w:t>
      </w:r>
    </w:p>
    <w:p>
      <w:pPr>
        <w:spacing w:after="0" w:line="220" w:lineRule="exact"/>
        <w:rPr>
          <w:sz w:val="20"/>
          <w:szCs w:val="20"/>
          <w:color w:val="auto"/>
        </w:rPr>
      </w:pPr>
    </w:p>
    <w:p>
      <w:pPr>
        <w:ind w:left="7" w:right="500"/>
        <w:spacing w:after="0" w:line="291" w:lineRule="auto"/>
        <w:rPr>
          <w:sz w:val="20"/>
          <w:szCs w:val="20"/>
          <w:color w:val="auto"/>
        </w:rPr>
      </w:pPr>
      <w:r>
        <w:rPr>
          <w:rFonts w:ascii="Arial" w:cs="Arial" w:eastAsia="Arial" w:hAnsi="Arial"/>
          <w:sz w:val="16"/>
          <w:szCs w:val="16"/>
          <w:color w:val="auto"/>
        </w:rPr>
        <w:t>Net revenues decreased primarily due to lower unit volume and a shift in product mix toward lower price-point models, partially offset by selective price adjustments.</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color w:val="auto"/>
        </w:rPr>
        <w:t>Operating income margin decreased primarily due to higher input costs and deleverage, partially offset by selective price adjustments.</w:t>
      </w:r>
    </w:p>
    <w:p>
      <w:pPr>
        <w:spacing w:after="0" w:line="246" w:lineRule="exact"/>
        <w:rPr>
          <w:sz w:val="20"/>
          <w:szCs w:val="20"/>
          <w:color w:val="auto"/>
        </w:rPr>
      </w:pPr>
    </w:p>
    <w:tbl>
      <w:tblPr>
        <w:tblLayout w:type="fixed"/>
        <w:tblInd w:w="7" w:type="dxa"/>
        <w:tblCellMar>
          <w:top w:w="0" w:type="dxa"/>
          <w:left w:w="0" w:type="dxa"/>
          <w:bottom w:w="0" w:type="dxa"/>
          <w:right w:w="0" w:type="dxa"/>
        </w:tblCellMar>
      </w:tblPr>
      <w:tr>
        <w:trPr>
          <w:trHeight w:val="229"/>
        </w:trPr>
        <w:tc>
          <w:tcPr>
            <w:tcW w:w="7400" w:type="dxa"/>
            <w:vAlign w:val="bottom"/>
          </w:tcPr>
          <w:p>
            <w:pPr>
              <w:spacing w:after="0"/>
              <w:rPr>
                <w:sz w:val="20"/>
                <w:szCs w:val="20"/>
                <w:color w:val="auto"/>
              </w:rPr>
            </w:pPr>
            <w:r>
              <w:rPr>
                <w:rFonts w:ascii="Arial" w:cs="Arial" w:eastAsia="Arial" w:hAnsi="Arial"/>
                <w:sz w:val="16"/>
                <w:szCs w:val="16"/>
                <w:b w:val="1"/>
                <w:bCs w:val="1"/>
                <w:color w:val="auto"/>
              </w:rPr>
              <w:t>Analysis of Financial Condition, Liquidity, and Capital Resources</w:t>
            </w: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65"/>
        </w:trPr>
        <w:tc>
          <w:tcPr>
            <w:tcW w:w="7400" w:type="dxa"/>
            <w:vAlign w:val="bottom"/>
          </w:tcPr>
          <w:p>
            <w:pPr>
              <w:spacing w:after="0"/>
              <w:rPr>
                <w:sz w:val="20"/>
                <w:szCs w:val="20"/>
                <w:color w:val="auto"/>
              </w:rPr>
            </w:pPr>
            <w:r>
              <w:rPr>
                <w:rFonts w:ascii="Arial" w:cs="Arial" w:eastAsia="Arial" w:hAnsi="Arial"/>
                <w:sz w:val="16"/>
                <w:szCs w:val="16"/>
                <w:b w:val="1"/>
                <w:bCs w:val="1"/>
                <w:i w:val="1"/>
                <w:iCs w:val="1"/>
                <w:color w:val="auto"/>
              </w:rPr>
              <w:t>Cash Flows</w:t>
            </w: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89"/>
        </w:trPr>
        <w:tc>
          <w:tcPr>
            <w:tcW w:w="7400" w:type="dxa"/>
            <w:vAlign w:val="bottom"/>
          </w:tcPr>
          <w:p>
            <w:pPr>
              <w:spacing w:after="0"/>
              <w:rPr>
                <w:sz w:val="20"/>
                <w:szCs w:val="20"/>
                <w:color w:val="auto"/>
              </w:rPr>
            </w:pPr>
            <w:r>
              <w:rPr>
                <w:rFonts w:ascii="Arial" w:cs="Arial" w:eastAsia="Arial" w:hAnsi="Arial"/>
                <w:sz w:val="16"/>
                <w:szCs w:val="16"/>
                <w:color w:val="auto"/>
              </w:rPr>
              <w:t>The following table summarizes our cash flows from operations:</w:t>
            </w: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45"/>
        </w:trPr>
        <w:tc>
          <w:tcPr>
            <w:tcW w:w="74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gridSpan w:val="4"/>
          </w:tcPr>
          <w:p>
            <w:pPr>
              <w:jc w:val="right"/>
              <w:ind w:right="109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May 30, 2026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May 31, 2025</w:t>
            </w:r>
          </w:p>
        </w:tc>
      </w:tr>
      <w:tr>
        <w:trPr>
          <w:trHeight w:val="20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cash provided by (used in):</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7400" w:type="dxa"/>
            <w:vAlign w:val="bottom"/>
          </w:tcPr>
          <w:p>
            <w:pPr>
              <w:ind w:left="140"/>
              <w:spacing w:after="0"/>
              <w:rPr>
                <w:sz w:val="20"/>
                <w:szCs w:val="20"/>
                <w:color w:val="auto"/>
              </w:rPr>
            </w:pPr>
            <w:r>
              <w:rPr>
                <w:rFonts w:ascii="Arial" w:cs="Arial" w:eastAsia="Arial" w:hAnsi="Arial"/>
                <w:sz w:val="16"/>
                <w:szCs w:val="16"/>
                <w:color w:val="auto"/>
              </w:rPr>
              <w:t>Operating activities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26.2</w:t>
            </w:r>
          </w:p>
        </w:tc>
        <w:tc>
          <w:tcPr>
            <w:tcW w:w="40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(52.5)</w:t>
            </w:r>
          </w:p>
        </w:tc>
      </w:tr>
      <w:tr>
        <w:trPr>
          <w:trHeight w:val="216"/>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Investing activities</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r>
      <w:tr>
        <w:trPr>
          <w:trHeight w:val="216"/>
        </w:trPr>
        <w:tc>
          <w:tcPr>
            <w:tcW w:w="7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Financing activities</w:t>
            </w: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(242.4)</w:t>
            </w:r>
          </w:p>
        </w:tc>
      </w:tr>
      <w:tr>
        <w:trPr>
          <w:trHeight w:val="234"/>
        </w:trPr>
        <w:tc>
          <w:tcPr>
            <w:tcW w:w="7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decrease in cash and cash equivalents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(116.9)</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(320.4)</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Operating Activities</w:t>
      </w:r>
    </w:p>
    <w:p>
      <w:pPr>
        <w:spacing w:after="0" w:line="125" w:lineRule="exact"/>
        <w:rPr>
          <w:sz w:val="20"/>
          <w:szCs w:val="20"/>
          <w:color w:val="auto"/>
        </w:rPr>
      </w:pPr>
    </w:p>
    <w:p>
      <w:pPr>
        <w:ind w:left="7" w:right="80"/>
        <w:spacing w:after="0" w:line="269" w:lineRule="auto"/>
        <w:rPr>
          <w:sz w:val="20"/>
          <w:szCs w:val="20"/>
          <w:color w:val="auto"/>
        </w:rPr>
      </w:pPr>
      <w:r>
        <w:rPr>
          <w:rFonts w:ascii="Arial" w:cs="Arial" w:eastAsia="Arial" w:hAnsi="Arial"/>
          <w:sz w:val="16"/>
          <w:szCs w:val="16"/>
          <w:color w:val="auto"/>
        </w:rPr>
        <w:t>During the nine months ended May 30, 2026, net cash provided by operating activities was $26.2 million compared to net cash used in operating activities of $52.5 million during the same period last year. The change in operating cash flow is primarily driven by higher profitability adjusted for non-cash items and favorable changes in net working capital.</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79375</wp:posOffset>
            </wp:positionV>
            <wp:extent cx="71831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16" w:right="318"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Cash used in investing activities decreased primarily due to lower capital expenditures compared to the prior year.</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11"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Cash used in financing activities decreased primarily due to the purchase of Senior Secured Notes pursuant to the 2025 tender offer and maturity of the 1.5% unsecured Convertible Senior Notes due 2025 in the prior year partially offset by the partial redemption of the Senior Secured Notes in the current year, and minimal share repurchase activity in the current year compared to higher share repurchases in the prior year. During the nine months ended May 30, 2026 and May 31, 2025, $100.0 million and $159.9 million of debt was repurchased in each period,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Debt and Capital</w:t>
      </w:r>
    </w:p>
    <w:p>
      <w:pPr>
        <w:spacing w:after="0" w:line="25"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We maintain a $350.0 million asset-based revolving credit facility ("ABL Credit Facility") with a maturity date of July 15, 2027, subject to certain factors which may accelerate the maturity date. As of May 30, 2026, we had no borrowings against the ABL Credit Facility.</w:t>
      </w:r>
    </w:p>
    <w:p>
      <w:pPr>
        <w:spacing w:after="0" w:line="181" w:lineRule="exact"/>
        <w:rPr>
          <w:sz w:val="20"/>
          <w:szCs w:val="20"/>
          <w:color w:val="auto"/>
        </w:rPr>
      </w:pPr>
    </w:p>
    <w:p>
      <w:pPr>
        <w:ind w:right="480"/>
        <w:spacing w:after="0" w:line="291" w:lineRule="auto"/>
        <w:rPr>
          <w:sz w:val="20"/>
          <w:szCs w:val="20"/>
          <w:color w:val="auto"/>
        </w:rPr>
      </w:pPr>
      <w:r>
        <w:rPr>
          <w:rFonts w:ascii="Arial" w:cs="Arial" w:eastAsia="Arial" w:hAnsi="Arial"/>
          <w:sz w:val="16"/>
          <w:szCs w:val="16"/>
          <w:color w:val="auto"/>
        </w:rPr>
        <w:t>As of May 30, 2026, we had $57.1 million in cash and cash equivalents and $350.0 million in unused ABL Credit Facility. Our cash and cash equivalent balances consist of high quality, short-term money market instruments.</w:t>
      </w:r>
    </w:p>
    <w:p>
      <w:pPr>
        <w:spacing w:after="0" w:line="18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On January 23, 2024, we issued $350.0 million in aggregate principal amount of 3.25% unsecured convertible senior notes due 2030 (the "2030 Convertible Notes").</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On July 8, 2020, we closed our private offering (the “Senior Secured Notes Offering”) of $300.0 million aggregate principal amount of 6.25% Senior Secured Notes due 2028 (the “Senior Secured Notes”). On February 3, 2025, we executed a tender offer to purchase for cash up to $75.0 million aggregate principal amount of the Senior Secured Notes (the "Tender Offer"). On February 18, 2025, we amended the Tender Offer by increasing the maximum aggregate principal amount of Senior Secured Notes to $100.0 million. On February 20, 2025, $100.0 million aggregate principal amount of the Senior Secured Notes were validly tendered and accepted. On February 20, 2026, we redeemed $100.0 million of the outstanding Senior Secured Notes at a redemption price of 100% of the principal amount, plus accrued and unpaid interest to, but not including, the redemption date, which brought the remaining principal amount outstanding to $100.0 million.</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As of May 30, 2026, we have no debt maturing in the next twelve months that is classified as current on our Consolidated Balance Sheets.</w:t>
      </w: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We believe cash flow from operations, existing lines of credit, and access to debt and capital markets will be sufficient to meet our current liquidity needs, and we have committed liquidity and cash reserves in excess of our anticipated funding requirements. We evaluate the financial stability of the counterparties for the 2030 Convertible Notes, the Senior Secured Notes, and the ABL Credit Facility, and will continue to monitor counterparty risk on an on-going basis.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Working Capital</w:t>
      </w:r>
    </w:p>
    <w:p>
      <w:pPr>
        <w:spacing w:after="0" w:line="127" w:lineRule="exact"/>
        <w:rPr>
          <w:sz w:val="20"/>
          <w:szCs w:val="20"/>
          <w:color w:val="auto"/>
        </w:rPr>
      </w:pPr>
    </w:p>
    <w:p>
      <w:pPr>
        <w:ind w:right="580"/>
        <w:spacing w:after="0" w:line="269" w:lineRule="auto"/>
        <w:rPr>
          <w:sz w:val="20"/>
          <w:szCs w:val="20"/>
          <w:color w:val="auto"/>
        </w:rPr>
      </w:pPr>
      <w:r>
        <w:rPr>
          <w:rFonts w:ascii="Arial" w:cs="Arial" w:eastAsia="Arial" w:hAnsi="Arial"/>
          <w:sz w:val="16"/>
          <w:szCs w:val="16"/>
          <w:color w:val="auto"/>
        </w:rPr>
        <w:t>Working capital at May 30, 2026 and August 30, 2025 was $411.6 million and $465.1 million, respectively. We currently expect cash on hand, funds generated from operations, and the borrowing available under our ABL Credit Facility to be sufficient to cover both short-term and long-term operating requirements.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Repurchases</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 repurchase our common stock and pay dividends pursuant to programs approved by our Board of Directors. Our long-term capital allocation strategy is to first fund operations and investments in growth, maintain a debt leverage ratio within our targeted zone, maintain reasonable liquidity, and then return excess cash over time to shareholders through dividends and share repurchases.</w:t>
      </w:r>
    </w:p>
    <w:p>
      <w:pPr>
        <w:spacing w:after="0" w:line="186"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On August 17, 2022, our Board of Directors authorized a new share repurchase program in the amount of $350.0 million with no time restriction on the authorization, which took effect immediately and replaced the prior program. In the nine months ended May 30, 2026, no shares were repurchased under this authorization. Approximately 57,000 shares at a cost of $1.7 million were repurchased to satisfy tax obligations on employee equity awards vested. We continually evaluate if share repurchases reflect a prudent use of our capital and, subject to compliance with our ABL Credit Facility and Senior Secured Notes, we may purchase shares in the future. As of May 30, 2026, we have $180.0 million remaining on our Board approved repurchase authorization.</w:t>
      </w:r>
    </w:p>
    <w:p>
      <w:pPr>
        <w:spacing w:after="0" w:line="195" w:lineRule="exact"/>
        <w:rPr>
          <w:sz w:val="20"/>
          <w:szCs w:val="20"/>
          <w:color w:val="auto"/>
        </w:rPr>
      </w:pPr>
    </w:p>
    <w:p>
      <w:pPr>
        <w:ind w:right="480"/>
        <w:spacing w:after="0" w:line="309" w:lineRule="auto"/>
        <w:rPr>
          <w:sz w:val="20"/>
          <w:szCs w:val="20"/>
          <w:color w:val="auto"/>
        </w:rPr>
      </w:pPr>
      <w:r>
        <w:rPr>
          <w:rFonts w:ascii="Arial" w:cs="Arial" w:eastAsia="Arial" w:hAnsi="Arial"/>
          <w:sz w:val="16"/>
          <w:szCs w:val="16"/>
          <w:color w:val="auto"/>
        </w:rPr>
        <w:t>On May 15, 2026, our Board of Directors approved a quarterly cash dividend of $0.35 per share payable on June 24, 2026, to common stockholders of record at the close of business on June 10,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70485</wp:posOffset>
            </wp:positionV>
            <wp:extent cx="71831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31" w:name="page32"/>
    <w:bookmarkEnd w:id="3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Commercial Commitments</w:t>
      </w:r>
    </w:p>
    <w:p>
      <w:pPr>
        <w:spacing w:after="0" w:line="115" w:lineRule="exact"/>
        <w:rPr>
          <w:sz w:val="20"/>
          <w:szCs w:val="20"/>
          <w:color w:val="auto"/>
        </w:rPr>
      </w:pPr>
    </w:p>
    <w:p>
      <w:pPr>
        <w:ind w:right="280"/>
        <w:spacing w:after="0" w:line="309" w:lineRule="auto"/>
        <w:rPr>
          <w:sz w:val="20"/>
          <w:szCs w:val="20"/>
          <w:color w:val="auto"/>
        </w:rPr>
      </w:pPr>
      <w:r>
        <w:rPr>
          <w:rFonts w:ascii="Arial" w:cs="Arial" w:eastAsia="Arial" w:hAnsi="Arial"/>
          <w:sz w:val="16"/>
          <w:szCs w:val="16"/>
          <w:color w:val="auto"/>
        </w:rPr>
        <w:t>There have been no material changes in our contractual obligations since the end of Fiscal 2025. See our Annual Report on Form 10-K for the fiscal year ended August 30, 2025 for additional information regarding our contractual obligations and commercial commitments.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w:t>
      </w:r>
    </w:p>
    <w:p>
      <w:pPr>
        <w:spacing w:after="0" w:line="129" w:lineRule="exact"/>
        <w:rPr>
          <w:sz w:val="20"/>
          <w:szCs w:val="20"/>
          <w:color w:val="auto"/>
        </w:rPr>
      </w:pPr>
    </w:p>
    <w:p>
      <w:pPr>
        <w:jc w:val="both"/>
        <w:ind w:right="60"/>
        <w:spacing w:after="0" w:line="267" w:lineRule="auto"/>
        <w:rPr>
          <w:sz w:val="20"/>
          <w:szCs w:val="20"/>
          <w:color w:val="auto"/>
        </w:rPr>
      </w:pPr>
      <w:r>
        <w:rPr>
          <w:rFonts w:ascii="Arial" w:cs="Arial" w:eastAsia="Arial" w:hAnsi="Arial"/>
          <w:sz w:val="16"/>
          <w:szCs w:val="16"/>
          <w:color w:val="auto"/>
        </w:rPr>
        <w:t>We describe our critical accounting policies in Note 1 in the Notes to Consolidated Financial Statements included in Item 8 of Part II of our Annual Report on Form 10-K for the fiscal year ended August 30, 2025. We discuss our critical accounting estimates in Item 7 of Part II of our Annual Report on Form 10-K for the fiscal year ended August 30, 2025. There have been no material changes to our critical accounting policies or critical accounting estimates since the end of Fiscal 2025.</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2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For a summary of new applicable accounting pronouncements, see Note 1 in the Notes to Consolidated Financial Statements included in Item 1 of Part I of this Quarterly Report on Form 10-Q.</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Safe Harbor Statement Under the Private Securities Litigation Reform Act</w:t>
      </w:r>
    </w:p>
    <w:p>
      <w:pPr>
        <w:spacing w:after="0" w:line="129"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Section 27A of the Securities Act of 1933, as amended (“Securities Act”), and Section 21E of the Securities Exchange Act of 1934, as amended (“Exchange Act”), provide a “safe harbor” for forward-looking statements to encourage companies to provide prospective information about their companies. With the exception of historical information, the matters discussed in this Quarterly Report on Form 10-Q are forward-looking statements and may be identified by the use of words such as "anticipate," "assume," "believe," "estimate," "expect," "guidance," "intend," "outlook," "plan," "project," and other words and terms of similar meaning. Such statements reflect our current views and estimates with respect to future market conditions, company performance and financial results, operational investments, business prospects, new strategies, the competitive environment, and other events. These statements are subject to certain risks and uncertainties that could cause actual results to differ materially from the potential results discussed in such forward-looking statements. Readers should review Item 1A of Part I of our Annual Report on Form 10-K for the fiscal year ended August 30, 2025, and Item 1A of Part II of this Quarterly Report on Form 10-Q, for a description of important factors that could cause our actual results to differ materially from those contemplated by the forward-looking statements made in this Quarterly Report on Form 10-Q. Among the factors that could cause actual results and outcomes to differ materially from those contained in such forward-looking statements are the following:</w:t>
      </w:r>
    </w:p>
    <w:p>
      <w:pPr>
        <w:spacing w:after="0" w:line="3" w:lineRule="exact"/>
        <w:rPr>
          <w:sz w:val="20"/>
          <w:szCs w:val="20"/>
          <w:color w:val="auto"/>
        </w:rPr>
      </w:pPr>
    </w:p>
    <w:p>
      <w:pPr>
        <w:ind w:left="640" w:hanging="323"/>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General economic uncertainty in key markets and a worsening of domestic and global economic conditions or low levels of economic growth.</w:t>
      </w:r>
    </w:p>
    <w:p>
      <w:pPr>
        <w:spacing w:after="0" w:line="14" w:lineRule="exact"/>
        <w:rPr>
          <w:rFonts w:ascii="Arial" w:cs="Arial" w:eastAsia="Arial" w:hAnsi="Arial"/>
          <w:sz w:val="16"/>
          <w:szCs w:val="16"/>
          <w:color w:val="auto"/>
        </w:rPr>
      </w:pPr>
    </w:p>
    <w:p>
      <w:pPr>
        <w:ind w:left="640" w:hanging="323"/>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Availability of financing for RV and marine dealers and retail purchasers.</w:t>
      </w:r>
    </w:p>
    <w:p>
      <w:pPr>
        <w:spacing w:after="0" w:line="8" w:lineRule="exact"/>
        <w:rPr>
          <w:rFonts w:ascii="Arial" w:cs="Arial" w:eastAsia="Arial" w:hAnsi="Arial"/>
          <w:sz w:val="16"/>
          <w:szCs w:val="16"/>
          <w:color w:val="auto"/>
        </w:rPr>
      </w:pPr>
    </w:p>
    <w:p>
      <w:pPr>
        <w:ind w:left="640" w:hanging="323"/>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Competition and new product introductions by competitors.</w:t>
      </w:r>
    </w:p>
    <w:p>
      <w:pPr>
        <w:spacing w:after="0" w:line="14" w:lineRule="exact"/>
        <w:rPr>
          <w:rFonts w:ascii="Arial" w:cs="Arial" w:eastAsia="Arial" w:hAnsi="Arial"/>
          <w:sz w:val="16"/>
          <w:szCs w:val="16"/>
          <w:color w:val="auto"/>
        </w:rPr>
      </w:pPr>
    </w:p>
    <w:p>
      <w:pPr>
        <w:ind w:left="640" w:hanging="323"/>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Ability to innovate and commercialize new products.</w:t>
      </w:r>
    </w:p>
    <w:p>
      <w:pPr>
        <w:spacing w:after="0" w:line="8" w:lineRule="exact"/>
        <w:rPr>
          <w:rFonts w:ascii="Arial" w:cs="Arial" w:eastAsia="Arial" w:hAnsi="Arial"/>
          <w:sz w:val="16"/>
          <w:szCs w:val="16"/>
          <w:color w:val="auto"/>
        </w:rPr>
      </w:pPr>
    </w:p>
    <w:p>
      <w:pPr>
        <w:ind w:left="640" w:hanging="323"/>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Ability to manage our inventory to meet demand.</w:t>
      </w:r>
    </w:p>
    <w:p>
      <w:pPr>
        <w:spacing w:after="0" w:line="5" w:lineRule="exact"/>
        <w:rPr>
          <w:rFonts w:ascii="Arial" w:cs="Arial" w:eastAsia="Arial" w:hAnsi="Arial"/>
          <w:sz w:val="16"/>
          <w:szCs w:val="16"/>
          <w:color w:val="auto"/>
        </w:rPr>
      </w:pPr>
    </w:p>
    <w:p>
      <w:pPr>
        <w:ind w:left="640" w:hanging="323"/>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Risk related to cyclicality and seasonality of our business.</w:t>
      </w:r>
    </w:p>
    <w:p>
      <w:pPr>
        <w:spacing w:after="0" w:line="14" w:lineRule="exact"/>
        <w:rPr>
          <w:rFonts w:ascii="Arial" w:cs="Arial" w:eastAsia="Arial" w:hAnsi="Arial"/>
          <w:sz w:val="16"/>
          <w:szCs w:val="16"/>
          <w:color w:val="auto"/>
        </w:rPr>
      </w:pPr>
    </w:p>
    <w:p>
      <w:pPr>
        <w:ind w:left="640" w:hanging="323"/>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Risk related to independent dealers.</w:t>
      </w:r>
    </w:p>
    <w:p>
      <w:pPr>
        <w:spacing w:after="0" w:line="8" w:lineRule="exact"/>
        <w:rPr>
          <w:rFonts w:ascii="Arial" w:cs="Arial" w:eastAsia="Arial" w:hAnsi="Arial"/>
          <w:sz w:val="16"/>
          <w:szCs w:val="16"/>
          <w:color w:val="auto"/>
        </w:rPr>
      </w:pPr>
    </w:p>
    <w:p>
      <w:pPr>
        <w:ind w:left="640" w:hanging="323"/>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Risk related to dealer consolidation or the loss of a significant dealer.</w:t>
      </w:r>
    </w:p>
    <w:p>
      <w:pPr>
        <w:spacing w:after="0" w:line="14" w:lineRule="exact"/>
        <w:rPr>
          <w:rFonts w:ascii="Arial" w:cs="Arial" w:eastAsia="Arial" w:hAnsi="Arial"/>
          <w:sz w:val="16"/>
          <w:szCs w:val="16"/>
          <w:color w:val="auto"/>
        </w:rPr>
      </w:pPr>
    </w:p>
    <w:p>
      <w:pPr>
        <w:ind w:left="640" w:hanging="323"/>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Significant increase in repurchase obligations.</w:t>
      </w:r>
    </w:p>
    <w:p>
      <w:pPr>
        <w:spacing w:after="0" w:line="8" w:lineRule="exact"/>
        <w:rPr>
          <w:rFonts w:ascii="Arial" w:cs="Arial" w:eastAsia="Arial" w:hAnsi="Arial"/>
          <w:sz w:val="16"/>
          <w:szCs w:val="16"/>
          <w:color w:val="auto"/>
        </w:rPr>
      </w:pPr>
    </w:p>
    <w:p>
      <w:pPr>
        <w:ind w:left="640" w:hanging="323"/>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Ability to retain relationships with our suppliers and obtain components.</w:t>
      </w:r>
    </w:p>
    <w:p>
      <w:pPr>
        <w:spacing w:after="0" w:line="5" w:lineRule="exact"/>
        <w:rPr>
          <w:rFonts w:ascii="Arial" w:cs="Arial" w:eastAsia="Arial" w:hAnsi="Arial"/>
          <w:sz w:val="16"/>
          <w:szCs w:val="16"/>
          <w:color w:val="auto"/>
        </w:rPr>
      </w:pPr>
    </w:p>
    <w:p>
      <w:pPr>
        <w:ind w:left="640" w:hanging="323"/>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Business or production disruptions.</w:t>
      </w:r>
    </w:p>
    <w:p>
      <w:pPr>
        <w:spacing w:after="0" w:line="14" w:lineRule="exact"/>
        <w:rPr>
          <w:rFonts w:ascii="Arial" w:cs="Arial" w:eastAsia="Arial" w:hAnsi="Arial"/>
          <w:sz w:val="16"/>
          <w:szCs w:val="16"/>
          <w:color w:val="auto"/>
        </w:rPr>
      </w:pPr>
    </w:p>
    <w:p>
      <w:pPr>
        <w:ind w:left="640" w:hanging="323"/>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Inadequate management of dealer inventory levels.</w:t>
      </w:r>
    </w:p>
    <w:p>
      <w:pPr>
        <w:spacing w:after="0" w:line="8" w:lineRule="exact"/>
        <w:rPr>
          <w:rFonts w:ascii="Arial" w:cs="Arial" w:eastAsia="Arial" w:hAnsi="Arial"/>
          <w:sz w:val="16"/>
          <w:szCs w:val="16"/>
          <w:color w:val="auto"/>
        </w:rPr>
      </w:pPr>
    </w:p>
    <w:p>
      <w:pPr>
        <w:ind w:left="640" w:hanging="323"/>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Increased material and component costs, including availability and price of fuel and other raw materials.</w:t>
      </w:r>
    </w:p>
    <w:p>
      <w:pPr>
        <w:spacing w:after="0" w:line="14" w:lineRule="exact"/>
        <w:rPr>
          <w:rFonts w:ascii="Arial" w:cs="Arial" w:eastAsia="Arial" w:hAnsi="Arial"/>
          <w:sz w:val="16"/>
          <w:szCs w:val="16"/>
          <w:color w:val="auto"/>
        </w:rPr>
      </w:pPr>
    </w:p>
    <w:p>
      <w:pPr>
        <w:ind w:left="640" w:hanging="323"/>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Ability to integrate mergers and acquisitions.</w:t>
      </w:r>
    </w:p>
    <w:p>
      <w:pPr>
        <w:spacing w:after="0" w:line="8" w:lineRule="exact"/>
        <w:rPr>
          <w:rFonts w:ascii="Arial" w:cs="Arial" w:eastAsia="Arial" w:hAnsi="Arial"/>
          <w:sz w:val="16"/>
          <w:szCs w:val="16"/>
          <w:color w:val="auto"/>
        </w:rPr>
      </w:pPr>
    </w:p>
    <w:p>
      <w:pPr>
        <w:ind w:left="640" w:hanging="323"/>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Ability to attract and retain qualified personnel and changes in market compensation rates.</w:t>
      </w:r>
    </w:p>
    <w:p>
      <w:pPr>
        <w:spacing w:after="0" w:line="5" w:lineRule="exact"/>
        <w:rPr>
          <w:rFonts w:ascii="Arial" w:cs="Arial" w:eastAsia="Arial" w:hAnsi="Arial"/>
          <w:sz w:val="16"/>
          <w:szCs w:val="16"/>
          <w:color w:val="auto"/>
        </w:rPr>
      </w:pPr>
    </w:p>
    <w:p>
      <w:pPr>
        <w:ind w:left="640" w:hanging="323"/>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Exposure to warranty claims and product recalls.</w:t>
      </w:r>
    </w:p>
    <w:p>
      <w:pPr>
        <w:spacing w:after="0" w:line="14" w:lineRule="exact"/>
        <w:rPr>
          <w:rFonts w:ascii="Arial" w:cs="Arial" w:eastAsia="Arial" w:hAnsi="Arial"/>
          <w:sz w:val="16"/>
          <w:szCs w:val="16"/>
          <w:color w:val="auto"/>
        </w:rPr>
      </w:pPr>
    </w:p>
    <w:p>
      <w:pPr>
        <w:ind w:left="640" w:right="280" w:hanging="323"/>
        <w:spacing w:after="0" w:line="255" w:lineRule="auto"/>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Ability to protect our information technology systems from data security, cyberattacks, and network disruption risks and the ability to successfully upgrade and evolve our information technology systems.</w:t>
      </w:r>
    </w:p>
    <w:p>
      <w:pPr>
        <w:ind w:left="640" w:hanging="323"/>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Ability to retain brand reputation and related exposure to product liability claims.</w:t>
      </w:r>
    </w:p>
    <w:p>
      <w:pPr>
        <w:spacing w:after="0" w:line="8" w:lineRule="exact"/>
        <w:rPr>
          <w:rFonts w:ascii="Arial" w:cs="Arial" w:eastAsia="Arial" w:hAnsi="Arial"/>
          <w:sz w:val="16"/>
          <w:szCs w:val="16"/>
          <w:color w:val="auto"/>
        </w:rPr>
      </w:pPr>
    </w:p>
    <w:p>
      <w:pPr>
        <w:ind w:left="640" w:hanging="323"/>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Governmental regulation, including for climate change.</w:t>
      </w:r>
    </w:p>
    <w:p>
      <w:pPr>
        <w:spacing w:after="0" w:line="5" w:lineRule="exact"/>
        <w:rPr>
          <w:rFonts w:ascii="Arial" w:cs="Arial" w:eastAsia="Arial" w:hAnsi="Arial"/>
          <w:sz w:val="16"/>
          <w:szCs w:val="16"/>
          <w:color w:val="auto"/>
        </w:rPr>
      </w:pPr>
    </w:p>
    <w:p>
      <w:pPr>
        <w:ind w:left="640" w:hanging="323"/>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Increased attention to environmental, social, and governance (ESG) matters, and our ability to meet our commitments.</w:t>
      </w:r>
    </w:p>
    <w:p>
      <w:pPr>
        <w:spacing w:after="0" w:line="14" w:lineRule="exact"/>
        <w:rPr>
          <w:rFonts w:ascii="Arial" w:cs="Arial" w:eastAsia="Arial" w:hAnsi="Arial"/>
          <w:sz w:val="16"/>
          <w:szCs w:val="16"/>
          <w:color w:val="auto"/>
        </w:rPr>
      </w:pPr>
    </w:p>
    <w:p>
      <w:pPr>
        <w:ind w:left="640" w:hanging="323"/>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Impairment of goodwill and trade names.</w:t>
      </w:r>
    </w:p>
    <w:p>
      <w:pPr>
        <w:spacing w:after="0" w:line="8" w:lineRule="exact"/>
        <w:rPr>
          <w:rFonts w:ascii="Arial" w:cs="Arial" w:eastAsia="Arial" w:hAnsi="Arial"/>
          <w:sz w:val="16"/>
          <w:szCs w:val="16"/>
          <w:color w:val="auto"/>
        </w:rPr>
      </w:pPr>
    </w:p>
    <w:p>
      <w:pPr>
        <w:ind w:left="640" w:hanging="323"/>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Risks related to our 2030 Convertible Notes and Senior Secured Notes, including our ability to satisfy our obligations under these notes.</w:t>
      </w:r>
    </w:p>
    <w:p>
      <w:pPr>
        <w:spacing w:after="0" w:line="14" w:lineRule="exact"/>
        <w:rPr>
          <w:rFonts w:ascii="Arial" w:cs="Arial" w:eastAsia="Arial" w:hAnsi="Arial"/>
          <w:sz w:val="16"/>
          <w:szCs w:val="16"/>
          <w:color w:val="auto"/>
        </w:rPr>
      </w:pPr>
    </w:p>
    <w:p>
      <w:pPr>
        <w:ind w:left="640" w:hanging="323"/>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in recommendations or a withdrawal of coverage by third party securities analysts.</w:t>
      </w:r>
    </w:p>
    <w:p>
      <w:pPr>
        <w:spacing w:after="0" w:line="232" w:lineRule="exact"/>
        <w:rPr>
          <w:sz w:val="20"/>
          <w:szCs w:val="20"/>
          <w:color w:val="auto"/>
        </w:rPr>
      </w:pPr>
    </w:p>
    <w:p>
      <w:pPr>
        <w:ind w:right="420"/>
        <w:spacing w:after="0" w:line="309" w:lineRule="auto"/>
        <w:rPr>
          <w:sz w:val="20"/>
          <w:szCs w:val="20"/>
          <w:color w:val="auto"/>
        </w:rPr>
      </w:pPr>
      <w:r>
        <w:rPr>
          <w:rFonts w:ascii="Arial" w:cs="Arial" w:eastAsia="Arial" w:hAnsi="Arial"/>
          <w:sz w:val="16"/>
          <w:szCs w:val="16"/>
          <w:color w:val="auto"/>
        </w:rPr>
        <w:t>We caution that the foregoing list of important factors is not complete. Any forward-looking statements speak only as of the date they are made, and we assume no obligation to update any forward-looking statement that we may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70485</wp:posOffset>
            </wp:positionV>
            <wp:extent cx="71831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20"/>
          </w:cols>
          <w:pgMar w:left="340" w:top="116" w:right="358" w:bottom="1440" w:gutter="0" w:footer="0" w:header="0"/>
        </w:sectPr>
      </w:pPr>
    </w:p>
    <w:bookmarkStart w:id="32" w:name="page33"/>
    <w:bookmarkEnd w:id="3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15" w:lineRule="exact"/>
        <w:rPr>
          <w:sz w:val="20"/>
          <w:szCs w:val="20"/>
          <w:color w:val="auto"/>
        </w:rPr>
      </w:pPr>
    </w:p>
    <w:p>
      <w:pPr>
        <w:ind w:right="560"/>
        <w:spacing w:after="0" w:line="309" w:lineRule="auto"/>
        <w:rPr>
          <w:sz w:val="20"/>
          <w:szCs w:val="20"/>
          <w:color w:val="auto"/>
        </w:rPr>
      </w:pPr>
      <w:r>
        <w:rPr>
          <w:rFonts w:ascii="Arial" w:cs="Arial" w:eastAsia="Arial" w:hAnsi="Arial"/>
          <w:sz w:val="16"/>
          <w:szCs w:val="16"/>
          <w:color w:val="auto"/>
        </w:rPr>
        <w:t>The assets we maintain to fund deferred compensation have market risk, but we maintain a corresponding liability for these assets. The market risk is therefore borne by the participants in the deferred compensation program.</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ABL Credit Facility, which is our only floating rate debt instrument, remains undrawn as of May 30, 2026.</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125" w:lineRule="exact"/>
        <w:rPr>
          <w:sz w:val="20"/>
          <w:szCs w:val="20"/>
          <w:color w:val="auto"/>
        </w:rPr>
      </w:pPr>
    </w:p>
    <w:p>
      <w:pPr>
        <w:ind w:right="180"/>
        <w:spacing w:after="0" w:line="267" w:lineRule="auto"/>
        <w:rPr>
          <w:sz w:val="20"/>
          <w:szCs w:val="20"/>
          <w:color w:val="auto"/>
        </w:rPr>
      </w:pPr>
      <w:r>
        <w:rPr>
          <w:rFonts w:ascii="Arial" w:cs="Arial" w:eastAsia="Arial" w:hAnsi="Arial"/>
          <w:sz w:val="16"/>
          <w:szCs w:val="16"/>
          <w:color w:val="auto"/>
        </w:rPr>
        <w:t>Our management, under the supervision and with the participation of our Chief Executive Officer and Chief Financial Officer, evaluated the effectiveness of the design and operation of our disclosure controls and procedures (as defined in Rule 13a-15(e) under the Securities Exchange Act of 1934, as amended (the "Exchange Act")), as of the end of the period covered by this report (the "Evaluation Date"). Based on this evaluation, the Chief Executive Officer and Chief Financial Officer concluded that our disclosure controls and procedures were effective as of the Evaluation Date.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1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There were no changes in our internal control over financial reporting that occurred during the third quarter of Fiscal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79375</wp:posOffset>
            </wp:positionV>
            <wp:extent cx="71831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0"/>
          </w:cols>
          <w:pgMar w:left="340" w:top="116" w:right="338" w:bottom="1440" w:gutter="0" w:footer="0" w:header="0"/>
        </w:sectPr>
      </w:pPr>
    </w:p>
    <w:bookmarkStart w:id="33" w:name="page34"/>
    <w:bookmarkEnd w:id="33"/>
    <w:p>
      <w:pPr>
        <w:ind w:left="7"/>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PART II. OTHER INFORMATION</w:t>
      </w:r>
    </w:p>
    <w:p>
      <w:pPr>
        <w:spacing w:after="0" w:line="248"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Item 1. Legal Proceedings</w:t>
      </w:r>
    </w:p>
    <w:p>
      <w:pPr>
        <w:spacing w:after="0" w:line="129" w:lineRule="exact"/>
        <w:rPr>
          <w:sz w:val="20"/>
          <w:szCs w:val="20"/>
          <w:color w:val="auto"/>
        </w:rPr>
      </w:pPr>
    </w:p>
    <w:p>
      <w:pPr>
        <w:ind w:left="7" w:right="120"/>
        <w:spacing w:after="0" w:line="291" w:lineRule="auto"/>
        <w:rPr>
          <w:sz w:val="20"/>
          <w:szCs w:val="20"/>
          <w:color w:val="auto"/>
        </w:rPr>
      </w:pPr>
      <w:r>
        <w:rPr>
          <w:rFonts w:ascii="Arial" w:cs="Arial" w:eastAsia="Arial" w:hAnsi="Arial"/>
          <w:sz w:val="16"/>
          <w:szCs w:val="16"/>
          <w:color w:val="auto"/>
        </w:rPr>
        <w:t>For a description of our legal proceedings, see Note 9 in the Notes to Consolidated Financial Statements included in Item 1 of Part I of this Quarterly Report on Form 10-Q.</w:t>
      </w:r>
    </w:p>
    <w:p>
      <w:pPr>
        <w:spacing w:after="0" w:line="186"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Item 1A. Risk Factors</w:t>
      </w:r>
    </w:p>
    <w:p>
      <w:pPr>
        <w:spacing w:after="0" w:line="115" w:lineRule="exact"/>
        <w:rPr>
          <w:sz w:val="20"/>
          <w:szCs w:val="20"/>
          <w:color w:val="auto"/>
        </w:rPr>
      </w:pPr>
    </w:p>
    <w:p>
      <w:pPr>
        <w:ind w:left="7" w:right="220"/>
        <w:spacing w:after="0" w:line="291" w:lineRule="auto"/>
        <w:rPr>
          <w:sz w:val="20"/>
          <w:szCs w:val="20"/>
          <w:color w:val="auto"/>
        </w:rPr>
      </w:pPr>
      <w:r>
        <w:rPr>
          <w:rFonts w:ascii="Arial" w:cs="Arial" w:eastAsia="Arial" w:hAnsi="Arial"/>
          <w:sz w:val="16"/>
          <w:szCs w:val="16"/>
          <w:color w:val="auto"/>
        </w:rPr>
        <w:t xml:space="preserve">There have been no material changes from the risk factors previously disclosed in Part I, Item 1A, </w:t>
      </w:r>
      <w:r>
        <w:rPr>
          <w:rFonts w:ascii="Arial" w:cs="Arial" w:eastAsia="Arial" w:hAnsi="Arial"/>
          <w:sz w:val="16"/>
          <w:szCs w:val="16"/>
          <w:i w:val="1"/>
          <w:iCs w:val="1"/>
          <w:color w:val="auto"/>
        </w:rPr>
        <w:t>Risk Factors</w:t>
      </w:r>
      <w:r>
        <w:rPr>
          <w:rFonts w:ascii="Arial" w:cs="Arial" w:eastAsia="Arial" w:hAnsi="Arial"/>
          <w:sz w:val="16"/>
          <w:szCs w:val="16"/>
          <w:color w:val="auto"/>
        </w:rPr>
        <w:t>, of our Annual Report on Form 10-K for the fiscal year ended August 30, 2025.</w:t>
      </w:r>
    </w:p>
    <w:p>
      <w:pPr>
        <w:spacing w:after="0" w:line="186"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15" w:lineRule="exact"/>
        <w:rPr>
          <w:sz w:val="20"/>
          <w:szCs w:val="20"/>
          <w:color w:val="auto"/>
        </w:rPr>
      </w:pPr>
    </w:p>
    <w:p>
      <w:pPr>
        <w:ind w:left="7"/>
        <w:spacing w:after="0"/>
        <w:rPr>
          <w:sz w:val="20"/>
          <w:szCs w:val="20"/>
          <w:color w:val="auto"/>
        </w:rPr>
      </w:pPr>
      <w:r>
        <w:rPr>
          <w:rFonts w:ascii="Arial" w:cs="Arial" w:eastAsia="Arial" w:hAnsi="Arial"/>
          <w:sz w:val="16"/>
          <w:szCs w:val="16"/>
          <w:color w:val="auto"/>
        </w:rPr>
        <w:t>(c) Stock Repurchases</w:t>
      </w:r>
    </w:p>
    <w:p>
      <w:pPr>
        <w:spacing w:after="0" w:line="181" w:lineRule="exact"/>
        <w:rPr>
          <w:sz w:val="20"/>
          <w:szCs w:val="20"/>
          <w:color w:val="auto"/>
        </w:rPr>
      </w:pPr>
    </w:p>
    <w:p>
      <w:pPr>
        <w:ind w:left="7"/>
        <w:spacing w:after="0"/>
        <w:rPr>
          <w:sz w:val="20"/>
          <w:szCs w:val="20"/>
          <w:color w:val="auto"/>
        </w:rPr>
      </w:pPr>
      <w:r>
        <w:rPr>
          <w:rFonts w:ascii="Arial" w:cs="Arial" w:eastAsia="Arial" w:hAnsi="Arial"/>
          <w:sz w:val="16"/>
          <w:szCs w:val="16"/>
          <w:color w:val="auto"/>
        </w:rPr>
        <w:t>Purchases of our common stock during each fiscal month of the third quarter of Fiscal 2026 are as follows:</w:t>
      </w:r>
    </w:p>
    <w:p>
      <w:pPr>
        <w:spacing w:after="0" w:line="28" w:lineRule="exact"/>
        <w:rPr>
          <w:sz w:val="20"/>
          <w:szCs w:val="20"/>
          <w:color w:val="auto"/>
        </w:rPr>
      </w:pPr>
    </w:p>
    <w:tbl>
      <w:tblPr>
        <w:tblLayout w:type="fixed"/>
        <w:tblInd w:w="7" w:type="dxa"/>
        <w:tblCellMar>
          <w:top w:w="0" w:type="dxa"/>
          <w:left w:w="0" w:type="dxa"/>
          <w:bottom w:w="0" w:type="dxa"/>
          <w:right w:w="0" w:type="dxa"/>
        </w:tblCellMar>
      </w:tblPr>
      <w:tr>
        <w:trPr>
          <w:trHeight w:val="184"/>
        </w:trPr>
        <w:tc>
          <w:tcPr>
            <w:tcW w:w="2620" w:type="dxa"/>
            <w:vAlign w:val="bottom"/>
          </w:tcPr>
          <w:p>
            <w:pPr>
              <w:spacing w:after="0"/>
              <w:rPr>
                <w:sz w:val="16"/>
                <w:szCs w:val="16"/>
                <w:color w:val="auto"/>
              </w:rPr>
            </w:pPr>
          </w:p>
        </w:tc>
        <w:tc>
          <w:tcPr>
            <w:tcW w:w="15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Total Number of</w:t>
            </w: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7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Total Number of Shares Purchased</w:t>
            </w:r>
          </w:p>
        </w:tc>
        <w:tc>
          <w:tcPr>
            <w:tcW w:w="340" w:type="dxa"/>
            <w:vAlign w:val="bottom"/>
          </w:tcPr>
          <w:p>
            <w:pPr>
              <w:spacing w:after="0"/>
              <w:rPr>
                <w:sz w:val="16"/>
                <w:szCs w:val="16"/>
                <w:color w:val="auto"/>
              </w:rPr>
            </w:pPr>
          </w:p>
        </w:tc>
        <w:tc>
          <w:tcPr>
            <w:tcW w:w="2560" w:type="dxa"/>
            <w:vAlign w:val="bottom"/>
          </w:tcPr>
          <w:p>
            <w:pPr>
              <w:jc w:val="center"/>
              <w:ind w:right="141"/>
              <w:spacing w:after="0"/>
              <w:rPr>
                <w:sz w:val="20"/>
                <w:szCs w:val="20"/>
                <w:color w:val="auto"/>
              </w:rPr>
            </w:pPr>
            <w:r>
              <w:rPr>
                <w:rFonts w:ascii="Arial" w:cs="Arial" w:eastAsia="Arial" w:hAnsi="Arial"/>
                <w:sz w:val="16"/>
                <w:szCs w:val="16"/>
                <w:b w:val="1"/>
                <w:bCs w:val="1"/>
                <w:color w:val="auto"/>
              </w:rPr>
              <w:t>Approximate Dollar Value of</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1400" w:type="dxa"/>
            <w:vAlign w:val="bottom"/>
            <w:gridSpan w:val="2"/>
            <w:vMerge w:val="restart"/>
          </w:tcPr>
          <w:p>
            <w:pPr>
              <w:jc w:val="right"/>
              <w:ind w:right="79"/>
              <w:spacing w:after="0"/>
              <w:rPr>
                <w:sz w:val="20"/>
                <w:szCs w:val="20"/>
                <w:color w:val="auto"/>
              </w:rPr>
            </w:pPr>
            <w:r>
              <w:rPr>
                <w:rFonts w:ascii="Arial" w:cs="Arial" w:eastAsia="Arial" w:hAnsi="Arial"/>
                <w:sz w:val="16"/>
                <w:szCs w:val="16"/>
                <w:b w:val="1"/>
                <w:bCs w:val="1"/>
                <w:color w:val="auto"/>
              </w:rPr>
              <w:t>Average Price</w:t>
            </w:r>
          </w:p>
        </w:tc>
        <w:tc>
          <w:tcPr>
            <w:tcW w:w="2740" w:type="dxa"/>
            <w:vAlign w:val="bottom"/>
            <w:vMerge w:val="continue"/>
          </w:tcPr>
          <w:p>
            <w:pPr>
              <w:spacing w:after="0"/>
              <w:rPr>
                <w:sz w:val="14"/>
                <w:szCs w:val="14"/>
                <w:color w:val="auto"/>
              </w:rPr>
            </w:pPr>
          </w:p>
        </w:tc>
        <w:tc>
          <w:tcPr>
            <w:tcW w:w="2900" w:type="dxa"/>
            <w:vAlign w:val="bottom"/>
            <w:gridSpan w:val="2"/>
          </w:tcPr>
          <w:p>
            <w:pPr>
              <w:jc w:val="center"/>
              <w:ind w:left="42"/>
              <w:spacing w:after="0" w:line="162" w:lineRule="exact"/>
              <w:rPr>
                <w:sz w:val="20"/>
                <w:szCs w:val="20"/>
                <w:color w:val="auto"/>
              </w:rPr>
            </w:pPr>
            <w:r>
              <w:rPr>
                <w:rFonts w:ascii="Arial" w:cs="Arial" w:eastAsia="Arial" w:hAnsi="Arial"/>
                <w:sz w:val="16"/>
                <w:szCs w:val="16"/>
                <w:b w:val="1"/>
                <w:bCs w:val="1"/>
                <w:color w:val="auto"/>
              </w:rPr>
              <w:t>Shares That May Yet Be Purchased</w:t>
            </w: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5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w:t>
            </w:r>
          </w:p>
        </w:tc>
        <w:tc>
          <w:tcPr>
            <w:tcW w:w="1400" w:type="dxa"/>
            <w:vAlign w:val="bottom"/>
            <w:gridSpan w:val="2"/>
            <w:vMerge w:val="continue"/>
          </w:tcPr>
          <w:p>
            <w:pPr>
              <w:spacing w:after="0"/>
              <w:rPr>
                <w:sz w:val="14"/>
                <w:szCs w:val="14"/>
                <w:color w:val="auto"/>
              </w:rPr>
            </w:pPr>
          </w:p>
        </w:tc>
        <w:tc>
          <w:tcPr>
            <w:tcW w:w="27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as Part of Publicly Announced</w:t>
            </w:r>
          </w:p>
        </w:tc>
        <w:tc>
          <w:tcPr>
            <w:tcW w:w="2900" w:type="dxa"/>
            <w:vAlign w:val="bottom"/>
            <w:gridSpan w:val="2"/>
          </w:tcPr>
          <w:p>
            <w:pPr>
              <w:jc w:val="center"/>
              <w:ind w:left="42"/>
              <w:spacing w:after="0" w:line="162" w:lineRule="exact"/>
              <w:rPr>
                <w:sz w:val="20"/>
                <w:szCs w:val="20"/>
                <w:color w:val="auto"/>
              </w:rPr>
            </w:pPr>
            <w:r>
              <w:rPr>
                <w:rFonts w:ascii="Arial" w:cs="Arial" w:eastAsia="Arial" w:hAnsi="Arial"/>
                <w:sz w:val="14"/>
                <w:szCs w:val="14"/>
                <w:b w:val="1"/>
                <w:bCs w:val="1"/>
                <w:color w:val="auto"/>
              </w:rPr>
              <w:t>Under the Plans or Programs</w:t>
            </w:r>
            <w:r>
              <w:rPr>
                <w:rFonts w:ascii="Arial" w:cs="Arial" w:eastAsia="Arial" w:hAnsi="Arial"/>
                <w:sz w:val="18"/>
                <w:szCs w:val="18"/>
                <w:b w:val="1"/>
                <w:bCs w:val="1"/>
                <w:color w:val="auto"/>
                <w:vertAlign w:val="superscript"/>
              </w:rPr>
              <w:t>(3)</w:t>
            </w:r>
            <w:r>
              <w:rPr>
                <w:rFonts w:ascii="Arial" w:cs="Arial" w:eastAsia="Arial" w:hAnsi="Arial"/>
                <w:sz w:val="14"/>
                <w:szCs w:val="14"/>
                <w:b w:val="1"/>
                <w:bCs w:val="1"/>
                <w:color w:val="auto"/>
              </w:rPr>
              <w:t xml:space="preserve"> </w:t>
            </w:r>
            <w:r>
              <w:rPr>
                <w:rFonts w:ascii="Arial" w:cs="Arial" w:eastAsia="Arial" w:hAnsi="Arial"/>
                <w:sz w:val="12"/>
                <w:szCs w:val="12"/>
                <w:color w:val="auto"/>
              </w:rPr>
              <w:t>(in</w:t>
            </w:r>
          </w:p>
        </w:tc>
        <w:tc>
          <w:tcPr>
            <w:tcW w:w="0" w:type="dxa"/>
            <w:vAlign w:val="bottom"/>
          </w:tcPr>
          <w:p>
            <w:pPr>
              <w:spacing w:after="0"/>
              <w:rPr>
                <w:sz w:val="1"/>
                <w:szCs w:val="1"/>
                <w:color w:val="auto"/>
              </w:rPr>
            </w:pPr>
          </w:p>
        </w:tc>
      </w:tr>
      <w:tr>
        <w:trPr>
          <w:trHeight w:val="203"/>
        </w:trPr>
        <w:tc>
          <w:tcPr>
            <w:tcW w:w="2620" w:type="dxa"/>
            <w:vAlign w:val="bottom"/>
            <w:tcBorders>
              <w:bottom w:val="single" w:sz="8" w:color="auto"/>
            </w:tcBorders>
            <w:vMerge w:val="continue"/>
          </w:tcPr>
          <w:p>
            <w:pPr>
              <w:spacing w:after="0"/>
              <w:rPr>
                <w:sz w:val="17"/>
                <w:szCs w:val="17"/>
                <w:color w:val="auto"/>
              </w:rPr>
            </w:pPr>
          </w:p>
        </w:tc>
        <w:tc>
          <w:tcPr>
            <w:tcW w:w="158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6"/>
                <w:szCs w:val="16"/>
                <w:b w:val="1"/>
                <w:bCs w:val="1"/>
                <w:color w:val="auto"/>
                <w:w w:val="95"/>
              </w:rPr>
              <w:t>Purchased</w:t>
            </w:r>
            <w:r>
              <w:rPr>
                <w:rFonts w:ascii="Arial" w:cs="Arial" w:eastAsia="Arial" w:hAnsi="Arial"/>
                <w:sz w:val="21"/>
                <w:szCs w:val="21"/>
                <w:b w:val="1"/>
                <w:bCs w:val="1"/>
                <w:color w:val="auto"/>
                <w:w w:val="95"/>
                <w:vertAlign w:val="superscript"/>
              </w:rPr>
              <w:t>(1,2)</w:t>
            </w:r>
          </w:p>
        </w:tc>
        <w:tc>
          <w:tcPr>
            <w:tcW w:w="14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Paid per Share</w:t>
            </w:r>
          </w:p>
        </w:tc>
        <w:tc>
          <w:tcPr>
            <w:tcW w:w="274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6"/>
                <w:szCs w:val="16"/>
                <w:b w:val="1"/>
                <w:bCs w:val="1"/>
                <w:color w:val="auto"/>
                <w:w w:val="95"/>
              </w:rPr>
              <w:t>Plans or Programs</w:t>
            </w:r>
            <w:r>
              <w:rPr>
                <w:rFonts w:ascii="Arial" w:cs="Arial" w:eastAsia="Arial" w:hAnsi="Arial"/>
                <w:sz w:val="21"/>
                <w:szCs w:val="21"/>
                <w:b w:val="1"/>
                <w:bCs w:val="1"/>
                <w:color w:val="auto"/>
                <w:w w:val="95"/>
                <w:vertAlign w:val="superscript"/>
              </w:rPr>
              <w:t>(1,2)</w:t>
            </w:r>
          </w:p>
        </w:tc>
        <w:tc>
          <w:tcPr>
            <w:tcW w:w="3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color w:val="auto"/>
              </w:rPr>
              <w:t>millions)</w:t>
            </w:r>
          </w:p>
        </w:tc>
        <w:tc>
          <w:tcPr>
            <w:tcW w:w="0" w:type="dxa"/>
            <w:vAlign w:val="bottom"/>
          </w:tcPr>
          <w:p>
            <w:pPr>
              <w:spacing w:after="0"/>
              <w:rPr>
                <w:sz w:val="1"/>
                <w:szCs w:val="1"/>
                <w:color w:val="auto"/>
              </w:rPr>
            </w:pPr>
          </w:p>
        </w:tc>
      </w:tr>
      <w:tr>
        <w:trPr>
          <w:trHeight w:val="209"/>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3/1/26 - 4/4/26</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w:t>
            </w:r>
          </w:p>
        </w:tc>
        <w:tc>
          <w:tcPr>
            <w:tcW w:w="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39.43</w:t>
            </w:r>
          </w:p>
        </w:tc>
        <w:tc>
          <w:tcPr>
            <w:tcW w:w="2740" w:type="dxa"/>
            <w:vAlign w:val="bottom"/>
            <w:shd w:val="clear" w:color="auto" w:fill="CCEEFF"/>
          </w:tcPr>
          <w:p>
            <w:pPr>
              <w:ind w:left="25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180.0</w:t>
            </w:r>
          </w:p>
        </w:tc>
        <w:tc>
          <w:tcPr>
            <w:tcW w:w="0" w:type="dxa"/>
            <w:vAlign w:val="bottom"/>
          </w:tcPr>
          <w:p>
            <w:pPr>
              <w:spacing w:after="0"/>
              <w:rPr>
                <w:sz w:val="1"/>
                <w:szCs w:val="1"/>
                <w:color w:val="auto"/>
              </w:rPr>
            </w:pPr>
          </w:p>
        </w:tc>
      </w:tr>
      <w:tr>
        <w:trPr>
          <w:trHeight w:val="216"/>
        </w:trPr>
        <w:tc>
          <w:tcPr>
            <w:tcW w:w="2620" w:type="dxa"/>
            <w:vAlign w:val="bottom"/>
          </w:tcPr>
          <w:p>
            <w:pPr>
              <w:ind w:left="20"/>
              <w:spacing w:after="0"/>
              <w:rPr>
                <w:sz w:val="20"/>
                <w:szCs w:val="20"/>
                <w:color w:val="auto"/>
              </w:rPr>
            </w:pPr>
            <w:r>
              <w:rPr>
                <w:rFonts w:ascii="Arial" w:cs="Arial" w:eastAsia="Arial" w:hAnsi="Arial"/>
                <w:sz w:val="16"/>
                <w:szCs w:val="16"/>
                <w:color w:val="auto"/>
              </w:rPr>
              <w:t>4/5/26 - 5/2/26</w:t>
            </w:r>
          </w:p>
        </w:tc>
        <w:tc>
          <w:tcPr>
            <w:tcW w:w="1580" w:type="dxa"/>
            <w:vAlign w:val="bottom"/>
          </w:tcPr>
          <w:p>
            <w:pPr>
              <w:jc w:val="right"/>
              <w:spacing w:after="0"/>
              <w:rPr>
                <w:sz w:val="20"/>
                <w:szCs w:val="20"/>
                <w:color w:val="auto"/>
              </w:rPr>
            </w:pPr>
            <w:r>
              <w:rPr>
                <w:rFonts w:ascii="Arial" w:cs="Arial" w:eastAsia="Arial" w:hAnsi="Arial"/>
                <w:sz w:val="16"/>
                <w:szCs w:val="16"/>
                <w:color w:val="auto"/>
              </w:rPr>
              <w:t>231</w:t>
            </w:r>
          </w:p>
        </w:tc>
        <w:tc>
          <w:tcPr>
            <w:tcW w:w="520" w:type="dxa"/>
            <w:vAlign w:val="bottom"/>
          </w:tcPr>
          <w:p>
            <w:pPr>
              <w:spacing w:after="0"/>
              <w:rPr>
                <w:sz w:val="18"/>
                <w:szCs w:val="18"/>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32.51</w:t>
            </w:r>
          </w:p>
        </w:tc>
        <w:tc>
          <w:tcPr>
            <w:tcW w:w="2740" w:type="dxa"/>
            <w:vAlign w:val="bottom"/>
          </w:tcPr>
          <w:p>
            <w:pPr>
              <w:ind w:left="25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2560" w:type="dxa"/>
            <w:vAlign w:val="bottom"/>
          </w:tcPr>
          <w:p>
            <w:pPr>
              <w:jc w:val="right"/>
              <w:ind w:right="1"/>
              <w:spacing w:after="0"/>
              <w:rPr>
                <w:sz w:val="20"/>
                <w:szCs w:val="20"/>
                <w:color w:val="auto"/>
              </w:rPr>
            </w:pPr>
            <w:r>
              <w:rPr>
                <w:rFonts w:ascii="Arial" w:cs="Arial" w:eastAsia="Arial" w:hAnsi="Arial"/>
                <w:sz w:val="16"/>
                <w:szCs w:val="16"/>
                <w:color w:val="auto"/>
              </w:rPr>
              <w:t>180.0</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5/3/26 - 5/30/26</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658</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30.12</w:t>
            </w:r>
          </w:p>
        </w:tc>
        <w:tc>
          <w:tcPr>
            <w:tcW w:w="2740" w:type="dxa"/>
            <w:vAlign w:val="bottom"/>
            <w:tcBorders>
              <w:bottom w:val="single" w:sz="8" w:color="auto"/>
            </w:tcBorders>
            <w:shd w:val="clear" w:color="auto" w:fill="CCEEFF"/>
          </w:tcPr>
          <w:p>
            <w:pPr>
              <w:ind w:left="25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2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180.0</w:t>
            </w:r>
          </w:p>
        </w:tc>
        <w:tc>
          <w:tcPr>
            <w:tcW w:w="0" w:type="dxa"/>
            <w:vAlign w:val="bottom"/>
          </w:tcPr>
          <w:p>
            <w:pPr>
              <w:spacing w:after="0"/>
              <w:rPr>
                <w:sz w:val="1"/>
                <w:szCs w:val="1"/>
                <w:color w:val="auto"/>
              </w:rPr>
            </w:pPr>
          </w:p>
        </w:tc>
      </w:tr>
      <w:tr>
        <w:trPr>
          <w:trHeight w:val="209"/>
        </w:trPr>
        <w:tc>
          <w:tcPr>
            <w:tcW w:w="2620" w:type="dxa"/>
            <w:vAlign w:val="bottom"/>
          </w:tcPr>
          <w:p>
            <w:pPr>
              <w:ind w:left="140"/>
              <w:spacing w:after="0"/>
              <w:rPr>
                <w:sz w:val="20"/>
                <w:szCs w:val="20"/>
                <w:color w:val="auto"/>
              </w:rPr>
            </w:pPr>
            <w:r>
              <w:rPr>
                <w:rFonts w:ascii="Arial" w:cs="Arial" w:eastAsia="Arial" w:hAnsi="Arial"/>
                <w:sz w:val="16"/>
                <w:szCs w:val="16"/>
                <w:color w:val="auto"/>
              </w:rPr>
              <w:t>Total</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1,815</w:t>
            </w:r>
          </w:p>
        </w:tc>
        <w:tc>
          <w:tcPr>
            <w:tcW w:w="520" w:type="dxa"/>
            <w:vAlign w:val="bottom"/>
          </w:tcPr>
          <w:p>
            <w:pPr>
              <w:ind w:left="1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35.17</w:t>
            </w:r>
          </w:p>
        </w:tc>
        <w:tc>
          <w:tcPr>
            <w:tcW w:w="2740" w:type="dxa"/>
            <w:vAlign w:val="bottom"/>
            <w:tcBorders>
              <w:bottom w:val="single" w:sz="8" w:color="auto"/>
            </w:tcBorders>
          </w:tcPr>
          <w:p>
            <w:pPr>
              <w:ind w:left="25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560" w:type="dxa"/>
            <w:vAlign w:val="bottom"/>
          </w:tcPr>
          <w:p>
            <w:pPr>
              <w:jc w:val="right"/>
              <w:ind w:right="1"/>
              <w:spacing w:after="0"/>
              <w:rPr>
                <w:sz w:val="20"/>
                <w:szCs w:val="20"/>
                <w:color w:val="auto"/>
              </w:rPr>
            </w:pPr>
            <w:r>
              <w:rPr>
                <w:rFonts w:ascii="Arial" w:cs="Arial" w:eastAsia="Arial" w:hAnsi="Arial"/>
                <w:sz w:val="16"/>
                <w:szCs w:val="16"/>
                <w:color w:val="auto"/>
              </w:rPr>
              <w:t>180.0</w:t>
            </w: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247" w:hanging="247"/>
        <w:spacing w:after="0"/>
        <w:tabs>
          <w:tab w:leader="none" w:pos="247" w:val="left"/>
        </w:tabs>
        <w:numPr>
          <w:ilvl w:val="0"/>
          <w:numId w:val="19"/>
        </w:numPr>
        <w:rPr>
          <w:rFonts w:ascii="Arial" w:cs="Arial" w:eastAsia="Arial" w:hAnsi="Arial"/>
          <w:sz w:val="21"/>
          <w:szCs w:val="21"/>
          <w:color w:val="auto"/>
          <w:vertAlign w:val="superscript"/>
        </w:rPr>
      </w:pPr>
      <w:r>
        <w:rPr>
          <w:rFonts w:ascii="Arial" w:cs="Arial" w:eastAsia="Arial" w:hAnsi="Arial"/>
          <w:sz w:val="14"/>
          <w:szCs w:val="14"/>
          <w:color w:val="auto"/>
        </w:rPr>
        <w:t>Number of shares in the table are shown in whole numbers.</w:t>
      </w:r>
    </w:p>
    <w:p>
      <w:pPr>
        <w:ind w:left="247" w:hanging="247"/>
        <w:spacing w:after="0" w:line="209" w:lineRule="auto"/>
        <w:tabs>
          <w:tab w:leader="none" w:pos="250" w:val="left"/>
        </w:tabs>
        <w:numPr>
          <w:ilvl w:val="0"/>
          <w:numId w:val="19"/>
        </w:numPr>
        <w:rPr>
          <w:rFonts w:ascii="Arial" w:cs="Arial" w:eastAsia="Arial" w:hAnsi="Arial"/>
          <w:sz w:val="21"/>
          <w:szCs w:val="21"/>
          <w:color w:val="auto"/>
          <w:vertAlign w:val="superscript"/>
        </w:rPr>
      </w:pPr>
      <w:r>
        <w:rPr>
          <w:rFonts w:ascii="Arial" w:cs="Arial" w:eastAsia="Arial" w:hAnsi="Arial"/>
          <w:sz w:val="14"/>
          <w:szCs w:val="14"/>
          <w:color w:val="auto"/>
        </w:rPr>
        <w:t>Shares not purchased as part of a publicly announced program were repurchased from employees who vested in Company shares and elected to pay their payroll tax via the value of shares delivered as opposed to cash.</w:t>
      </w:r>
    </w:p>
    <w:p>
      <w:pPr>
        <w:ind w:left="247" w:hanging="247"/>
        <w:spacing w:after="0" w:line="183" w:lineRule="auto"/>
        <w:tabs>
          <w:tab w:leader="none" w:pos="247" w:val="left"/>
        </w:tabs>
        <w:numPr>
          <w:ilvl w:val="0"/>
          <w:numId w:val="19"/>
        </w:numPr>
        <w:rPr>
          <w:rFonts w:ascii="Arial" w:cs="Arial" w:eastAsia="Arial" w:hAnsi="Arial"/>
          <w:sz w:val="20"/>
          <w:szCs w:val="20"/>
          <w:color w:val="auto"/>
          <w:vertAlign w:val="superscript"/>
        </w:rPr>
      </w:pPr>
      <w:r>
        <w:rPr>
          <w:rFonts w:ascii="Arial" w:cs="Arial" w:eastAsia="Arial" w:hAnsi="Arial"/>
          <w:sz w:val="14"/>
          <w:szCs w:val="14"/>
          <w:color w:val="auto"/>
        </w:rPr>
        <w:t>Pursuant to a $350.0 million share repurchase program authorized by our Board of Directors on August 17, 2022. There is no time restriction on the authorization.</w:t>
      </w:r>
    </w:p>
    <w:p>
      <w:pPr>
        <w:spacing w:after="0" w:line="220" w:lineRule="exact"/>
        <w:rPr>
          <w:sz w:val="20"/>
          <w:szCs w:val="20"/>
          <w:color w:val="auto"/>
        </w:rPr>
      </w:pPr>
    </w:p>
    <w:p>
      <w:pPr>
        <w:ind w:left="7" w:right="80"/>
        <w:spacing w:after="0" w:line="267" w:lineRule="auto"/>
        <w:rPr>
          <w:sz w:val="20"/>
          <w:szCs w:val="20"/>
          <w:color w:val="auto"/>
        </w:rPr>
      </w:pPr>
      <w:r>
        <w:rPr>
          <w:rFonts w:ascii="Arial" w:cs="Arial" w:eastAsia="Arial" w:hAnsi="Arial"/>
          <w:sz w:val="16"/>
          <w:szCs w:val="16"/>
          <w:color w:val="auto"/>
        </w:rPr>
        <w:t>Our Senior Secured Notes, as defined in Note 8 in the Notes to Consolidated Financial Statements included in Item 1 of Part I of this Quarterly Report on Form 10-Q, contain occurrence based restrictions that may limit our ability to make distributions or payments with respect to purchases of our common stock without consent of the lenders, except for limited purchases of our common stock from employees, in the event of a significant reduction in our EBITDA or in the event of a significant borrowing on our ABL Credit Facility.</w:t>
      </w:r>
    </w:p>
    <w:p>
      <w:pPr>
        <w:spacing w:after="0" w:line="192"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Item 5. Other Information</w:t>
      </w:r>
    </w:p>
    <w:p>
      <w:pPr>
        <w:spacing w:after="0" w:line="129" w:lineRule="exact"/>
        <w:rPr>
          <w:sz w:val="20"/>
          <w:szCs w:val="20"/>
          <w:color w:val="auto"/>
        </w:rPr>
      </w:pPr>
    </w:p>
    <w:p>
      <w:pPr>
        <w:ind w:left="7"/>
        <w:spacing w:after="0"/>
        <w:rPr>
          <w:sz w:val="20"/>
          <w:szCs w:val="20"/>
          <w:color w:val="auto"/>
        </w:rPr>
      </w:pPr>
      <w:r>
        <w:rPr>
          <w:rFonts w:ascii="Arial" w:cs="Arial" w:eastAsia="Arial" w:hAnsi="Arial"/>
          <w:sz w:val="16"/>
          <w:szCs w:val="16"/>
          <w:color w:val="auto"/>
        </w:rPr>
        <w:t>During the quarter ended May 30, 2026, no director or officer of the Company adopted, modified or terminated a “Rule 10b5-1 trading arrangement” or “non-</w:t>
      </w:r>
    </w:p>
    <w:p>
      <w:pPr>
        <w:spacing w:after="0" w:line="25" w:lineRule="exact"/>
        <w:rPr>
          <w:sz w:val="20"/>
          <w:szCs w:val="20"/>
          <w:color w:val="auto"/>
        </w:rPr>
      </w:pPr>
    </w:p>
    <w:p>
      <w:pPr>
        <w:ind w:left="7"/>
        <w:spacing w:after="0"/>
        <w:rPr>
          <w:sz w:val="20"/>
          <w:szCs w:val="20"/>
          <w:color w:val="auto"/>
        </w:rPr>
      </w:pPr>
      <w:r>
        <w:rPr>
          <w:rFonts w:ascii="Arial" w:cs="Arial" w:eastAsia="Arial" w:hAnsi="Arial"/>
          <w:sz w:val="16"/>
          <w:szCs w:val="16"/>
          <w:color w:val="auto"/>
        </w:rPr>
        <w:t>Rule 10b5-1 trading arrangement,” as each term is defined in Item 408(a) of Regulation S-K, except as set forth below:</w:t>
      </w:r>
    </w:p>
    <w:p>
      <w:pPr>
        <w:spacing w:after="0" w:line="93" w:lineRule="exact"/>
        <w:rPr>
          <w:sz w:val="20"/>
          <w:szCs w:val="20"/>
          <w:color w:val="auto"/>
        </w:rPr>
      </w:pPr>
    </w:p>
    <w:p>
      <w:pPr>
        <w:ind w:left="7" w:right="100"/>
        <w:spacing w:after="0" w:line="309" w:lineRule="auto"/>
        <w:rPr>
          <w:sz w:val="20"/>
          <w:szCs w:val="20"/>
          <w:color w:val="auto"/>
        </w:rPr>
      </w:pPr>
      <w:r>
        <w:rPr>
          <w:rFonts w:ascii="Arial" w:cs="Arial" w:eastAsia="Arial" w:hAnsi="Arial"/>
          <w:sz w:val="16"/>
          <w:szCs w:val="16"/>
          <w:color w:val="auto"/>
        </w:rPr>
        <w:t>On April 1, 2026, William Fisher, a director of the Company, adopted a Rule 10b5-1 trading arrangement for the sale of up to 8,458 shares of the Company's common stock through December 16, 2026.</w:t>
      </w:r>
    </w:p>
    <w:p>
      <w:pPr>
        <w:spacing w:after="0" w:line="12" w:lineRule="exact"/>
        <w:rPr>
          <w:sz w:val="20"/>
          <w:szCs w:val="20"/>
          <w:color w:val="auto"/>
        </w:rPr>
      </w:pPr>
    </w:p>
    <w:p>
      <w:pPr>
        <w:ind w:left="7"/>
        <w:spacing w:after="0" w:line="245" w:lineRule="auto"/>
        <w:rPr>
          <w:sz w:val="20"/>
          <w:szCs w:val="20"/>
          <w:color w:val="auto"/>
        </w:rPr>
      </w:pPr>
      <w:r>
        <w:rPr>
          <w:rFonts w:ascii="Arial" w:cs="Arial" w:eastAsia="Arial" w:hAnsi="Arial"/>
          <w:sz w:val="16"/>
          <w:szCs w:val="16"/>
          <w:color w:val="auto"/>
        </w:rPr>
        <w:t>On May 14, 2026, Michael Happe, President and CEO of the Company, adopted a Rule 10b5-1 trading arrangement for (i) the exercise of 13,300 stock options and the sale of such number of shares of the Company's common stock acquired upon exercise as may be necessary to generate proceeds sufficient to cover the exercise price and tax withholding obligations for such exercise, through October 11, 2026, which is the expiration date of the options, and (ii) the exercise of 17,000 stock options expiring December 13, 2026 and the sale of such number of shares of the Company's common stock acquired upon exercise as may be necessary to generate proceeds sufficient to cover the exercise price and tax withholding obligations for such exercise, through December 13, 2026, which is the expiration date of the options.</w:t>
      </w:r>
    </w:p>
    <w:p>
      <w:pPr>
        <w:spacing w:after="0" w:line="210" w:lineRule="exact"/>
        <w:rPr>
          <w:sz w:val="20"/>
          <w:szCs w:val="20"/>
          <w:color w:val="auto"/>
        </w:rPr>
      </w:pPr>
    </w:p>
    <w:p>
      <w:pPr>
        <w:ind w:left="7"/>
        <w:spacing w:after="0" w:line="249" w:lineRule="auto"/>
        <w:rPr>
          <w:sz w:val="20"/>
          <w:szCs w:val="20"/>
          <w:color w:val="auto"/>
        </w:rPr>
      </w:pPr>
      <w:r>
        <w:rPr>
          <w:rFonts w:ascii="Arial" w:cs="Arial" w:eastAsia="Arial" w:hAnsi="Arial"/>
          <w:sz w:val="16"/>
          <w:szCs w:val="16"/>
          <w:color w:val="auto"/>
        </w:rPr>
        <w:t>On May 14, 2026, Bret Woodson, Chief Human Resources Officer, Chief of Staff &amp; Corporate Administration of the Company, adopted a Rule 10b5-1 trading arrangement for the exercise of 4,000 stock options and the sale of such number of shares of the Company's common stock acquired upon exercise as may be necessary to generate proceeds sufficient to cover the exercise price and tax withholding obligations for such exercise, through October 11, 2026, which is the expiration date of the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79375</wp:posOffset>
            </wp:positionV>
            <wp:extent cx="71831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16" w:right="318" w:bottom="1440" w:gutter="0" w:footer="0" w:header="0"/>
        </w:sectPr>
      </w:pPr>
    </w:p>
    <w:bookmarkStart w:id="34" w:name="page35"/>
    <w:bookmarkEnd w:id="34"/>
    <w:p>
      <w:pPr>
        <w:ind w:left="120"/>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spacing w:after="0"/>
        <w:tabs>
          <w:tab w:leader="none" w:pos="780" w:val="left"/>
        </w:tabs>
        <w:rPr>
          <w:sz w:val="20"/>
          <w:szCs w:val="20"/>
          <w:color w:val="auto"/>
        </w:rPr>
      </w:pPr>
      <w:r>
        <w:rPr>
          <w:rFonts w:ascii="Arial" w:cs="Arial" w:eastAsia="Arial" w:hAnsi="Arial"/>
          <w:sz w:val="16"/>
          <w:szCs w:val="16"/>
          <w:b w:val="1"/>
          <w:bCs w:val="1"/>
          <w:color w:val="auto"/>
        </w:rPr>
        <w:t>Item 6.</w:t>
        <w:tab/>
        <w:t>Exhibits</w:t>
      </w:r>
    </w:p>
    <w:p>
      <w:pPr>
        <w:sectPr>
          <w:pgSz w:w="11920" w:h="16838" w:orient="portrait"/>
          <w:cols w:equalWidth="0" w:num="1">
            <w:col w:w="10360"/>
          </w:cols>
          <w:pgMar w:left="220" w:top="116" w:right="1338" w:bottom="1440" w:gutter="0" w:footer="0" w:header="0"/>
        </w:sectPr>
      </w:pPr>
    </w:p>
    <w:p>
      <w:pPr>
        <w:spacing w:after="0" w:line="291" w:lineRule="exact"/>
        <w:rPr>
          <w:sz w:val="20"/>
          <w:szCs w:val="20"/>
          <w:color w:val="auto"/>
        </w:rPr>
      </w:pPr>
    </w:p>
    <w:p>
      <w:pPr>
        <w:spacing w:after="0"/>
        <w:rPr>
          <w:rFonts w:ascii="Arial" w:cs="Arial" w:eastAsia="Arial" w:hAnsi="Arial"/>
          <w:sz w:val="16"/>
          <w:szCs w:val="16"/>
          <w:u w:val="single" w:color="auto"/>
          <w:color w:val="0000FF"/>
        </w:rPr>
      </w:pPr>
      <w:hyperlink r:id="rId46">
        <w:r>
          <w:rPr>
            <w:rFonts w:ascii="Arial" w:cs="Arial" w:eastAsia="Arial" w:hAnsi="Arial"/>
            <w:sz w:val="16"/>
            <w:szCs w:val="16"/>
            <w:u w:val="single" w:color="auto"/>
            <w:color w:val="0000FF"/>
          </w:rPr>
          <w:t>3.1</w:t>
        </w:r>
      </w:hyperlink>
    </w:p>
    <w:p>
      <w:pPr>
        <w:spacing w:after="0" w:line="113" w:lineRule="exact"/>
        <w:rPr>
          <w:sz w:val="20"/>
          <w:szCs w:val="20"/>
          <w:color w:val="auto"/>
        </w:rPr>
      </w:pPr>
    </w:p>
    <w:p>
      <w:pPr>
        <w:spacing w:after="0"/>
        <w:rPr>
          <w:rFonts w:ascii="Arial" w:cs="Arial" w:eastAsia="Arial" w:hAnsi="Arial"/>
          <w:sz w:val="16"/>
          <w:szCs w:val="16"/>
          <w:u w:val="single" w:color="auto"/>
          <w:color w:val="0000FF"/>
        </w:rPr>
      </w:pPr>
      <w:hyperlink r:id="rId47">
        <w:r>
          <w:rPr>
            <w:rFonts w:ascii="Arial" w:cs="Arial" w:eastAsia="Arial" w:hAnsi="Arial"/>
            <w:sz w:val="16"/>
            <w:szCs w:val="16"/>
            <w:u w:val="single" w:color="auto"/>
            <w:color w:val="0000FF"/>
          </w:rPr>
          <w:t>3.2</w:t>
        </w:r>
      </w:hyperlink>
    </w:p>
    <w:p>
      <w:pPr>
        <w:spacing w:after="0" w:line="194" w:lineRule="exact"/>
        <w:rPr>
          <w:sz w:val="20"/>
          <w:szCs w:val="20"/>
          <w:color w:val="auto"/>
        </w:rPr>
      </w:pPr>
    </w:p>
    <w:p>
      <w:pPr>
        <w:ind w:left="20"/>
        <w:spacing w:after="0"/>
        <w:rPr>
          <w:sz w:val="20"/>
          <w:szCs w:val="20"/>
          <w:color w:val="auto"/>
        </w:rPr>
      </w:pPr>
      <w:r>
        <w:rPr>
          <w:rFonts w:ascii="Arial" w:cs="Arial" w:eastAsia="Arial" w:hAnsi="Arial"/>
          <w:sz w:val="16"/>
          <w:szCs w:val="16"/>
          <w:color w:val="0000FF"/>
        </w:rPr>
        <w:t>1.1</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6"/>
          <w:szCs w:val="16"/>
          <w:color w:val="0000FF"/>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1543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6"/>
          <w:szCs w:val="16"/>
          <w:color w:val="0000FF"/>
        </w:rPr>
        <w:t>2.1</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color w:val="0000FF"/>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1543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1.INS</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5"/>
          <w:szCs w:val="15"/>
          <w:color w:val="auto"/>
        </w:rPr>
        <w:t>.SCH</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.CAL</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1.LAB</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04</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248" w:lineRule="auto"/>
        <w:rPr>
          <w:rFonts w:ascii="Arial" w:cs="Arial" w:eastAsia="Arial" w:hAnsi="Arial"/>
          <w:sz w:val="16"/>
          <w:szCs w:val="16"/>
          <w:u w:val="single" w:color="auto"/>
          <w:color w:val="0000FF"/>
        </w:rPr>
      </w:pPr>
      <w:hyperlink r:id="rId46">
        <w:r>
          <w:rPr>
            <w:rFonts w:ascii="Arial" w:cs="Arial" w:eastAsia="Arial" w:hAnsi="Arial"/>
            <w:sz w:val="16"/>
            <w:szCs w:val="16"/>
            <w:u w:val="single" w:color="auto"/>
            <w:color w:val="0000FF"/>
          </w:rPr>
          <w:t>Articles of Incorporation of Winnebago Industries, Inc., effective January 1, 2022 (incorporated by reference from Exhibit 3.1 to the</w:t>
        </w:r>
      </w:hyperlink>
      <w:r>
        <w:rPr>
          <w:rFonts w:ascii="Arial" w:cs="Arial" w:eastAsia="Arial" w:hAnsi="Arial"/>
          <w:sz w:val="16"/>
          <w:szCs w:val="16"/>
          <w:u w:val="single" w:color="auto"/>
          <w:color w:val="0000FF"/>
        </w:rPr>
        <w:t xml:space="preserve"> </w:t>
      </w:r>
      <w:hyperlink r:id="rId46">
        <w:r>
          <w:rPr>
            <w:rFonts w:ascii="Arial" w:cs="Arial" w:eastAsia="Arial" w:hAnsi="Arial"/>
            <w:sz w:val="16"/>
            <w:szCs w:val="16"/>
            <w:u w:val="single" w:color="auto"/>
            <w:color w:val="0000FF"/>
          </w:rPr>
          <w:t>Registrant’s Current Report on Form 8-K dated January 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-238125</wp:posOffset>
            </wp:positionV>
            <wp:extent cx="6566535" cy="2400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6566535" cy="240030"/>
                    </a:xfrm>
                    <a:prstGeom prst="rect">
                      <a:avLst/>
                    </a:prstGeom>
                    <a:noFill/>
                  </pic:spPr>
                </pic:pic>
              </a:graphicData>
            </a:graphic>
          </wp:anchor>
        </w:drawing>
      </w:r>
    </w:p>
    <w:p>
      <w:pPr>
        <w:ind w:right="280"/>
        <w:spacing w:after="0" w:line="253" w:lineRule="auto"/>
        <w:rPr>
          <w:rFonts w:ascii="Arial" w:cs="Arial" w:eastAsia="Arial" w:hAnsi="Arial"/>
          <w:sz w:val="16"/>
          <w:szCs w:val="16"/>
          <w:u w:val="single" w:color="auto"/>
          <w:color w:val="0000FF"/>
        </w:rPr>
      </w:pPr>
      <w:hyperlink r:id="rId47">
        <w:r>
          <w:rPr>
            <w:rFonts w:ascii="Arial" w:cs="Arial" w:eastAsia="Arial" w:hAnsi="Arial"/>
            <w:sz w:val="16"/>
            <w:szCs w:val="16"/>
            <w:u w:val="single" w:color="auto"/>
            <w:color w:val="0000FF"/>
          </w:rPr>
          <w:t>Bylaws of Winnebago Industries, Inc., effective August 15, 2023 (incorporated by reference from Exhibit 3.2 to the Registrant’s</w:t>
        </w:r>
      </w:hyperlink>
      <w:r>
        <w:rPr>
          <w:rFonts w:ascii="Arial" w:cs="Arial" w:eastAsia="Arial" w:hAnsi="Arial"/>
          <w:sz w:val="16"/>
          <w:szCs w:val="16"/>
          <w:u w:val="single" w:color="auto"/>
          <w:color w:val="0000FF"/>
        </w:rPr>
        <w:t xml:space="preserve"> </w:t>
      </w:r>
      <w:hyperlink r:id="rId47">
        <w:r>
          <w:rPr>
            <w:rFonts w:ascii="Arial" w:cs="Arial" w:eastAsia="Arial" w:hAnsi="Arial"/>
            <w:sz w:val="16"/>
            <w:szCs w:val="16"/>
            <w:u w:val="single" w:color="auto"/>
            <w:color w:val="0000FF"/>
          </w:rPr>
          <w:t>Current Report on Form 8-K dated August 17,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-669290</wp:posOffset>
            </wp:positionH>
            <wp:positionV relativeFrom="paragraph">
              <wp:posOffset>-4445</wp:posOffset>
            </wp:positionV>
            <wp:extent cx="6635115" cy="2400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6635115" cy="240030"/>
                    </a:xfrm>
                    <a:prstGeom prst="rect">
                      <a:avLst/>
                    </a:prstGeom>
                    <a:noFill/>
                  </pic:spPr>
                </pic:pic>
              </a:graphicData>
            </a:graphic>
          </wp:anchor>
        </w:drawing>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Certification by the Chief Executive Officer pursuant to Section 302 of the Sarbanes-Oxley Act of 2002 (filed herewith)</w:t>
      </w:r>
      <w:r>
        <w:rPr>
          <w:rFonts w:ascii="Arial" w:cs="Arial" w:eastAsia="Arial" w:hAnsi="Arial"/>
          <w:sz w:val="16"/>
          <w:szCs w:val="16"/>
          <w:color w:val="000000"/>
        </w:rPr>
        <w: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Certification by the Chief Financial Officer pursuant to Section 302 of the Sarbanes-Oxley Act of 2002 (filed herewith).</w:t>
      </w:r>
    </w:p>
    <w:p>
      <w:pPr>
        <w:spacing w:after="0" w:line="113" w:lineRule="exact"/>
        <w:rPr>
          <w:sz w:val="20"/>
          <w:szCs w:val="20"/>
          <w:color w:val="auto"/>
        </w:rPr>
      </w:pPr>
    </w:p>
    <w:p>
      <w:pPr>
        <w:ind w:right="580"/>
        <w:spacing w:after="0" w:line="248" w:lineRule="auto"/>
        <w:rPr>
          <w:sz w:val="20"/>
          <w:szCs w:val="20"/>
          <w:color w:val="auto"/>
        </w:rPr>
      </w:pPr>
      <w:r>
        <w:rPr>
          <w:rFonts w:ascii="Arial" w:cs="Arial" w:eastAsia="Arial" w:hAnsi="Arial"/>
          <w:sz w:val="16"/>
          <w:szCs w:val="16"/>
          <w:u w:val="single" w:color="auto"/>
          <w:color w:val="0000FF"/>
        </w:rPr>
        <w:t>Certification by the Chief Executive Officer pursuant to 18 U.S.C. Section 1350, as adopted pursuant to Section 906 of the Sarbanes-Oxley Act of 2002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-669290</wp:posOffset>
            </wp:positionH>
            <wp:positionV relativeFrom="paragraph">
              <wp:posOffset>-238125</wp:posOffset>
            </wp:positionV>
            <wp:extent cx="6635115" cy="2400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6635115" cy="240030"/>
                    </a:xfrm>
                    <a:prstGeom prst="rect">
                      <a:avLst/>
                    </a:prstGeom>
                    <a:noFill/>
                  </pic:spPr>
                </pic:pic>
              </a:graphicData>
            </a:graphic>
          </wp:anchor>
        </w:drawing>
      </w:r>
    </w:p>
    <w:p>
      <w:pPr>
        <w:ind w:right="640"/>
        <w:spacing w:after="0" w:line="246" w:lineRule="auto"/>
        <w:rPr>
          <w:sz w:val="20"/>
          <w:szCs w:val="20"/>
          <w:color w:val="auto"/>
        </w:rPr>
      </w:pPr>
      <w:r>
        <w:rPr>
          <w:rFonts w:ascii="Arial" w:cs="Arial" w:eastAsia="Arial" w:hAnsi="Arial"/>
          <w:sz w:val="16"/>
          <w:szCs w:val="16"/>
          <w:u w:val="single" w:color="auto"/>
          <w:color w:val="0000FF"/>
        </w:rPr>
        <w:t>Certification by the Chief Financial Officer pursuant to 18 U.S.C. Section 1350, as adopted pursuant to Section 906 of the Sarbanes-Oxley Act of 2002 (furnished herewith).</w:t>
      </w:r>
    </w:p>
    <w:p>
      <w:pPr>
        <w:spacing w:after="0" w:line="1" w:lineRule="exact"/>
        <w:rPr>
          <w:sz w:val="20"/>
          <w:szCs w:val="20"/>
          <w:color w:val="auto"/>
        </w:rPr>
      </w:pPr>
    </w:p>
    <w:p>
      <w:pPr>
        <w:ind w:right="560"/>
        <w:spacing w:after="0" w:line="246" w:lineRule="auto"/>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 within the Inline XBRL document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-237490</wp:posOffset>
            </wp:positionV>
            <wp:extent cx="6566535" cy="2400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6566535" cy="2400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Inline XBRL Taxonomy Extension Schema Document (furnished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Calculation Linkbase Document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-114935</wp:posOffset>
            </wp:positionV>
            <wp:extent cx="6566535"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6566535"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Definition Linkbase Document (furnished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Label Linkbase Document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-114935</wp:posOffset>
            </wp:positionV>
            <wp:extent cx="6566535"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6566535"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Presentation Linkbase Document (furnished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Cover Page Interactive Data File (formatted in Inline XBRL and contained in Exhibit 101)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-114935</wp:posOffset>
            </wp:positionV>
            <wp:extent cx="6566535" cy="2400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6566535" cy="240030"/>
                    </a:xfrm>
                    <a:prstGeom prst="rect">
                      <a:avLst/>
                    </a:prstGeom>
                    <a:noFill/>
                  </pic:spPr>
                </pic:pic>
              </a:graphicData>
            </a:graphic>
          </wp:anchor>
        </w:drawing>
      </w:r>
    </w:p>
    <w:p>
      <w:pPr>
        <w:spacing w:after="0" w:line="200" w:lineRule="exact"/>
        <w:rPr>
          <w:sz w:val="20"/>
          <w:szCs w:val="20"/>
          <w:color w:val="auto"/>
        </w:rPr>
      </w:pPr>
    </w:p>
    <w:p>
      <w:pPr>
        <w:sectPr>
          <w:pgSz w:w="11920" w:h="16838" w:orient="portrait"/>
          <w:cols w:equalWidth="0" w:num="2">
            <w:col w:w="420" w:space="640"/>
            <w:col w:w="9300"/>
          </w:cols>
          <w:pgMar w:left="220" w:top="116" w:right="1338" w:bottom="1440" w:gutter="0" w:footer="0" w:header="0"/>
          <w:type w:val="continuous"/>
        </w:sectPr>
      </w:pPr>
    </w:p>
    <w:p>
      <w:pPr>
        <w:spacing w:after="0" w:line="23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Management contract or compensation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ind w:right="452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70485</wp:posOffset>
            </wp:positionV>
            <wp:extent cx="71831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360"/>
          </w:cols>
          <w:pgMar w:left="220" w:top="116" w:right="1338"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69"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5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7440" w:type="dxa"/>
            <w:vAlign w:val="bottom"/>
            <w:gridSpan w:val="2"/>
          </w:tcPr>
          <w:p>
            <w:pPr>
              <w:ind w:left="1740"/>
              <w:spacing w:after="0"/>
              <w:rPr>
                <w:sz w:val="20"/>
                <w:szCs w:val="20"/>
                <w:color w:val="auto"/>
              </w:rPr>
            </w:pPr>
            <w:r>
              <w:rPr>
                <w:rFonts w:ascii="Arial" w:cs="Arial" w:eastAsia="Arial" w:hAnsi="Arial"/>
                <w:sz w:val="16"/>
                <w:szCs w:val="16"/>
                <w:color w:val="auto"/>
              </w:rPr>
              <w:t>WINNEBAGO INDUSTRIES, INC.</w:t>
            </w:r>
          </w:p>
        </w:tc>
      </w:tr>
      <w:tr>
        <w:trPr>
          <w:trHeight w:val="434"/>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2960" w:type="dxa"/>
            <w:vAlign w:val="bottom"/>
          </w:tcPr>
          <w:p>
            <w:pPr>
              <w:ind w:left="160"/>
              <w:spacing w:after="0"/>
              <w:rPr>
                <w:sz w:val="20"/>
                <w:szCs w:val="20"/>
                <w:color w:val="auto"/>
              </w:rPr>
            </w:pPr>
            <w:r>
              <w:rPr>
                <w:rFonts w:ascii="Arial" w:cs="Arial" w:eastAsia="Arial" w:hAnsi="Arial"/>
                <w:sz w:val="16"/>
                <w:szCs w:val="16"/>
                <w:color w:val="auto"/>
              </w:rPr>
              <w:t>June 25, 2026</w:t>
            </w:r>
          </w:p>
        </w:tc>
        <w:tc>
          <w:tcPr>
            <w:tcW w:w="7440" w:type="dxa"/>
            <w:vAlign w:val="bottom"/>
            <w:gridSpan w:val="2"/>
          </w:tcPr>
          <w:p>
            <w:pPr>
              <w:ind w:left="174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Michael J. Happe</w:t>
            </w:r>
          </w:p>
        </w:tc>
      </w:tr>
      <w:tr>
        <w:trPr>
          <w:trHeight w:val="262"/>
        </w:trPr>
        <w:tc>
          <w:tcPr>
            <w:tcW w:w="54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52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Michael J. Happe</w:t>
            </w:r>
          </w:p>
        </w:tc>
      </w:tr>
      <w:tr>
        <w:trPr>
          <w:trHeight w:val="281"/>
        </w:trPr>
        <w:tc>
          <w:tcPr>
            <w:tcW w:w="5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Chief Executive Officer, President</w:t>
            </w:r>
          </w:p>
        </w:tc>
      </w:tr>
      <w:tr>
        <w:trPr>
          <w:trHeight w:val="219"/>
        </w:trPr>
        <w:tc>
          <w:tcPr>
            <w:tcW w:w="5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(Principal Executive Officer)</w:t>
            </w:r>
          </w:p>
        </w:tc>
      </w:tr>
      <w:tr>
        <w:trPr>
          <w:trHeight w:val="434"/>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2960" w:type="dxa"/>
            <w:vAlign w:val="bottom"/>
          </w:tcPr>
          <w:p>
            <w:pPr>
              <w:ind w:left="160"/>
              <w:spacing w:after="0"/>
              <w:rPr>
                <w:sz w:val="20"/>
                <w:szCs w:val="20"/>
                <w:color w:val="auto"/>
              </w:rPr>
            </w:pPr>
            <w:r>
              <w:rPr>
                <w:rFonts w:ascii="Arial" w:cs="Arial" w:eastAsia="Arial" w:hAnsi="Arial"/>
                <w:sz w:val="16"/>
                <w:szCs w:val="16"/>
                <w:color w:val="auto"/>
              </w:rPr>
              <w:t>June 25, 2026</w:t>
            </w:r>
          </w:p>
        </w:tc>
        <w:tc>
          <w:tcPr>
            <w:tcW w:w="7440" w:type="dxa"/>
            <w:vAlign w:val="bottom"/>
            <w:gridSpan w:val="2"/>
          </w:tcPr>
          <w:p>
            <w:pPr>
              <w:ind w:left="174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Bryan L. Hughes</w:t>
            </w:r>
          </w:p>
        </w:tc>
      </w:tr>
      <w:tr>
        <w:trPr>
          <w:trHeight w:val="205"/>
        </w:trPr>
        <w:tc>
          <w:tcPr>
            <w:tcW w:w="5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52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Bryan L. Hughes</w:t>
            </w:r>
          </w:p>
        </w:tc>
      </w:tr>
      <w:tr>
        <w:trPr>
          <w:trHeight w:val="216"/>
        </w:trPr>
        <w:tc>
          <w:tcPr>
            <w:tcW w:w="5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Chief Financial Officer and Senior Vice President</w:t>
            </w:r>
          </w:p>
        </w:tc>
      </w:tr>
      <w:tr>
        <w:trPr>
          <w:trHeight w:val="219"/>
        </w:trPr>
        <w:tc>
          <w:tcPr>
            <w:tcW w:w="5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20" w:h="16838" w:orient="portrait"/>
          <w:cols w:equalWidth="0" w:num="1">
            <w:col w:w="11240"/>
          </w:cols>
          <w:pgMar w:left="340" w:top="116" w:right="338" w:bottom="1440" w:gutter="0" w:footer="0" w:header="0"/>
        </w:sectPr>
      </w:pPr>
    </w:p>
    <w:bookmarkStart w:id="36" w:name="page37"/>
    <w:bookmarkEnd w:id="36"/>
    <w:p>
      <w:pPr>
        <w:jc w:val="right"/>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ind w:left="3787"/>
        <w:spacing w:after="0"/>
        <w:rPr>
          <w:sz w:val="20"/>
          <w:szCs w:val="20"/>
          <w:color w:val="auto"/>
        </w:rPr>
      </w:pPr>
      <w:r>
        <w:rPr>
          <w:rFonts w:ascii="Arial" w:cs="Arial" w:eastAsia="Arial" w:hAnsi="Arial"/>
          <w:sz w:val="16"/>
          <w:szCs w:val="16"/>
          <w:b w:val="1"/>
          <w:bCs w:val="1"/>
          <w:color w:val="auto"/>
        </w:rPr>
        <w:t>CERTIFICATION BY CHIEF EXECUTIVE OFFICER</w:t>
      </w:r>
    </w:p>
    <w:p>
      <w:pPr>
        <w:spacing w:after="0" w:line="41" w:lineRule="exact"/>
        <w:rPr>
          <w:sz w:val="20"/>
          <w:szCs w:val="20"/>
          <w:color w:val="auto"/>
        </w:rPr>
      </w:pPr>
    </w:p>
    <w:p>
      <w:pPr>
        <w:ind w:left="3967"/>
        <w:spacing w:after="0"/>
        <w:rPr>
          <w:sz w:val="20"/>
          <w:szCs w:val="20"/>
          <w:color w:val="auto"/>
        </w:rPr>
      </w:pPr>
      <w:r>
        <w:rPr>
          <w:rFonts w:ascii="Arial" w:cs="Arial" w:eastAsia="Arial" w:hAnsi="Arial"/>
          <w:sz w:val="16"/>
          <w:szCs w:val="16"/>
          <w:b w:val="1"/>
          <w:bCs w:val="1"/>
          <w:color w:val="auto"/>
        </w:rPr>
        <w:t>AS ADOPTED PURSUANT TO SECTION 302</w:t>
      </w:r>
    </w:p>
    <w:p>
      <w:pPr>
        <w:spacing w:after="0" w:line="5"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OF THE SARBANES-OXLEY ACT OF 2002</w:t>
      </w:r>
    </w:p>
    <w:p>
      <w:pPr>
        <w:spacing w:after="0" w:line="242" w:lineRule="exact"/>
        <w:rPr>
          <w:sz w:val="20"/>
          <w:szCs w:val="20"/>
          <w:color w:val="auto"/>
        </w:rPr>
      </w:pPr>
    </w:p>
    <w:p>
      <w:pPr>
        <w:ind w:left="7"/>
        <w:spacing w:after="0"/>
        <w:rPr>
          <w:sz w:val="20"/>
          <w:szCs w:val="20"/>
          <w:color w:val="auto"/>
        </w:rPr>
      </w:pPr>
      <w:r>
        <w:rPr>
          <w:rFonts w:ascii="Arial" w:cs="Arial" w:eastAsia="Arial" w:hAnsi="Arial"/>
          <w:sz w:val="16"/>
          <w:szCs w:val="16"/>
          <w:color w:val="auto"/>
        </w:rPr>
        <w:t>I, Michael J. Happe, Chief Executive Officer of Winnebago Industries, Inc., certify that:</w:t>
      </w:r>
    </w:p>
    <w:p>
      <w:pPr>
        <w:spacing w:after="0" w:line="248" w:lineRule="exact"/>
        <w:rPr>
          <w:sz w:val="20"/>
          <w:szCs w:val="20"/>
          <w:color w:val="auto"/>
        </w:rPr>
      </w:pPr>
    </w:p>
    <w:p>
      <w:pPr>
        <w:ind w:left="327" w:hanging="327"/>
        <w:spacing w:after="0"/>
        <w:tabs>
          <w:tab w:leader="none" w:pos="327" w:val="left"/>
        </w:tabs>
        <w:numPr>
          <w:ilvl w:val="0"/>
          <w:numId w:val="2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248" w:lineRule="exact"/>
        <w:rPr>
          <w:rFonts w:ascii="Arial" w:cs="Arial" w:eastAsia="Arial" w:hAnsi="Arial"/>
          <w:sz w:val="16"/>
          <w:szCs w:val="16"/>
          <w:color w:val="auto"/>
        </w:rPr>
      </w:pPr>
    </w:p>
    <w:p>
      <w:pPr>
        <w:jc w:val="both"/>
        <w:ind w:left="327" w:right="480" w:hanging="327"/>
        <w:spacing w:after="0" w:line="277" w:lineRule="auto"/>
        <w:tabs>
          <w:tab w:leader="none" w:pos="327"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16"/>
          <w:szCs w:val="16"/>
          <w:color w:val="auto"/>
        </w:rPr>
      </w:pPr>
    </w:p>
    <w:p>
      <w:pPr>
        <w:ind w:left="327" w:right="40" w:hanging="327"/>
        <w:spacing w:after="0" w:line="291" w:lineRule="auto"/>
        <w:tabs>
          <w:tab w:leader="none" w:pos="327"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6"/>
          <w:szCs w:val="16"/>
          <w:color w:val="auto"/>
        </w:rPr>
      </w:pPr>
    </w:p>
    <w:p>
      <w:pPr>
        <w:ind w:left="327" w:hanging="327"/>
        <w:spacing w:after="0" w:line="277" w:lineRule="auto"/>
        <w:tabs>
          <w:tab w:leader="none" w:pos="327"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16"/>
          <w:szCs w:val="16"/>
          <w:color w:val="auto"/>
        </w:rPr>
      </w:pPr>
    </w:p>
    <w:p>
      <w:pPr>
        <w:ind w:left="647" w:right="340" w:hanging="323"/>
        <w:spacing w:after="0" w:line="277" w:lineRule="auto"/>
        <w:tabs>
          <w:tab w:leader="none" w:pos="647"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6"/>
          <w:szCs w:val="16"/>
          <w:color w:val="auto"/>
        </w:rPr>
      </w:pPr>
    </w:p>
    <w:p>
      <w:pPr>
        <w:ind w:left="647" w:right="40" w:hanging="323"/>
        <w:spacing w:after="0" w:line="277" w:lineRule="auto"/>
        <w:tabs>
          <w:tab w:leader="none" w:pos="647"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6"/>
          <w:szCs w:val="16"/>
          <w:color w:val="auto"/>
        </w:rPr>
      </w:pPr>
    </w:p>
    <w:p>
      <w:pPr>
        <w:jc w:val="both"/>
        <w:ind w:left="647" w:right="840" w:hanging="323"/>
        <w:spacing w:after="0" w:line="309" w:lineRule="auto"/>
        <w:tabs>
          <w:tab w:leader="none" w:pos="647"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Arial" w:cs="Arial" w:eastAsia="Arial" w:hAnsi="Arial"/>
          <w:sz w:val="16"/>
          <w:szCs w:val="16"/>
          <w:color w:val="auto"/>
        </w:rPr>
      </w:pPr>
    </w:p>
    <w:p>
      <w:pPr>
        <w:ind w:left="647" w:right="40" w:hanging="323"/>
        <w:spacing w:after="0" w:line="277" w:lineRule="auto"/>
        <w:tabs>
          <w:tab w:leader="none" w:pos="647"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6"/>
          <w:szCs w:val="16"/>
          <w:color w:val="auto"/>
        </w:rPr>
      </w:pPr>
    </w:p>
    <w:p>
      <w:pPr>
        <w:ind w:left="327" w:right="480" w:hanging="327"/>
        <w:spacing w:after="0" w:line="309" w:lineRule="auto"/>
        <w:tabs>
          <w:tab w:leader="none" w:pos="327"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0" w:lineRule="exact"/>
        <w:rPr>
          <w:rFonts w:ascii="Arial" w:cs="Arial" w:eastAsia="Arial" w:hAnsi="Arial"/>
          <w:sz w:val="16"/>
          <w:szCs w:val="16"/>
          <w:color w:val="auto"/>
        </w:rPr>
      </w:pPr>
    </w:p>
    <w:p>
      <w:pPr>
        <w:ind w:left="647" w:right="100" w:hanging="323"/>
        <w:spacing w:after="0" w:line="291" w:lineRule="auto"/>
        <w:tabs>
          <w:tab w:leader="none" w:pos="647"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Arial" w:cs="Arial" w:eastAsia="Arial" w:hAnsi="Arial"/>
          <w:sz w:val="16"/>
          <w:szCs w:val="16"/>
          <w:color w:val="auto"/>
        </w:rPr>
      </w:pPr>
    </w:p>
    <w:p>
      <w:pPr>
        <w:ind w:left="647" w:right="20" w:hanging="323"/>
        <w:spacing w:after="0" w:line="291" w:lineRule="auto"/>
        <w:tabs>
          <w:tab w:leader="none" w:pos="647" w:val="left"/>
        </w:tabs>
        <w:numPr>
          <w:ilvl w:val="1"/>
          <w:numId w:val="2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667"/>
        <w:spacing w:after="0"/>
        <w:tabs>
          <w:tab w:leader="none" w:pos="1587" w:val="left"/>
          <w:tab w:leader="none" w:pos="6467"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25, 2026</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4097655</wp:posOffset>
            </wp:positionH>
            <wp:positionV relativeFrom="paragraph">
              <wp:posOffset>23495</wp:posOffset>
            </wp:positionV>
            <wp:extent cx="25457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80" w:lineRule="exact"/>
        <w:rPr>
          <w:sz w:val="20"/>
          <w:szCs w:val="20"/>
          <w:color w:val="auto"/>
        </w:rPr>
      </w:pPr>
    </w:p>
    <w:p>
      <w:pPr>
        <w:ind w:left="6487"/>
        <w:spacing w:after="0"/>
        <w:rPr>
          <w:sz w:val="20"/>
          <w:szCs w:val="20"/>
          <w:color w:val="auto"/>
        </w:rPr>
      </w:pPr>
      <w:r>
        <w:rPr>
          <w:rFonts w:ascii="Arial" w:cs="Arial" w:eastAsia="Arial" w:hAnsi="Arial"/>
          <w:sz w:val="16"/>
          <w:szCs w:val="16"/>
          <w:color w:val="auto"/>
        </w:rPr>
        <w:t>Michael J. Happe</w:t>
      </w:r>
    </w:p>
    <w:p>
      <w:pPr>
        <w:spacing w:after="0" w:line="86" w:lineRule="exact"/>
        <w:rPr>
          <w:sz w:val="20"/>
          <w:szCs w:val="20"/>
          <w:color w:val="auto"/>
        </w:rPr>
      </w:pPr>
    </w:p>
    <w:p>
      <w:pPr>
        <w:ind w:left="6487"/>
        <w:spacing w:after="0"/>
        <w:rPr>
          <w:sz w:val="20"/>
          <w:szCs w:val="20"/>
          <w:color w:val="auto"/>
        </w:rPr>
      </w:pPr>
      <w:r>
        <w:rPr>
          <w:rFonts w:ascii="Arial" w:cs="Arial" w:eastAsia="Arial" w:hAnsi="Arial"/>
          <w:sz w:val="16"/>
          <w:szCs w:val="16"/>
          <w:color w:val="auto"/>
        </w:rPr>
        <w:t>Chief Executive Officer, President</w:t>
      </w:r>
    </w:p>
    <w:p>
      <w:pPr>
        <w:sectPr>
          <w:pgSz w:w="11920" w:h="16838" w:orient="portrait"/>
          <w:cols w:equalWidth="0" w:num="1">
            <w:col w:w="11267"/>
          </w:cols>
          <w:pgMar w:left="333" w:top="884" w:right="318" w:bottom="1440" w:gutter="0" w:footer="0" w:header="0"/>
        </w:sectPr>
      </w:pPr>
    </w:p>
    <w:bookmarkStart w:id="37" w:name="page38"/>
    <w:bookmarkEnd w:id="37"/>
    <w:p>
      <w:pPr>
        <w:jc w:val="right"/>
        <w:spacing w:after="0"/>
        <w:rPr>
          <w:sz w:val="20"/>
          <w:szCs w:val="20"/>
          <w:color w:val="auto"/>
        </w:rPr>
      </w:pPr>
      <w:r>
        <w:rPr>
          <w:rFonts w:ascii="Arial" w:cs="Arial" w:eastAsia="Arial" w:hAnsi="Arial"/>
          <w:sz w:val="16"/>
          <w:szCs w:val="16"/>
          <w:b w:val="1"/>
          <w:bCs w:val="1"/>
          <w:color w:val="auto"/>
        </w:rPr>
        <w:t>Exhibit 31.2</w:t>
      </w:r>
    </w:p>
    <w:p>
      <w:pPr>
        <w:spacing w:after="0" w:line="27" w:lineRule="exact"/>
        <w:rPr>
          <w:sz w:val="20"/>
          <w:szCs w:val="20"/>
          <w:color w:val="auto"/>
        </w:rPr>
      </w:pPr>
    </w:p>
    <w:p>
      <w:pPr>
        <w:ind w:left="3787"/>
        <w:spacing w:after="0"/>
        <w:rPr>
          <w:sz w:val="20"/>
          <w:szCs w:val="20"/>
          <w:color w:val="auto"/>
        </w:rPr>
      </w:pPr>
      <w:r>
        <w:rPr>
          <w:rFonts w:ascii="Arial" w:cs="Arial" w:eastAsia="Arial" w:hAnsi="Arial"/>
          <w:sz w:val="16"/>
          <w:szCs w:val="16"/>
          <w:b w:val="1"/>
          <w:bCs w:val="1"/>
          <w:color w:val="auto"/>
        </w:rPr>
        <w:t>CERTIFICATION BY CHIEF FINANCIAL OFFICER</w:t>
      </w:r>
    </w:p>
    <w:p>
      <w:pPr>
        <w:spacing w:after="0" w:line="19" w:lineRule="exact"/>
        <w:rPr>
          <w:sz w:val="20"/>
          <w:szCs w:val="20"/>
          <w:color w:val="auto"/>
        </w:rPr>
      </w:pPr>
    </w:p>
    <w:p>
      <w:pPr>
        <w:ind w:left="3967"/>
        <w:spacing w:after="0"/>
        <w:rPr>
          <w:sz w:val="20"/>
          <w:szCs w:val="20"/>
          <w:color w:val="auto"/>
        </w:rPr>
      </w:pPr>
      <w:r>
        <w:rPr>
          <w:rFonts w:ascii="Arial" w:cs="Arial" w:eastAsia="Arial" w:hAnsi="Arial"/>
          <w:sz w:val="16"/>
          <w:szCs w:val="16"/>
          <w:b w:val="1"/>
          <w:bCs w:val="1"/>
          <w:color w:val="auto"/>
        </w:rPr>
        <w:t>AS ADOPTED PURSUANT TO SECTION 302</w:t>
      </w:r>
    </w:p>
    <w:p>
      <w:pPr>
        <w:spacing w:after="0" w:line="5" w:lineRule="exact"/>
        <w:rPr>
          <w:sz w:val="20"/>
          <w:szCs w:val="20"/>
          <w:color w:val="auto"/>
        </w:rPr>
      </w:pPr>
    </w:p>
    <w:p>
      <w:pPr>
        <w:ind w:left="4047"/>
        <w:spacing w:after="0"/>
        <w:rPr>
          <w:sz w:val="20"/>
          <w:szCs w:val="20"/>
          <w:color w:val="auto"/>
        </w:rPr>
      </w:pPr>
      <w:r>
        <w:rPr>
          <w:rFonts w:ascii="Arial" w:cs="Arial" w:eastAsia="Arial" w:hAnsi="Arial"/>
          <w:sz w:val="16"/>
          <w:szCs w:val="16"/>
          <w:b w:val="1"/>
          <w:bCs w:val="1"/>
          <w:color w:val="auto"/>
        </w:rPr>
        <w:t>OF THE SARBANES-OXLEY ACT OF 2002</w:t>
      </w:r>
    </w:p>
    <w:p>
      <w:pPr>
        <w:spacing w:after="0" w:line="19" w:lineRule="exact"/>
        <w:rPr>
          <w:sz w:val="20"/>
          <w:szCs w:val="20"/>
          <w:color w:val="auto"/>
        </w:rPr>
      </w:pPr>
    </w:p>
    <w:p>
      <w:pPr>
        <w:ind w:left="7"/>
        <w:spacing w:after="0"/>
        <w:rPr>
          <w:sz w:val="20"/>
          <w:szCs w:val="20"/>
          <w:color w:val="auto"/>
        </w:rPr>
      </w:pPr>
      <w:r>
        <w:rPr>
          <w:rFonts w:ascii="Arial" w:cs="Arial" w:eastAsia="Arial" w:hAnsi="Arial"/>
          <w:sz w:val="16"/>
          <w:szCs w:val="16"/>
          <w:color w:val="auto"/>
        </w:rPr>
        <w:t>I, Bryan L. Hughes, Chief Financial Officer of Winnebago Industries, Inc., certify that:</w:t>
      </w:r>
    </w:p>
    <w:p>
      <w:pPr>
        <w:spacing w:after="0" w:line="228" w:lineRule="exact"/>
        <w:rPr>
          <w:sz w:val="20"/>
          <w:szCs w:val="20"/>
          <w:color w:val="auto"/>
        </w:rPr>
      </w:pPr>
    </w:p>
    <w:p>
      <w:pPr>
        <w:ind w:left="327" w:hanging="327"/>
        <w:spacing w:after="0"/>
        <w:tabs>
          <w:tab w:leader="none" w:pos="327" w:val="left"/>
        </w:tabs>
        <w:numPr>
          <w:ilvl w:val="0"/>
          <w:numId w:val="2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248" w:lineRule="exact"/>
        <w:rPr>
          <w:rFonts w:ascii="Arial" w:cs="Arial" w:eastAsia="Arial" w:hAnsi="Arial"/>
          <w:sz w:val="16"/>
          <w:szCs w:val="16"/>
          <w:color w:val="auto"/>
        </w:rPr>
      </w:pPr>
    </w:p>
    <w:p>
      <w:pPr>
        <w:jc w:val="both"/>
        <w:ind w:left="327" w:right="480" w:hanging="327"/>
        <w:spacing w:after="0" w:line="277" w:lineRule="auto"/>
        <w:tabs>
          <w:tab w:leader="none" w:pos="327"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16"/>
          <w:szCs w:val="16"/>
          <w:color w:val="auto"/>
        </w:rPr>
      </w:pPr>
    </w:p>
    <w:p>
      <w:pPr>
        <w:ind w:left="327" w:right="40" w:hanging="327"/>
        <w:spacing w:after="0" w:line="291" w:lineRule="auto"/>
        <w:tabs>
          <w:tab w:leader="none" w:pos="327"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6"/>
          <w:szCs w:val="16"/>
          <w:color w:val="auto"/>
        </w:rPr>
      </w:pPr>
    </w:p>
    <w:p>
      <w:pPr>
        <w:ind w:left="327" w:hanging="327"/>
        <w:spacing w:after="0" w:line="277" w:lineRule="auto"/>
        <w:tabs>
          <w:tab w:leader="none" w:pos="327"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16"/>
          <w:szCs w:val="16"/>
          <w:color w:val="auto"/>
        </w:rPr>
      </w:pPr>
    </w:p>
    <w:p>
      <w:pPr>
        <w:ind w:left="647" w:right="340" w:hanging="323"/>
        <w:spacing w:after="0" w:line="277" w:lineRule="auto"/>
        <w:tabs>
          <w:tab w:leader="none" w:pos="647"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6"/>
          <w:szCs w:val="16"/>
          <w:color w:val="auto"/>
        </w:rPr>
      </w:pPr>
    </w:p>
    <w:p>
      <w:pPr>
        <w:ind w:left="647" w:right="40" w:hanging="323"/>
        <w:spacing w:after="0" w:line="277" w:lineRule="auto"/>
        <w:tabs>
          <w:tab w:leader="none" w:pos="647"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6"/>
          <w:szCs w:val="16"/>
          <w:color w:val="auto"/>
        </w:rPr>
      </w:pPr>
    </w:p>
    <w:p>
      <w:pPr>
        <w:jc w:val="both"/>
        <w:ind w:left="647" w:right="840" w:hanging="323"/>
        <w:spacing w:after="0" w:line="309" w:lineRule="auto"/>
        <w:tabs>
          <w:tab w:leader="none" w:pos="647"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Arial" w:cs="Arial" w:eastAsia="Arial" w:hAnsi="Arial"/>
          <w:sz w:val="16"/>
          <w:szCs w:val="16"/>
          <w:color w:val="auto"/>
        </w:rPr>
      </w:pPr>
    </w:p>
    <w:p>
      <w:pPr>
        <w:ind w:left="647" w:right="40" w:hanging="323"/>
        <w:spacing w:after="0" w:line="277" w:lineRule="auto"/>
        <w:tabs>
          <w:tab w:leader="none" w:pos="647" w:val="left"/>
        </w:tabs>
        <w:numPr>
          <w:ilvl w:val="1"/>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6"/>
          <w:szCs w:val="16"/>
          <w:color w:val="auto"/>
        </w:rPr>
      </w:pPr>
    </w:p>
    <w:p>
      <w:pPr>
        <w:ind w:left="327" w:right="480" w:hanging="327"/>
        <w:spacing w:after="0" w:line="309" w:lineRule="auto"/>
        <w:tabs>
          <w:tab w:leader="none" w:pos="327"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0" w:lineRule="exact"/>
        <w:rPr>
          <w:rFonts w:ascii="Arial" w:cs="Arial" w:eastAsia="Arial" w:hAnsi="Arial"/>
          <w:sz w:val="16"/>
          <w:szCs w:val="16"/>
          <w:color w:val="auto"/>
        </w:rPr>
      </w:pPr>
    </w:p>
    <w:p>
      <w:pPr>
        <w:ind w:left="647" w:right="100" w:hanging="323"/>
        <w:spacing w:after="0" w:line="291" w:lineRule="auto"/>
        <w:tabs>
          <w:tab w:leader="none" w:pos="647"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Arial" w:cs="Arial" w:eastAsia="Arial" w:hAnsi="Arial"/>
          <w:sz w:val="16"/>
          <w:szCs w:val="16"/>
          <w:color w:val="auto"/>
        </w:rPr>
      </w:pPr>
    </w:p>
    <w:p>
      <w:pPr>
        <w:ind w:left="647" w:right="20" w:hanging="323"/>
        <w:spacing w:after="0" w:line="291" w:lineRule="auto"/>
        <w:tabs>
          <w:tab w:leader="none" w:pos="647" w:val="left"/>
        </w:tabs>
        <w:numPr>
          <w:ilvl w:val="1"/>
          <w:numId w:val="2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827"/>
        <w:spacing w:after="0"/>
        <w:tabs>
          <w:tab w:leader="none" w:pos="1467" w:val="left"/>
          <w:tab w:leader="none" w:pos="6767"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25, 2026</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4294505</wp:posOffset>
            </wp:positionH>
            <wp:positionV relativeFrom="paragraph">
              <wp:posOffset>23495</wp:posOffset>
            </wp:positionV>
            <wp:extent cx="25031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6" w:lineRule="exact"/>
        <w:rPr>
          <w:sz w:val="20"/>
          <w:szCs w:val="20"/>
          <w:color w:val="auto"/>
        </w:rPr>
      </w:pPr>
    </w:p>
    <w:p>
      <w:pPr>
        <w:ind w:left="6787"/>
        <w:spacing w:after="0"/>
        <w:rPr>
          <w:sz w:val="20"/>
          <w:szCs w:val="20"/>
          <w:color w:val="auto"/>
        </w:rPr>
      </w:pPr>
      <w:r>
        <w:rPr>
          <w:rFonts w:ascii="Arial" w:cs="Arial" w:eastAsia="Arial" w:hAnsi="Arial"/>
          <w:sz w:val="16"/>
          <w:szCs w:val="16"/>
          <w:color w:val="auto"/>
        </w:rPr>
        <w:t>Bryan L. Hughes</w:t>
      </w:r>
    </w:p>
    <w:p>
      <w:pPr>
        <w:spacing w:after="0" w:line="35" w:lineRule="exact"/>
        <w:rPr>
          <w:sz w:val="20"/>
          <w:szCs w:val="20"/>
          <w:color w:val="auto"/>
        </w:rPr>
      </w:pPr>
    </w:p>
    <w:p>
      <w:pPr>
        <w:ind w:left="6787"/>
        <w:spacing w:after="0"/>
        <w:rPr>
          <w:sz w:val="20"/>
          <w:szCs w:val="20"/>
          <w:color w:val="auto"/>
        </w:rPr>
      </w:pPr>
      <w:r>
        <w:rPr>
          <w:rFonts w:ascii="Arial" w:cs="Arial" w:eastAsia="Arial" w:hAnsi="Arial"/>
          <w:sz w:val="16"/>
          <w:szCs w:val="16"/>
          <w:color w:val="auto"/>
        </w:rPr>
        <w:t>Chief Financial Officer and Senior Vice President</w:t>
      </w:r>
    </w:p>
    <w:p>
      <w:pPr>
        <w:spacing w:after="0" w:line="32" w:lineRule="exact"/>
        <w:rPr>
          <w:sz w:val="20"/>
          <w:szCs w:val="20"/>
          <w:color w:val="auto"/>
        </w:rPr>
      </w:pPr>
    </w:p>
    <w:p>
      <w:pPr>
        <w:ind w:left="6787"/>
        <w:spacing w:after="0"/>
        <w:rPr>
          <w:sz w:val="20"/>
          <w:szCs w:val="20"/>
          <w:color w:val="auto"/>
        </w:rPr>
      </w:pPr>
      <w:r>
        <w:rPr>
          <w:rFonts w:ascii="Arial" w:cs="Arial" w:eastAsia="Arial" w:hAnsi="Arial"/>
          <w:sz w:val="16"/>
          <w:szCs w:val="16"/>
          <w:color w:val="auto"/>
        </w:rPr>
        <w:t>(Principal Financial and Accounting Officer)</w:t>
      </w:r>
    </w:p>
    <w:p>
      <w:pPr>
        <w:sectPr>
          <w:pgSz w:w="11920" w:h="16838" w:orient="portrait"/>
          <w:cols w:equalWidth="0" w:num="1">
            <w:col w:w="11267"/>
          </w:cols>
          <w:pgMar w:left="333" w:top="884" w:right="318" w:bottom="1440" w:gutter="0" w:footer="0" w:header="0"/>
        </w:sectPr>
      </w:pPr>
    </w:p>
    <w:bookmarkStart w:id="38" w:name="page39"/>
    <w:bookmarkEnd w:id="38"/>
    <w:p>
      <w:pPr>
        <w:jc w:val="right"/>
        <w:spacing w:after="0"/>
        <w:rPr>
          <w:sz w:val="20"/>
          <w:szCs w:val="20"/>
          <w:color w:val="auto"/>
        </w:rPr>
      </w:pPr>
      <w:r>
        <w:rPr>
          <w:rFonts w:ascii="Arial" w:cs="Arial" w:eastAsia="Arial" w:hAnsi="Arial"/>
          <w:sz w:val="16"/>
          <w:szCs w:val="16"/>
          <w:b w:val="1"/>
          <w:bCs w:val="1"/>
          <w:color w:val="auto"/>
        </w:rPr>
        <w:t>Exhibit 32.1</w:t>
      </w:r>
    </w:p>
    <w:p>
      <w:pPr>
        <w:spacing w:after="0" w:line="208" w:lineRule="exact"/>
        <w:rPr>
          <w:sz w:val="20"/>
          <w:szCs w:val="20"/>
          <w:color w:val="auto"/>
        </w:rPr>
      </w:pPr>
    </w:p>
    <w:p>
      <w:pPr>
        <w:ind w:left="3780"/>
        <w:spacing w:after="0"/>
        <w:rPr>
          <w:sz w:val="20"/>
          <w:szCs w:val="20"/>
          <w:color w:val="auto"/>
        </w:rPr>
      </w:pPr>
      <w:r>
        <w:rPr>
          <w:rFonts w:ascii="Arial" w:cs="Arial" w:eastAsia="Arial" w:hAnsi="Arial"/>
          <w:sz w:val="16"/>
          <w:szCs w:val="16"/>
          <w:b w:val="1"/>
          <w:bCs w:val="1"/>
          <w:color w:val="auto"/>
        </w:rPr>
        <w:t>CERTIFICATION BY CHIEF EXECUTIVE OFFICER</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auto"/>
        </w:rPr>
        <w:t>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Pursuant to 18 U.S.C. Section 1350, as adopted pursuant to Section 906 of the Sarbanes-Oxley Act of 2002, I, Michael J. Happe, Chief Executive Officer of</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 (the "Company"), hereby certify that to my knowledge:</w:t>
      </w:r>
    </w:p>
    <w:p>
      <w:pPr>
        <w:spacing w:after="0" w:line="242" w:lineRule="exact"/>
        <w:rPr>
          <w:sz w:val="20"/>
          <w:szCs w:val="20"/>
          <w:color w:val="auto"/>
        </w:rPr>
      </w:pPr>
    </w:p>
    <w:p>
      <w:pPr>
        <w:ind w:left="640" w:hanging="323"/>
        <w:spacing w:after="0" w:line="291" w:lineRule="auto"/>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May 30, 2026 (the "Report") of the Company, fully complies with the requirements of Section 13(a) or 15(d) of the Securities Exchange Act of 1934, and</w:t>
      </w:r>
    </w:p>
    <w:p>
      <w:pPr>
        <w:spacing w:after="0" w:line="174" w:lineRule="exact"/>
        <w:rPr>
          <w:rFonts w:ascii="Arial" w:cs="Arial" w:eastAsia="Arial" w:hAnsi="Arial"/>
          <w:sz w:val="16"/>
          <w:szCs w:val="16"/>
          <w:color w:val="auto"/>
        </w:rPr>
      </w:pPr>
    </w:p>
    <w:p>
      <w:pPr>
        <w:ind w:left="640" w:hanging="323"/>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this Report fairly presents, in all material respects, the financial condition and results of operations of the Company.</w:t>
      </w:r>
    </w:p>
    <w:p>
      <w:pPr>
        <w:spacing w:after="0" w:line="302" w:lineRule="exact"/>
        <w:rPr>
          <w:sz w:val="20"/>
          <w:szCs w:val="20"/>
          <w:color w:val="auto"/>
        </w:rPr>
      </w:pPr>
    </w:p>
    <w:p>
      <w:pPr>
        <w:ind w:left="700"/>
        <w:spacing w:after="0"/>
        <w:tabs>
          <w:tab w:leader="none" w:pos="1560" w:val="left"/>
          <w:tab w:leader="none" w:pos="67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25, 2026</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4281805</wp:posOffset>
            </wp:positionH>
            <wp:positionV relativeFrom="paragraph">
              <wp:posOffset>23495</wp:posOffset>
            </wp:positionV>
            <wp:extent cx="26917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spacing w:after="0" w:line="80"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Michael J. Happe</w:t>
      </w:r>
    </w:p>
    <w:p>
      <w:pPr>
        <w:spacing w:after="0" w:line="100"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Chief Executive Officer, President</w:t>
      </w:r>
    </w:p>
    <w:p>
      <w:pPr>
        <w:sectPr>
          <w:pgSz w:w="11920" w:h="16838" w:orient="portrait"/>
          <w:cols w:equalWidth="0" w:num="1">
            <w:col w:w="11260"/>
          </w:cols>
          <w:pgMar w:left="340" w:top="884" w:right="318" w:bottom="1440" w:gutter="0" w:footer="0" w:header="0"/>
        </w:sectPr>
      </w:pPr>
    </w:p>
    <w:bookmarkStart w:id="39" w:name="page40"/>
    <w:bookmarkEnd w:id="39"/>
    <w:p>
      <w:pPr>
        <w:jc w:val="right"/>
        <w:spacing w:after="0"/>
        <w:rPr>
          <w:sz w:val="20"/>
          <w:szCs w:val="20"/>
          <w:color w:val="auto"/>
        </w:rPr>
      </w:pPr>
      <w:r>
        <w:rPr>
          <w:rFonts w:ascii="Arial" w:cs="Arial" w:eastAsia="Arial" w:hAnsi="Arial"/>
          <w:sz w:val="16"/>
          <w:szCs w:val="16"/>
          <w:b w:val="1"/>
          <w:bCs w:val="1"/>
          <w:color w:val="auto"/>
        </w:rPr>
        <w:t>Exhibit 32.2</w:t>
      </w:r>
    </w:p>
    <w:p>
      <w:pPr>
        <w:spacing w:after="0" w:line="208"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CERTIFICATION BY CHIEF FINANCIAL OFFICER</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auto"/>
        </w:rPr>
        <w:t>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Pursuant to 18 U.S.C. Section 1350, as adopted pursuant to Section 906 of the Sarbanes-Oxley Act of 2002, I, Bryan L. Hughes, Chief Financial Officer of</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 (the "Company"), hereby certify that to my knowledge:</w:t>
      </w:r>
    </w:p>
    <w:p>
      <w:pPr>
        <w:spacing w:after="0" w:line="242" w:lineRule="exact"/>
        <w:rPr>
          <w:sz w:val="20"/>
          <w:szCs w:val="20"/>
          <w:color w:val="auto"/>
        </w:rPr>
      </w:pPr>
    </w:p>
    <w:p>
      <w:pPr>
        <w:ind w:left="640" w:hanging="323"/>
        <w:spacing w:after="0" w:line="291" w:lineRule="auto"/>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May 30, 2026 (the "Report") of the Company, fully complies with the requirements of Section 13(a) or 15(d) of the Securities Exchange Act of 1934, and</w:t>
      </w:r>
    </w:p>
    <w:p>
      <w:pPr>
        <w:spacing w:after="0" w:line="174" w:lineRule="exact"/>
        <w:rPr>
          <w:rFonts w:ascii="Arial" w:cs="Arial" w:eastAsia="Arial" w:hAnsi="Arial"/>
          <w:sz w:val="16"/>
          <w:szCs w:val="16"/>
          <w:color w:val="auto"/>
        </w:rPr>
      </w:pPr>
    </w:p>
    <w:p>
      <w:pPr>
        <w:ind w:left="640" w:hanging="323"/>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this Report fairly presents, in all material respects, the financial condition and results of operations of the Company.</w:t>
      </w:r>
    </w:p>
    <w:p>
      <w:pPr>
        <w:spacing w:after="0" w:line="302" w:lineRule="exact"/>
        <w:rPr>
          <w:sz w:val="20"/>
          <w:szCs w:val="20"/>
          <w:color w:val="auto"/>
        </w:rPr>
      </w:pPr>
    </w:p>
    <w:p>
      <w:pPr>
        <w:ind w:left="280"/>
        <w:spacing w:after="0"/>
        <w:tabs>
          <w:tab w:leader="none" w:pos="1000" w:val="left"/>
          <w:tab w:leader="none" w:pos="686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25, 2026</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23495</wp:posOffset>
            </wp:positionV>
            <wp:extent cx="27774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6"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Bryan L. Hughes</w:t>
      </w:r>
    </w:p>
    <w:p>
      <w:pPr>
        <w:spacing w:after="0" w:line="35"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Chief Financial Officer and Senior Vice President</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(Principal Financial and Accounting Officer)</w:t>
      </w:r>
    </w:p>
    <w:sectPr>
      <w:pgSz w:w="11920" w:h="16838" w:orient="portrait"/>
      <w:cols w:equalWidth="0" w:num="1">
        <w:col w:w="11260"/>
      </w:cols>
      <w:pgMar w:left="340" w:top="884" w:right="318"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decimal"/>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46" Type="http://schemas.openxmlformats.org/officeDocument/2006/relationships/hyperlink" Target="https://www.sec.gov/Archives/edgar/data/107687/000010768722000004/wgo-mnarticlesreincorporat.htm" TargetMode="External"/><Relationship Id="rId47" Type="http://schemas.openxmlformats.org/officeDocument/2006/relationships/hyperlink" Target="https://www.sec.gov/Archives/edgar/data/107687/000010768723000018/wgo-bylawsxaugust152023xf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2026-06-25T15:48:58Z</dcterms:created>
  <dcterms:modified xsi:type="dcterms:W3CDTF">2026-06-25T15:48:58Z</dcterms:modified>
</cp:coreProperties>
</file>