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0E2A35"/>
        </w:rPr>
        <w:t xml:space="preserve">Filed by the Registrant </w:t>
      </w:r>
      <w:r>
        <w:rPr>
          <w:rFonts w:ascii="MS PGothic" w:cs="MS PGothic" w:eastAsia="MS PGothic" w:hAnsi="MS PGothic"/>
          <w:sz w:val="18"/>
          <w:szCs w:val="18"/>
          <w:color w:val="0E2A35"/>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0E2A35"/>
        </w:rPr>
        <w:t xml:space="preserve">Filed by party other than the Registrant </w:t>
      </w:r>
      <w:r>
        <w:rPr>
          <w:rFonts w:ascii="MS PGothic" w:cs="MS PGothic" w:eastAsia="MS PGothic" w:hAnsi="MS PGothic"/>
          <w:sz w:val="18"/>
          <w:szCs w:val="18"/>
          <w:color w:val="0E2A35"/>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0E2A35"/>
        </w:rPr>
        <w:t>Check the appropriate box:</w:t>
      </w:r>
    </w:p>
    <w:p>
      <w:pPr>
        <w:spacing w:after="0" w:line="11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0E2A35"/>
        </w:rPr>
      </w:pPr>
      <w:r>
        <w:rPr>
          <w:rFonts w:ascii="Arial" w:cs="Arial" w:eastAsia="Arial" w:hAnsi="Arial"/>
          <w:sz w:val="18"/>
          <w:szCs w:val="18"/>
          <w:color w:val="0E2A35"/>
        </w:rPr>
        <w:t>Preliminary Proxy Statement</w:t>
      </w:r>
    </w:p>
    <w:p>
      <w:pPr>
        <w:spacing w:after="0" w:line="113"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b w:val="1"/>
          <w:bCs w:val="1"/>
          <w:color w:val="0E2A35"/>
        </w:rPr>
        <w:t>Confidential, For Use of the Commission Only (as permitted by Rule 14a-6(e)(2))</w:t>
      </w:r>
    </w:p>
    <w:p>
      <w:pPr>
        <w:spacing w:after="0" w:line="121"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Definitive Proxy Statement</w:t>
      </w:r>
    </w:p>
    <w:p>
      <w:pPr>
        <w:spacing w:after="0" w:line="117"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Definitive Additional Materials</w:t>
      </w:r>
    </w:p>
    <w:p>
      <w:pPr>
        <w:spacing w:after="0" w:line="117"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160655</wp:posOffset>
            </wp:positionV>
            <wp:extent cx="2202815"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0E2A35"/>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0E2A35"/>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Arial" w:cs="Arial" w:eastAsia="Arial" w:hAnsi="Arial"/>
          <w:sz w:val="18"/>
          <w:szCs w:val="18"/>
          <w:color w:val="0E2A35"/>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0E2A35"/>
        </w:rPr>
        <w:t>Payment of Filing Fee (Check the appropriate box):</w:t>
      </w:r>
    </w:p>
    <w:p>
      <w:pPr>
        <w:spacing w:after="0" w:line="11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0E2A35"/>
        </w:rPr>
      </w:pPr>
      <w:r>
        <w:rPr>
          <w:rFonts w:ascii="Arial" w:cs="Arial" w:eastAsia="Arial" w:hAnsi="Arial"/>
          <w:sz w:val="18"/>
          <w:szCs w:val="18"/>
          <w:color w:val="0E2A35"/>
        </w:rPr>
        <w:t>No fee required.</w:t>
      </w:r>
    </w:p>
    <w:p>
      <w:pPr>
        <w:spacing w:after="0" w:line="117" w:lineRule="exact"/>
        <w:rPr>
          <w:rFonts w:ascii="MS PGothic" w:cs="MS PGothic" w:eastAsia="MS PGothic" w:hAnsi="MS PGothic"/>
          <w:sz w:val="18"/>
          <w:szCs w:val="18"/>
          <w:color w:val="0E2A35"/>
        </w:rPr>
      </w:pPr>
    </w:p>
    <w:p>
      <w:pPr>
        <w:ind w:left="400" w:hanging="392"/>
        <w:spacing w:after="0"/>
        <w:tabs>
          <w:tab w:leader="none" w:pos="40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Fee computed on table below per Exchange Act Rules 14a-6(i)(1) and 0-11.</w:t>
      </w:r>
    </w:p>
    <w:p>
      <w:pPr>
        <w:spacing w:after="0" w:line="117" w:lineRule="exact"/>
        <w:rPr>
          <w:rFonts w:ascii="MS PGothic" w:cs="MS PGothic" w:eastAsia="MS PGothic" w:hAnsi="MS PGothic"/>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Title of each class of securities to which transaction applies:</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Aggregate number of securities to which transaction applies:</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right="40" w:hanging="385"/>
        <w:spacing w:after="0" w:line="277" w:lineRule="auto"/>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Proposed maximum aggregate value of transaction:</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Total fee paid:</w:t>
      </w:r>
    </w:p>
    <w:p>
      <w:pPr>
        <w:spacing w:after="0" w:line="200" w:lineRule="exact"/>
        <w:rPr>
          <w:rFonts w:ascii="Arial" w:cs="Arial" w:eastAsia="Arial" w:hAnsi="Arial"/>
          <w:sz w:val="18"/>
          <w:szCs w:val="18"/>
          <w:color w:val="0E2A35"/>
        </w:rPr>
      </w:pPr>
    </w:p>
    <w:p>
      <w:pPr>
        <w:spacing w:after="0" w:line="241" w:lineRule="exact"/>
        <w:rPr>
          <w:rFonts w:ascii="Arial" w:cs="Arial" w:eastAsia="Arial" w:hAnsi="Arial"/>
          <w:sz w:val="18"/>
          <w:szCs w:val="18"/>
          <w:color w:val="0E2A35"/>
        </w:rPr>
      </w:pPr>
    </w:p>
    <w:p>
      <w:pPr>
        <w:ind w:left="400" w:hanging="392"/>
        <w:spacing w:after="0"/>
        <w:tabs>
          <w:tab w:leader="none" w:pos="40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Fee paid previously with preliminary materials.</w:t>
      </w:r>
    </w:p>
    <w:p>
      <w:pPr>
        <w:spacing w:after="0" w:line="117" w:lineRule="exact"/>
        <w:rPr>
          <w:rFonts w:ascii="MS PGothic" w:cs="MS PGothic" w:eastAsia="MS PGothic" w:hAnsi="MS PGothic"/>
          <w:sz w:val="18"/>
          <w:szCs w:val="18"/>
          <w:color w:val="0E2A35"/>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Amount previously paid:</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Form, Schedule or Registration Statement No.:</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Filing party:</w:t>
      </w:r>
    </w:p>
    <w:p>
      <w:pPr>
        <w:spacing w:after="0" w:line="200" w:lineRule="exact"/>
        <w:rPr>
          <w:rFonts w:ascii="Arial" w:cs="Arial" w:eastAsia="Arial" w:hAnsi="Arial"/>
          <w:sz w:val="18"/>
          <w:szCs w:val="18"/>
          <w:color w:val="0E2A35"/>
        </w:rPr>
      </w:pPr>
    </w:p>
    <w:p>
      <w:pPr>
        <w:spacing w:after="0" w:line="254" w:lineRule="exact"/>
        <w:rPr>
          <w:rFonts w:ascii="Arial" w:cs="Arial" w:eastAsia="Arial" w:hAnsi="Arial"/>
          <w:sz w:val="18"/>
          <w:szCs w:val="18"/>
          <w:color w:val="0E2A35"/>
        </w:rPr>
      </w:pPr>
    </w:p>
    <w:p>
      <w:pPr>
        <w:ind w:left="780" w:hanging="385"/>
        <w:spacing w:after="0"/>
        <w:tabs>
          <w:tab w:leader="none" w:pos="780" w:val="left"/>
        </w:tabs>
        <w:numPr>
          <w:ilvl w:val="2"/>
          <w:numId w:val="2"/>
        </w:numPr>
        <w:rPr>
          <w:rFonts w:ascii="Arial" w:cs="Arial" w:eastAsia="Arial" w:hAnsi="Arial"/>
          <w:sz w:val="18"/>
          <w:szCs w:val="18"/>
          <w:color w:val="0E2A35"/>
        </w:rPr>
      </w:pPr>
      <w:r>
        <w:rPr>
          <w:rFonts w:ascii="Arial" w:cs="Arial" w:eastAsia="Arial" w:hAnsi="Arial"/>
          <w:sz w:val="18"/>
          <w:szCs w:val="18"/>
          <w:color w:val="0E2A35"/>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254635</wp:posOffset>
            </wp:positionV>
            <wp:extent cx="5674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-164465</wp:posOffset>
            </wp:positionV>
            <wp:extent cx="5674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-584835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-1004570</wp:posOffset>
            </wp:positionV>
            <wp:extent cx="5674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-2101850</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-2522220</wp:posOffset>
            </wp:positionV>
            <wp:extent cx="5674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-2941955</wp:posOffset>
            </wp:positionV>
            <wp:extent cx="5674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-3499485</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-3919220</wp:posOffset>
            </wp:positionV>
            <wp:extent cx="5674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ectPr>
          <w:pgSz w:w="11900" w:h="16838" w:orient="portrait"/>
          <w:cols w:equalWidth="0" w:num="1">
            <w:col w:w="9660"/>
          </w:cols>
          <w:pgMar w:left="1080" w:top="225" w:right="1159" w:bottom="3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286385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88900</wp:posOffset>
            </wp:positionV>
            <wp:extent cx="6172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149225</wp:posOffset>
            </wp:positionV>
            <wp:extent cx="61722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6995160" cy="9300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93008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25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925830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160655</wp:posOffset>
            </wp:positionV>
            <wp:extent cx="2854325" cy="1569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432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920"/>
        <w:spacing w:after="0" w:line="282" w:lineRule="auto"/>
        <w:rPr>
          <w:sz w:val="20"/>
          <w:szCs w:val="20"/>
          <w:color w:val="auto"/>
        </w:rPr>
      </w:pPr>
      <w:r>
        <w:rPr>
          <w:rFonts w:ascii="Arial" w:cs="Arial" w:eastAsia="Arial" w:hAnsi="Arial"/>
          <w:sz w:val="50"/>
          <w:szCs w:val="50"/>
          <w:b w:val="1"/>
          <w:bCs w:val="1"/>
          <w:color w:val="0E2A35"/>
        </w:rPr>
        <w:t>Dear Fellow Shareholders,</w:t>
      </w:r>
    </w:p>
    <w:p>
      <w:pPr>
        <w:sectPr>
          <w:pgSz w:w="11900" w:h="16838" w:orient="portrait"/>
          <w:cols w:equalWidth="0" w:num="1">
            <w:col w:w="9280"/>
          </w:cols>
          <w:pgMar w:left="1300" w:top="265" w:right="1319" w:bottom="1440" w:gutter="0" w:footer="0" w:header="0"/>
        </w:sectPr>
      </w:pPr>
    </w:p>
    <w:p>
      <w:pPr>
        <w:spacing w:after="0" w:line="35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0E2A35"/>
        </w:rPr>
        <w:t>Our 2021 fiscal year was truly remarkable for Winnebago Industries and we are proud of the incredible momentum and resiliency our company has built, while continuing to navigate the health and economic impacts of the COVID-19 pandemic. As a surge of new consumers have embraced the outdoor lifestyle, we are pleased to have sustained market share gains in the RV industry, capturing new Winnebago Industries customers who will enjoy our vast portfolio of premium products for years to come. The tireless work of our Winnebago Industries team and the dedication of our channel partners has enabled new and existing consumers to create extraordinary experiences where they live, work and play.</w:t>
      </w:r>
    </w:p>
    <w:p>
      <w:pPr>
        <w:spacing w:after="0" w:line="165" w:lineRule="exact"/>
        <w:rPr>
          <w:sz w:val="20"/>
          <w:szCs w:val="20"/>
          <w:color w:val="auto"/>
        </w:rPr>
      </w:pPr>
    </w:p>
    <w:p>
      <w:pPr>
        <w:spacing w:after="0" w:line="232" w:lineRule="auto"/>
        <w:rPr>
          <w:sz w:val="20"/>
          <w:szCs w:val="20"/>
          <w:color w:val="auto"/>
        </w:rPr>
      </w:pPr>
      <w:r>
        <w:rPr>
          <w:rFonts w:ascii="Arial" w:cs="Arial" w:eastAsia="Arial" w:hAnsi="Arial"/>
          <w:sz w:val="17"/>
          <w:szCs w:val="17"/>
          <w:color w:val="0E2A35"/>
        </w:rPr>
        <w:t>The appeal of our premium brands, supported by our commitment to quality, innovation and service across our enterprise drove Winnebago Industries to achieve record levels of revenue and profits in fiscal 2021. We furthered our strategic transformation into a premier outdoor lifestyle company with the addition of premium pontoon boat manufacturer Barletta Boat Company, announced in the fourth quarter of fiscal 2021 and closed in early fiscal 2022. This key acquisition extends our marine platform into the pontoon market, one of the fastest-growing boating segments. Even as we invested in that strategic acquisition, our balanced capital allocation strategy enabled Winnebago Industries to return approximately $62 million to our shareholders in the form of quarterly dividends and share repurchases while driving our leverage ratio to historical lows, allowing for significant financial flexibility. Given the level of confidence in our future performance, we announced a 50% increase to our dividend, effective with the dividend payment in September 2021. Additionally, we exit fiscal 2021 and enter fiscal 2022 with a record backlog of orders, we continue to see sustained interest in the outdoor lifestyle from a consumer retail standpoint and our capital investments in expanding capacity in a disciplined manner strengthen our ability to compete in the market and serve our customers with high-quality product.</w:t>
      </w:r>
    </w:p>
    <w:p>
      <w:pPr>
        <w:spacing w:after="0" w:line="177"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0E2A35"/>
        </w:rPr>
        <w:t>Fiscal 2021 has seen significant advancements in our efforts to address important environmental, 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772795</wp:posOffset>
            </wp:positionV>
            <wp:extent cx="146558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233" w:lineRule="auto"/>
        <w:rPr>
          <w:sz w:val="20"/>
          <w:szCs w:val="20"/>
          <w:color w:val="auto"/>
        </w:rPr>
      </w:pPr>
      <w:r>
        <w:rPr>
          <w:rFonts w:ascii="Arial" w:cs="Arial" w:eastAsia="Arial" w:hAnsi="Arial"/>
          <w:sz w:val="17"/>
          <w:szCs w:val="17"/>
          <w:color w:val="0E2A35"/>
        </w:rPr>
        <w:t>and governance issues related to our business operations. Notably, we recently strengthened our commitment to sustainability by joining the Business Ambition for 1.5°C, a United Nations-backed global coalition of business leaders. As part of this program, we are committing to help limit the impact of climate change by setting a goal to achieve net-zero greenhouse gas emissions by 2050. We also hired our first Head of Diversity, Equity and Inclusion who will be responsible for advancing DEI programs and initiatives and leading the execution of our overall DEI strategy and roadmap. Finally, we were pleased to welcome two new independent directors, Jacqueline Woods and Kevin Bryant, to the Board during fiscal 2021, each of whom complement the skills, experiences, and perspectives of our incumbent directors. Their backgrounds are described in this proxy statement, and we look forward to their continued input and guidance as Winnebago Industries continues to progress as a competitive, diverse, and profitable outdoor lifestyle company.</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0E2A35"/>
        </w:rPr>
        <w:t>Detailed within are several items to be voted on at our upcoming annual meeting of shareholders, which will be conducted virtually on December 14, 2021. We value your participation in this process and recommend that you vote for the items described in this proxy statement.</w:t>
      </w:r>
    </w:p>
    <w:p>
      <w:pPr>
        <w:spacing w:after="0" w:line="163" w:lineRule="exact"/>
        <w:rPr>
          <w:sz w:val="20"/>
          <w:szCs w:val="20"/>
          <w:color w:val="auto"/>
        </w:rPr>
      </w:pPr>
    </w:p>
    <w:p>
      <w:pPr>
        <w:jc w:val="both"/>
        <w:ind w:right="260"/>
        <w:spacing w:after="0" w:line="236" w:lineRule="auto"/>
        <w:rPr>
          <w:sz w:val="20"/>
          <w:szCs w:val="20"/>
          <w:color w:val="auto"/>
        </w:rPr>
      </w:pPr>
      <w:r>
        <w:rPr>
          <w:rFonts w:ascii="Arial" w:cs="Arial" w:eastAsia="Arial" w:hAnsi="Arial"/>
          <w:sz w:val="17"/>
          <w:szCs w:val="17"/>
          <w:color w:val="0E2A35"/>
        </w:rPr>
        <w:t>As always, thank you for your continued investment and confidence in our business. We are grateful to have your trust and commit each day to deliver sustainable growth and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1183005"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0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David W. Miles,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E2A35"/>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Michael J. Happe,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E2A35"/>
        </w:rPr>
        <w:t>President and Chief Executive Officer</w:t>
      </w:r>
    </w:p>
    <w:p>
      <w:pPr>
        <w:spacing w:after="0" w:line="305" w:lineRule="exact"/>
        <w:rPr>
          <w:sz w:val="20"/>
          <w:szCs w:val="20"/>
          <w:color w:val="auto"/>
        </w:rPr>
      </w:pPr>
    </w:p>
    <w:tbl>
      <w:tblPr>
        <w:tblLayout w:type="fixed"/>
        <w:tblInd w:w="1860" w:type="dxa"/>
        <w:tblCellMar>
          <w:top w:w="0" w:type="dxa"/>
          <w:left w:w="0" w:type="dxa"/>
          <w:bottom w:w="0" w:type="dxa"/>
          <w:right w:w="0" w:type="dxa"/>
        </w:tblCellMar>
      </w:tblPr>
      <w:tr>
        <w:trPr>
          <w:trHeight w:val="168"/>
        </w:trPr>
        <w:tc>
          <w:tcPr>
            <w:tcW w:w="2480" w:type="dxa"/>
            <w:vAlign w:val="bottom"/>
          </w:tcPr>
          <w:p>
            <w:pPr>
              <w:spacing w:after="0"/>
              <w:rPr>
                <w:sz w:val="20"/>
                <w:szCs w:val="20"/>
                <w:color w:val="auto"/>
              </w:rPr>
            </w:pPr>
            <w:r>
              <w:rPr>
                <w:rFonts w:ascii="Arial" w:cs="Arial" w:eastAsia="Arial" w:hAnsi="Arial"/>
                <w:sz w:val="13"/>
                <w:szCs w:val="13"/>
                <w:color w:val="0E2A35"/>
              </w:rPr>
              <w:t>Proxy Statement for 2021 Annual Meeting</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0E2A35"/>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147320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520" w:space="240"/>
            <w:col w:w="4520"/>
          </w:cols>
          <w:pgMar w:left="1300" w:top="265" w:right="131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160655</wp:posOffset>
            </wp:positionV>
            <wp:extent cx="133731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310" cy="52260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860" w:right="4080"/>
        <w:spacing w:after="0" w:line="296" w:lineRule="auto"/>
        <w:rPr>
          <w:sz w:val="20"/>
          <w:szCs w:val="20"/>
          <w:color w:val="auto"/>
        </w:rPr>
      </w:pPr>
      <w:r>
        <w:rPr>
          <w:rFonts w:ascii="Arial" w:cs="Arial" w:eastAsia="Arial" w:hAnsi="Arial"/>
          <w:sz w:val="30"/>
          <w:szCs w:val="30"/>
          <w:b w:val="1"/>
          <w:bCs w:val="1"/>
          <w:color w:val="0E2A35"/>
        </w:rPr>
        <w:t>Notice of Annual Meeting of Shareholders to be held December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45085</wp:posOffset>
            </wp:positionV>
            <wp:extent cx="6583680" cy="2854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368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60" w:right="880"/>
        <w:spacing w:after="0" w:line="251" w:lineRule="auto"/>
        <w:rPr>
          <w:sz w:val="20"/>
          <w:szCs w:val="20"/>
          <w:color w:val="auto"/>
        </w:rPr>
      </w:pPr>
      <w:r>
        <w:rPr>
          <w:rFonts w:ascii="Arial" w:cs="Arial" w:eastAsia="Arial" w:hAnsi="Arial"/>
          <w:sz w:val="16"/>
          <w:szCs w:val="16"/>
          <w:color w:val="0E2A35"/>
        </w:rPr>
        <w:t>Winnebago Industries, Inc. (Winnebago Industries or the Company) will hold its 2021 annual meeting of shareholders (Annual Meeting) on Tuesday, December 14, 2021 at 4:00 p.m. Central Standard Time. The Annual Meeting will be completely virtual. The proxy materials were either made available to you over the Internet or mailed to you on or about November 1, 2021. At the Annual Meeting, shareholders will be asked to:</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740" w:type="dxa"/>
            <w:vAlign w:val="bottom"/>
            <w:shd w:val="clear" w:color="auto" w:fill="0E2A35"/>
          </w:tcPr>
          <w:p>
            <w:pPr>
              <w:spacing w:after="0"/>
              <w:rPr>
                <w:sz w:val="19"/>
                <w:szCs w:val="19"/>
                <w:color w:val="auto"/>
              </w:rPr>
            </w:pPr>
          </w:p>
        </w:tc>
        <w:tc>
          <w:tcPr>
            <w:tcW w:w="4300" w:type="dxa"/>
            <w:vAlign w:val="bottom"/>
            <w:shd w:val="clear" w:color="auto" w:fill="0E2A35"/>
          </w:tcPr>
          <w:p>
            <w:pPr>
              <w:ind w:left="3420"/>
              <w:spacing w:after="0"/>
              <w:rPr>
                <w:sz w:val="20"/>
                <w:szCs w:val="20"/>
                <w:color w:val="auto"/>
              </w:rPr>
            </w:pPr>
            <w:r>
              <w:rPr>
                <w:rFonts w:ascii="Arial" w:cs="Arial" w:eastAsia="Arial" w:hAnsi="Arial"/>
                <w:sz w:val="13"/>
                <w:szCs w:val="13"/>
                <w:b w:val="1"/>
                <w:bCs w:val="1"/>
                <w:color w:val="FFFFFF"/>
              </w:rPr>
              <w:t>Board</w:t>
            </w:r>
          </w:p>
        </w:tc>
        <w:tc>
          <w:tcPr>
            <w:tcW w:w="1240" w:type="dxa"/>
            <w:vAlign w:val="bottom"/>
            <w:shd w:val="clear" w:color="auto" w:fill="0E2A35"/>
          </w:tcPr>
          <w:p>
            <w:pPr>
              <w:jc w:val="center"/>
              <w:ind w:right="37"/>
              <w:spacing w:after="0"/>
              <w:rPr>
                <w:sz w:val="20"/>
                <w:szCs w:val="20"/>
                <w:color w:val="auto"/>
              </w:rPr>
            </w:pPr>
            <w:r>
              <w:rPr>
                <w:rFonts w:ascii="Arial" w:cs="Arial" w:eastAsia="Arial" w:hAnsi="Arial"/>
                <w:sz w:val="13"/>
                <w:szCs w:val="13"/>
                <w:b w:val="1"/>
                <w:bCs w:val="1"/>
                <w:color w:val="FFFFFF"/>
                <w:w w:val="96"/>
              </w:rPr>
              <w:t>Page</w:t>
            </w:r>
          </w:p>
        </w:tc>
      </w:tr>
      <w:tr>
        <w:trPr>
          <w:trHeight w:val="168"/>
        </w:trPr>
        <w:tc>
          <w:tcPr>
            <w:tcW w:w="374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Proposals</w:t>
            </w:r>
          </w:p>
        </w:tc>
        <w:tc>
          <w:tcPr>
            <w:tcW w:w="4300" w:type="dxa"/>
            <w:vAlign w:val="bottom"/>
            <w:shd w:val="clear" w:color="auto" w:fill="0E2A35"/>
          </w:tcPr>
          <w:p>
            <w:pPr>
              <w:ind w:left="2960"/>
              <w:spacing w:after="0"/>
              <w:rPr>
                <w:sz w:val="20"/>
                <w:szCs w:val="20"/>
                <w:color w:val="auto"/>
              </w:rPr>
            </w:pPr>
            <w:r>
              <w:rPr>
                <w:rFonts w:ascii="Arial" w:cs="Arial" w:eastAsia="Arial" w:hAnsi="Arial"/>
                <w:sz w:val="13"/>
                <w:szCs w:val="13"/>
                <w:b w:val="1"/>
                <w:bCs w:val="1"/>
                <w:color w:val="FFFFFF"/>
              </w:rPr>
              <w:t>Recommendation</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Reference</w:t>
            </w:r>
          </w:p>
        </w:tc>
      </w:tr>
      <w:tr>
        <w:trPr>
          <w:trHeight w:val="97"/>
        </w:trPr>
        <w:tc>
          <w:tcPr>
            <w:tcW w:w="3740" w:type="dxa"/>
            <w:vAlign w:val="bottom"/>
            <w:shd w:val="clear" w:color="auto" w:fill="0E2A35"/>
          </w:tcPr>
          <w:p>
            <w:pPr>
              <w:spacing w:after="0"/>
              <w:rPr>
                <w:sz w:val="8"/>
                <w:szCs w:val="8"/>
                <w:color w:val="auto"/>
              </w:rPr>
            </w:pPr>
          </w:p>
        </w:tc>
        <w:tc>
          <w:tcPr>
            <w:tcW w:w="4300" w:type="dxa"/>
            <w:vAlign w:val="bottom"/>
            <w:shd w:val="clear" w:color="auto" w:fill="0E2A35"/>
          </w:tcPr>
          <w:p>
            <w:pPr>
              <w:spacing w:after="0"/>
              <w:rPr>
                <w:sz w:val="8"/>
                <w:szCs w:val="8"/>
                <w:color w:val="auto"/>
              </w:rPr>
            </w:pPr>
          </w:p>
        </w:tc>
        <w:tc>
          <w:tcPr>
            <w:tcW w:w="1240" w:type="dxa"/>
            <w:vAlign w:val="bottom"/>
            <w:shd w:val="clear" w:color="auto" w:fill="0E2A35"/>
          </w:tcPr>
          <w:p>
            <w:pPr>
              <w:spacing w:after="0"/>
              <w:rPr>
                <w:sz w:val="8"/>
                <w:szCs w:val="8"/>
                <w:color w:val="auto"/>
              </w:rPr>
            </w:pPr>
          </w:p>
        </w:tc>
      </w:tr>
    </w:tbl>
    <w:p>
      <w:pPr>
        <w:spacing w:after="0" w:line="167" w:lineRule="exact"/>
        <w:rPr>
          <w:sz w:val="20"/>
          <w:szCs w:val="20"/>
          <w:color w:val="auto"/>
        </w:rPr>
      </w:pPr>
    </w:p>
    <w:p>
      <w:pPr>
        <w:sectPr>
          <w:pgSz w:w="11900" w:h="16838" w:orient="portrait"/>
          <w:cols w:equalWidth="0" w:num="1">
            <w:col w:w="11020"/>
          </w:cols>
          <w:pgMar w:left="440" w:top="265" w:right="439" w:bottom="1440" w:gutter="0" w:footer="0" w:header="0"/>
        </w:sectPr>
      </w:pPr>
    </w:p>
    <w:p>
      <w:pPr>
        <w:ind w:left="1360" w:right="1180" w:hanging="352"/>
        <w:spacing w:after="0" w:line="183" w:lineRule="auto"/>
        <w:tabs>
          <w:tab w:leader="none" w:pos="1360" w:val="left"/>
        </w:tabs>
        <w:numPr>
          <w:ilvl w:val="0"/>
          <w:numId w:val="3"/>
        </w:numPr>
        <w:rPr>
          <w:rFonts w:ascii="Arial" w:cs="Arial" w:eastAsia="Arial" w:hAnsi="Arial"/>
          <w:sz w:val="26"/>
          <w:szCs w:val="26"/>
          <w:b w:val="1"/>
          <w:bCs w:val="1"/>
          <w:color w:val="0E2A35"/>
          <w:vertAlign w:val="subscript"/>
        </w:rPr>
      </w:pPr>
      <w:r>
        <w:rPr>
          <w:rFonts w:ascii="Arial" w:cs="Arial" w:eastAsia="Arial" w:hAnsi="Arial"/>
          <w:sz w:val="12"/>
          <w:szCs w:val="12"/>
          <w:color w:val="0E2A35"/>
        </w:rPr>
        <w:t>Elect four Class I directors to hold office for a three-year term and one Class II director to hold office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102870</wp:posOffset>
            </wp:positionV>
            <wp:extent cx="58978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-248285</wp:posOffset>
            </wp:positionV>
            <wp:extent cx="4368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6880" cy="17970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179705</wp:posOffset>
            </wp:positionV>
            <wp:extent cx="4368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6880" cy="179705"/>
                    </a:xfrm>
                    <a:prstGeom prst="rect">
                      <a:avLst/>
                    </a:prstGeom>
                    <a:noFill/>
                  </pic:spPr>
                </pic:pic>
              </a:graphicData>
            </a:graphic>
          </wp:anchor>
        </w:drawing>
      </w:r>
    </w:p>
    <w:p>
      <w:pPr>
        <w:spacing w:after="0" w:line="345" w:lineRule="exact"/>
        <w:rPr>
          <w:sz w:val="20"/>
          <w:szCs w:val="20"/>
          <w:color w:val="auto"/>
        </w:rPr>
      </w:pPr>
    </w:p>
    <w:p>
      <w:pPr>
        <w:ind w:left="1360" w:hanging="352"/>
        <w:spacing w:after="0"/>
        <w:tabs>
          <w:tab w:leader="none" w:pos="1360" w:val="left"/>
        </w:tabs>
        <w:numPr>
          <w:ilvl w:val="0"/>
          <w:numId w:val="4"/>
        </w:numPr>
        <w:rPr>
          <w:rFonts w:ascii="Arial" w:cs="Arial" w:eastAsia="Arial" w:hAnsi="Arial"/>
          <w:sz w:val="20"/>
          <w:szCs w:val="20"/>
          <w:b w:val="1"/>
          <w:bCs w:val="1"/>
          <w:color w:val="0E2A35"/>
        </w:rPr>
      </w:pPr>
      <w:r>
        <w:rPr>
          <w:rFonts w:ascii="Arial" w:cs="Arial" w:eastAsia="Arial" w:hAnsi="Arial"/>
          <w:sz w:val="14"/>
          <w:szCs w:val="14"/>
          <w:color w:val="0E2A35"/>
        </w:rPr>
        <w:t>Approve, on an advisory basis, the compensation of our executive officers</w:t>
      </w:r>
    </w:p>
    <w:p>
      <w:pPr>
        <w:spacing w:after="0" w:line="200" w:lineRule="exact"/>
        <w:rPr>
          <w:sz w:val="20"/>
          <w:szCs w:val="20"/>
          <w:color w:val="auto"/>
        </w:rPr>
      </w:pPr>
    </w:p>
    <w:p>
      <w:pPr>
        <w:spacing w:after="0" w:line="222" w:lineRule="exact"/>
        <w:rPr>
          <w:sz w:val="20"/>
          <w:szCs w:val="20"/>
          <w:color w:val="auto"/>
        </w:rPr>
      </w:pPr>
    </w:p>
    <w:p>
      <w:pPr>
        <w:ind w:left="1360" w:right="1200" w:hanging="352"/>
        <w:spacing w:after="0" w:line="232" w:lineRule="auto"/>
        <w:tabs>
          <w:tab w:leader="none" w:pos="1360" w:val="left"/>
        </w:tabs>
        <w:numPr>
          <w:ilvl w:val="0"/>
          <w:numId w:val="5"/>
        </w:numPr>
        <w:rPr>
          <w:rFonts w:ascii="Arial" w:cs="Arial" w:eastAsia="Arial" w:hAnsi="Arial"/>
          <w:sz w:val="30"/>
          <w:szCs w:val="30"/>
          <w:b w:val="1"/>
          <w:bCs w:val="1"/>
          <w:color w:val="0E2A35"/>
          <w:vertAlign w:val="subscript"/>
        </w:rPr>
      </w:pPr>
      <w:r>
        <w:rPr>
          <w:rFonts w:ascii="Arial" w:cs="Arial" w:eastAsia="Arial" w:hAnsi="Arial"/>
          <w:sz w:val="12"/>
          <w:szCs w:val="12"/>
          <w:color w:val="0E2A35"/>
        </w:rPr>
        <w:t>Ratify the selection of Deloitte &amp; Touche LLP as our independent registered public accountant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102235</wp:posOffset>
            </wp:positionV>
            <wp:extent cx="5897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-325755</wp:posOffset>
            </wp:positionV>
            <wp:extent cx="5897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-248285</wp:posOffset>
            </wp:positionV>
            <wp:extent cx="4368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68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Arial" w:cs="Arial" w:eastAsia="Arial" w:hAnsi="Arial"/>
          <w:sz w:val="14"/>
          <w:szCs w:val="14"/>
          <w:color w:val="0E2A35"/>
        </w:rPr>
      </w:pPr>
      <w:r>
        <w:rPr>
          <w:rFonts w:ascii="Arial" w:cs="Arial" w:eastAsia="Arial" w:hAnsi="Arial"/>
          <w:sz w:val="14"/>
          <w:szCs w:val="14"/>
          <w:color w:val="0E2A35"/>
        </w:rPr>
        <w:t xml:space="preserve">Page </w:t>
      </w:r>
      <w:hyperlink w:anchor="page23">
        <w:r>
          <w:rPr>
            <w:rFonts w:ascii="Arial" w:cs="Arial" w:eastAsia="Arial" w:hAnsi="Arial"/>
            <w:sz w:val="14"/>
            <w:szCs w:val="14"/>
            <w:u w:val="single" w:color="auto"/>
            <w:color w:val="0000EE"/>
          </w:rPr>
          <w:t>18</w:t>
        </w:r>
      </w:hyperlink>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4"/>
          <w:szCs w:val="14"/>
          <w:color w:val="0E2A35"/>
        </w:rPr>
      </w:pPr>
      <w:r>
        <w:rPr>
          <w:rFonts w:ascii="Arial" w:cs="Arial" w:eastAsia="Arial" w:hAnsi="Arial"/>
          <w:sz w:val="14"/>
          <w:szCs w:val="14"/>
          <w:color w:val="0E2A35"/>
        </w:rPr>
        <w:t xml:space="preserve">Page </w:t>
      </w:r>
      <w:hyperlink w:anchor="page36">
        <w:r>
          <w:rPr>
            <w:rFonts w:ascii="Arial" w:cs="Arial" w:eastAsia="Arial" w:hAnsi="Arial"/>
            <w:sz w:val="14"/>
            <w:szCs w:val="14"/>
            <w:u w:val="single" w:color="auto"/>
            <w:color w:val="0000EE"/>
          </w:rPr>
          <w:t>31</w:t>
        </w:r>
      </w:hyperlink>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4"/>
          <w:szCs w:val="14"/>
          <w:color w:val="0E2A35"/>
        </w:rPr>
      </w:pPr>
      <w:r>
        <w:rPr>
          <w:rFonts w:ascii="Arial" w:cs="Arial" w:eastAsia="Arial" w:hAnsi="Arial"/>
          <w:sz w:val="14"/>
          <w:szCs w:val="14"/>
          <w:color w:val="0E2A35"/>
        </w:rPr>
        <w:t xml:space="preserve">Page </w:t>
      </w:r>
      <w:hyperlink w:anchor="page71">
        <w:r>
          <w:rPr>
            <w:rFonts w:ascii="Arial" w:cs="Arial" w:eastAsia="Arial" w:hAnsi="Arial"/>
            <w:sz w:val="14"/>
            <w:szCs w:val="14"/>
            <w:u w:val="single" w:color="auto"/>
            <w:color w:val="0000EE"/>
          </w:rPr>
          <w:t>66</w:t>
        </w:r>
      </w:hyperlink>
    </w:p>
    <w:p>
      <w:pPr>
        <w:spacing w:after="0" w:line="291" w:lineRule="exact"/>
        <w:rPr>
          <w:sz w:val="20"/>
          <w:szCs w:val="20"/>
          <w:color w:val="auto"/>
        </w:rPr>
      </w:pPr>
    </w:p>
    <w:p>
      <w:pPr>
        <w:sectPr>
          <w:pgSz w:w="11900" w:h="16838" w:orient="portrait"/>
          <w:cols w:equalWidth="0" w:num="2">
            <w:col w:w="8500" w:space="720"/>
            <w:col w:w="1800"/>
          </w:cols>
          <w:pgMar w:left="440" w:top="265" w:right="439" w:bottom="1440" w:gutter="0" w:footer="0" w:header="0"/>
          <w:type w:val="continuous"/>
        </w:sectPr>
      </w:pPr>
    </w:p>
    <w:p>
      <w:pPr>
        <w:spacing w:after="0" w:line="82" w:lineRule="exact"/>
        <w:rPr>
          <w:sz w:val="20"/>
          <w:szCs w:val="20"/>
          <w:color w:val="auto"/>
        </w:rPr>
      </w:pPr>
    </w:p>
    <w:p>
      <w:pPr>
        <w:ind w:left="1000"/>
        <w:spacing w:after="0"/>
        <w:tabs>
          <w:tab w:leader="none" w:pos="1340" w:val="left"/>
        </w:tabs>
        <w:rPr>
          <w:rFonts w:ascii="Arial" w:cs="Arial" w:eastAsia="Arial" w:hAnsi="Arial"/>
          <w:sz w:val="14"/>
          <w:szCs w:val="14"/>
          <w:color w:val="0E2A35"/>
        </w:rPr>
      </w:pPr>
      <w:r>
        <w:rPr>
          <w:rFonts w:ascii="Arial" w:cs="Arial" w:eastAsia="Arial" w:hAnsi="Arial"/>
          <w:sz w:val="20"/>
          <w:szCs w:val="20"/>
          <w:b w:val="1"/>
          <w:bCs w:val="1"/>
          <w:color w:val="0E2A35"/>
        </w:rPr>
        <w:t>4</w:t>
      </w:r>
      <w:r>
        <w:rPr>
          <w:sz w:val="20"/>
          <w:szCs w:val="20"/>
          <w:color w:val="auto"/>
        </w:rPr>
        <w:tab/>
      </w:r>
      <w:r>
        <w:rPr>
          <w:rFonts w:ascii="Arial" w:cs="Arial" w:eastAsia="Arial" w:hAnsi="Arial"/>
          <w:sz w:val="14"/>
          <w:szCs w:val="14"/>
          <w:color w:val="0E2A35"/>
        </w:rPr>
        <w:t xml:space="preserve">Approve a proposal to reincorporate the Company from Iowa to Minnesota                       </w:t>
      </w:r>
      <w:r>
        <w:rPr>
          <w:sz w:val="1"/>
          <w:szCs w:val="1"/>
          <w:color w:val="auto"/>
        </w:rPr>
        <w:drawing>
          <wp:inline distT="0" distB="0" distL="0" distR="0">
            <wp:extent cx="436880" cy="1797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6880" cy="179705"/>
                    </a:xfrm>
                    <a:prstGeom prst="rect">
                      <a:avLst/>
                    </a:prstGeom>
                    <a:noFill/>
                    <a:ln>
                      <a:noFill/>
                    </a:ln>
                  </pic:spPr>
                </pic:pic>
              </a:graphicData>
            </a:graphic>
          </wp:inline>
        </w:drawing>
      </w:r>
      <w:r>
        <w:rPr>
          <w:rFonts w:ascii="Arial" w:cs="Arial" w:eastAsia="Arial" w:hAnsi="Arial"/>
          <w:sz w:val="14"/>
          <w:szCs w:val="14"/>
          <w:color w:val="0E2A35"/>
        </w:rPr>
        <w:t xml:space="preserve">         Page </w:t>
      </w:r>
      <w:hyperlink w:anchor="page74">
        <w:r>
          <w:rPr>
            <w:rFonts w:ascii="Arial" w:cs="Arial" w:eastAsia="Arial" w:hAnsi="Arial"/>
            <w:sz w:val="14"/>
            <w:szCs w:val="14"/>
            <w:u w:val="single" w:color="auto"/>
            <w:color w:val="0000EE"/>
          </w:rPr>
          <w:t>69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110490</wp:posOffset>
            </wp:positionV>
            <wp:extent cx="58978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60" w:right="1140"/>
        <w:spacing w:after="0" w:line="232" w:lineRule="auto"/>
        <w:rPr>
          <w:sz w:val="20"/>
          <w:szCs w:val="20"/>
          <w:color w:val="auto"/>
        </w:rPr>
      </w:pPr>
      <w:r>
        <w:rPr>
          <w:rFonts w:ascii="Arial" w:cs="Arial" w:eastAsia="Arial" w:hAnsi="Arial"/>
          <w:sz w:val="16"/>
          <w:szCs w:val="16"/>
          <w:color w:val="0E2A35"/>
        </w:rPr>
        <w:t>Only shareholders of record at the close of business on October 19, 2021 may vote at the Annual Meeting or any adjournment thereof.</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190500</wp:posOffset>
            </wp:positionV>
            <wp:extent cx="143129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Stacy L. Bogart</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Senior Vice President, General Counsel, Secretary and Corporate Responsibility</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Eden Prairie, MN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November 1, 2021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2</w:t>
            </w:r>
          </w:p>
        </w:tc>
      </w:tr>
      <w:tr>
        <w:trPr>
          <w:trHeight w:val="253"/>
        </w:trPr>
        <w:tc>
          <w:tcPr>
            <w:tcW w:w="99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109220</wp:posOffset>
            </wp:positionV>
            <wp:extent cx="6583680" cy="2649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368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FFFFFF"/>
        </w:rPr>
        <w:t>Review the Proxy Statement and</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FFFFFF"/>
        </w:rPr>
        <w:t>Vote in One of Four 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0" w:right="1160"/>
        <w:spacing w:after="0" w:line="260" w:lineRule="auto"/>
        <w:rPr>
          <w:sz w:val="20"/>
          <w:szCs w:val="20"/>
          <w:color w:val="auto"/>
        </w:rPr>
      </w:pPr>
      <w:r>
        <w:rPr>
          <w:rFonts w:ascii="Arial" w:cs="Arial" w:eastAsia="Arial" w:hAnsi="Arial"/>
          <w:sz w:val="16"/>
          <w:szCs w:val="16"/>
          <w:color w:val="0E2A35"/>
        </w:rPr>
        <w:t>Only holders of record of our common stock at the close of business on October 19, 2021 will be entitled to vote at the Annual Meeting. On the record date, we had outstanding 33,460,085 shares of common stock that were eligible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36830</wp:posOffset>
            </wp:positionV>
            <wp:extent cx="5897880" cy="3694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97880" cy="369443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FFFFFF"/>
        </w:rPr>
        <w:t>During the Virtual Meeting:</w:t>
      </w:r>
    </w:p>
    <w:p>
      <w:pPr>
        <w:spacing w:after="0" w:line="133" w:lineRule="exact"/>
        <w:rPr>
          <w:sz w:val="20"/>
          <w:szCs w:val="20"/>
          <w:color w:val="auto"/>
        </w:rPr>
      </w:pPr>
    </w:p>
    <w:p>
      <w:pPr>
        <w:ind w:left="1360"/>
        <w:spacing w:after="0" w:line="249" w:lineRule="auto"/>
        <w:rPr>
          <w:sz w:val="20"/>
          <w:szCs w:val="20"/>
          <w:color w:val="auto"/>
        </w:rPr>
      </w:pPr>
      <w:r>
        <w:rPr>
          <w:rFonts w:ascii="Arial" w:cs="Arial" w:eastAsia="Arial" w:hAnsi="Arial"/>
          <w:sz w:val="16"/>
          <w:szCs w:val="16"/>
          <w:color w:val="FFFFFF"/>
        </w:rPr>
        <w:t>Attend the live webcast meeting at 4:00 p.m. CST on December 14, 2021 by visiting virtualshareholdermeeting.com/WGO2021 and voting during the meeting. You will need your 16-digit control number included with your Notice of Internet Availability or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FFFFFF"/>
        </w:rPr>
        <w:t>By Phone:</w:t>
      </w:r>
    </w:p>
    <w:p>
      <w:pPr>
        <w:spacing w:after="0" w:line="133" w:lineRule="exact"/>
        <w:rPr>
          <w:sz w:val="20"/>
          <w:szCs w:val="20"/>
          <w:color w:val="auto"/>
        </w:rPr>
      </w:pPr>
    </w:p>
    <w:p>
      <w:pPr>
        <w:ind w:left="1360" w:right="60"/>
        <w:spacing w:after="0" w:line="251" w:lineRule="auto"/>
        <w:rPr>
          <w:sz w:val="20"/>
          <w:szCs w:val="20"/>
          <w:color w:val="auto"/>
        </w:rPr>
      </w:pPr>
      <w:r>
        <w:rPr>
          <w:rFonts w:ascii="Arial" w:cs="Arial" w:eastAsia="Arial" w:hAnsi="Arial"/>
          <w:sz w:val="16"/>
          <w:szCs w:val="16"/>
          <w:color w:val="FFFFFF"/>
        </w:rPr>
        <w:t>Call 1-800-690-6903 to vote by telephone. You will need your 16-digit control number included with your Notice of Internet Availability or proxy card when you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By Internet:</w:t>
      </w:r>
    </w:p>
    <w:p>
      <w:pPr>
        <w:spacing w:after="0" w:line="133" w:lineRule="exact"/>
        <w:rPr>
          <w:sz w:val="20"/>
          <w:szCs w:val="20"/>
          <w:color w:val="auto"/>
        </w:rPr>
      </w:pPr>
    </w:p>
    <w:p>
      <w:pPr>
        <w:jc w:val="both"/>
        <w:ind w:right="1400"/>
        <w:spacing w:after="0" w:line="251" w:lineRule="auto"/>
        <w:rPr>
          <w:sz w:val="20"/>
          <w:szCs w:val="20"/>
          <w:color w:val="auto"/>
        </w:rPr>
      </w:pPr>
      <w:r>
        <w:rPr>
          <w:rFonts w:ascii="Arial" w:cs="Arial" w:eastAsia="Arial" w:hAnsi="Arial"/>
          <w:sz w:val="16"/>
          <w:szCs w:val="16"/>
          <w:color w:val="FFFFFF"/>
        </w:rPr>
        <w:t>Visit www.proxyvote.com to vote by internet. You will need your 16-digit control number included with your Notice of Internet Availability or proxy card when you access the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By Mail:</w:t>
      </w:r>
    </w:p>
    <w:p>
      <w:pPr>
        <w:spacing w:after="0" w:line="133" w:lineRule="exact"/>
        <w:rPr>
          <w:sz w:val="20"/>
          <w:szCs w:val="20"/>
          <w:color w:val="auto"/>
        </w:rPr>
      </w:pPr>
    </w:p>
    <w:p>
      <w:pPr>
        <w:ind w:right="1280"/>
        <w:spacing w:after="0" w:line="251" w:lineRule="auto"/>
        <w:rPr>
          <w:sz w:val="20"/>
          <w:szCs w:val="20"/>
          <w:color w:val="auto"/>
        </w:rPr>
      </w:pPr>
      <w:r>
        <w:rPr>
          <w:rFonts w:ascii="Arial" w:cs="Arial" w:eastAsia="Arial" w:hAnsi="Arial"/>
          <w:sz w:val="16"/>
          <w:szCs w:val="16"/>
          <w:color w:val="FFFFFF"/>
        </w:rPr>
        <w:t>Complete and sign your proxy card and return it in the enclosed postage pre-paid envelope. If you received a Notice of Internet Availability, your notice provides instructions for requesting a proxy card.</w:t>
      </w:r>
    </w:p>
    <w:p>
      <w:pPr>
        <w:spacing w:after="0" w:line="200" w:lineRule="exact"/>
        <w:rPr>
          <w:sz w:val="20"/>
          <w:szCs w:val="20"/>
          <w:color w:val="auto"/>
        </w:rPr>
      </w:pPr>
    </w:p>
    <w:p>
      <w:pPr>
        <w:sectPr>
          <w:pgSz w:w="11900" w:h="16838" w:orient="portrait"/>
          <w:cols w:equalWidth="0" w:num="2">
            <w:col w:w="5180" w:space="660"/>
            <w:col w:w="5180"/>
          </w:cols>
          <w:pgMar w:left="440" w:top="265" w:right="439" w:bottom="1440" w:gutter="0" w:footer="0" w:header="0"/>
          <w:type w:val="continuous"/>
        </w:sect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E2A35"/>
        </w:rPr>
        <w:t>Your Vote Is Important</w:t>
      </w:r>
    </w:p>
    <w:p>
      <w:pPr>
        <w:spacing w:after="0" w:line="200" w:lineRule="exact"/>
        <w:rPr>
          <w:sz w:val="20"/>
          <w:szCs w:val="20"/>
          <w:color w:val="auto"/>
        </w:rPr>
      </w:pPr>
    </w:p>
    <w:p>
      <w:pPr>
        <w:ind w:left="860" w:right="1000"/>
        <w:spacing w:after="0" w:line="253" w:lineRule="auto"/>
        <w:rPr>
          <w:sz w:val="20"/>
          <w:szCs w:val="20"/>
          <w:color w:val="auto"/>
        </w:rPr>
      </w:pPr>
      <w:r>
        <w:rPr>
          <w:rFonts w:ascii="Arial" w:cs="Arial" w:eastAsia="Arial" w:hAnsi="Arial"/>
          <w:sz w:val="16"/>
          <w:szCs w:val="16"/>
          <w:color w:val="0E2A35"/>
        </w:rPr>
        <w:t>Whether or not you expect to attend the Annual Meeting, please vote via the Internet or telephone or request a paper proxy card to complete, sign and return by mail so that your shares may be voted. A prompt response is helpful and your cooperation is appreciated.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3</w:t>
            </w:r>
          </w:p>
        </w:tc>
      </w:tr>
      <w:tr>
        <w:trPr>
          <w:trHeight w:val="239"/>
        </w:trPr>
        <w:tc>
          <w:tcPr>
            <w:tcW w:w="9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0E2A35"/>
        </w:rPr>
        <w:t>Table of Contents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40" w:type="dxa"/>
            <w:vAlign w:val="bottom"/>
            <w:tcBorders>
              <w:bottom w:val="single" w:sz="8" w:color="0E2A35"/>
            </w:tcBorders>
            <w:shd w:val="clear" w:color="auto" w:fill="0E2A35"/>
          </w:tcPr>
          <w:p>
            <w:pPr>
              <w:spacing w:after="0"/>
              <w:rPr>
                <w:sz w:val="24"/>
                <w:szCs w:val="24"/>
                <w:color w:val="auto"/>
              </w:rPr>
            </w:pPr>
          </w:p>
        </w:tc>
        <w:tc>
          <w:tcPr>
            <w:tcW w:w="180" w:type="dxa"/>
            <w:vAlign w:val="bottom"/>
            <w:tcBorders>
              <w:bottom w:val="single" w:sz="8" w:color="0E2A35"/>
            </w:tcBorders>
            <w:shd w:val="clear" w:color="auto" w:fill="0E2A35"/>
          </w:tcPr>
          <w:p>
            <w:pPr>
              <w:spacing w:after="0"/>
              <w:rPr>
                <w:sz w:val="24"/>
                <w:szCs w:val="24"/>
                <w:color w:val="auto"/>
              </w:rPr>
            </w:pPr>
          </w:p>
        </w:tc>
        <w:tc>
          <w:tcPr>
            <w:tcW w:w="900" w:type="dxa"/>
            <w:vAlign w:val="bottom"/>
            <w:tcBorders>
              <w:bottom w:val="single" w:sz="8" w:color="0E2A35"/>
            </w:tcBorders>
            <w:shd w:val="clear" w:color="auto" w:fill="0E2A35"/>
          </w:tcPr>
          <w:p>
            <w:pPr>
              <w:spacing w:after="0"/>
              <w:rPr>
                <w:sz w:val="24"/>
                <w:szCs w:val="24"/>
                <w:color w:val="auto"/>
              </w:rPr>
            </w:pPr>
          </w:p>
        </w:tc>
        <w:tc>
          <w:tcPr>
            <w:tcW w:w="80" w:type="dxa"/>
            <w:vAlign w:val="bottom"/>
            <w:tcBorders>
              <w:bottom w:val="single" w:sz="8" w:color="0E2A35"/>
            </w:tcBorders>
            <w:shd w:val="clear" w:color="auto" w:fill="0E2A35"/>
          </w:tcPr>
          <w:p>
            <w:pPr>
              <w:spacing w:after="0"/>
              <w:rPr>
                <w:sz w:val="24"/>
                <w:szCs w:val="24"/>
                <w:color w:val="auto"/>
              </w:rPr>
            </w:pPr>
          </w:p>
        </w:tc>
        <w:tc>
          <w:tcPr>
            <w:tcW w:w="4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20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120" w:type="dxa"/>
            <w:vAlign w:val="bottom"/>
            <w:tcBorders>
              <w:bottom w:val="single" w:sz="8" w:color="0E2A35"/>
            </w:tcBorders>
            <w:shd w:val="clear" w:color="auto" w:fill="0E2A35"/>
          </w:tcPr>
          <w:p>
            <w:pPr>
              <w:spacing w:after="0"/>
              <w:rPr>
                <w:sz w:val="24"/>
                <w:szCs w:val="24"/>
                <w:color w:val="auto"/>
              </w:rPr>
            </w:pPr>
          </w:p>
        </w:tc>
        <w:tc>
          <w:tcPr>
            <w:tcW w:w="4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120" w:type="dxa"/>
            <w:vAlign w:val="bottom"/>
            <w:tcBorders>
              <w:bottom w:val="single" w:sz="8" w:color="0E2A35"/>
            </w:tcBorders>
            <w:shd w:val="clear" w:color="auto" w:fill="0E2A35"/>
          </w:tcPr>
          <w:p>
            <w:pPr>
              <w:spacing w:after="0"/>
              <w:rPr>
                <w:sz w:val="24"/>
                <w:szCs w:val="24"/>
                <w:color w:val="auto"/>
              </w:rPr>
            </w:pPr>
          </w:p>
        </w:tc>
        <w:tc>
          <w:tcPr>
            <w:tcW w:w="4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200" w:type="dxa"/>
            <w:vAlign w:val="bottom"/>
            <w:tcBorders>
              <w:bottom w:val="single" w:sz="8" w:color="0E2A35"/>
            </w:tcBorders>
            <w:shd w:val="clear" w:color="auto" w:fill="0E2A35"/>
          </w:tcPr>
          <w:p>
            <w:pPr>
              <w:spacing w:after="0"/>
              <w:rPr>
                <w:sz w:val="24"/>
                <w:szCs w:val="24"/>
                <w:color w:val="auto"/>
              </w:rPr>
            </w:pPr>
          </w:p>
        </w:tc>
        <w:tc>
          <w:tcPr>
            <w:tcW w:w="2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60" w:type="dxa"/>
            <w:vAlign w:val="bottom"/>
            <w:tcBorders>
              <w:bottom w:val="single" w:sz="8" w:color="0E2A35"/>
            </w:tcBorders>
            <w:shd w:val="clear" w:color="auto" w:fill="0E2A35"/>
          </w:tcPr>
          <w:p>
            <w:pPr>
              <w:spacing w:after="0"/>
              <w:rPr>
                <w:sz w:val="24"/>
                <w:szCs w:val="24"/>
                <w:color w:val="auto"/>
              </w:rPr>
            </w:pPr>
          </w:p>
        </w:tc>
        <w:tc>
          <w:tcPr>
            <w:tcW w:w="20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340" w:type="dxa"/>
            <w:vAlign w:val="bottom"/>
            <w:tcBorders>
              <w:bottom w:val="single" w:sz="8" w:color="0E2A35"/>
            </w:tcBorders>
            <w:shd w:val="clear" w:color="auto" w:fill="0E2A35"/>
          </w:tcPr>
          <w:p>
            <w:pPr>
              <w:spacing w:after="0"/>
              <w:rPr>
                <w:sz w:val="24"/>
                <w:szCs w:val="24"/>
                <w:color w:val="auto"/>
              </w:rPr>
            </w:pPr>
          </w:p>
        </w:tc>
        <w:tc>
          <w:tcPr>
            <w:tcW w:w="80" w:type="dxa"/>
            <w:vAlign w:val="bottom"/>
            <w:tcBorders>
              <w:bottom w:val="single" w:sz="8" w:color="0E2A35"/>
            </w:tcBorders>
            <w:shd w:val="clear" w:color="auto" w:fill="0E2A35"/>
          </w:tcPr>
          <w:p>
            <w:pPr>
              <w:spacing w:after="0"/>
              <w:rPr>
                <w:sz w:val="24"/>
                <w:szCs w:val="24"/>
                <w:color w:val="auto"/>
              </w:rPr>
            </w:pPr>
          </w:p>
        </w:tc>
        <w:tc>
          <w:tcPr>
            <w:tcW w:w="240" w:type="dxa"/>
            <w:vAlign w:val="bottom"/>
            <w:tcBorders>
              <w:bottom w:val="single" w:sz="8" w:color="0E2A35"/>
            </w:tcBorders>
            <w:shd w:val="clear" w:color="auto" w:fill="0E2A35"/>
          </w:tcPr>
          <w:p>
            <w:pPr>
              <w:spacing w:after="0"/>
              <w:rPr>
                <w:sz w:val="24"/>
                <w:szCs w:val="24"/>
                <w:color w:val="auto"/>
              </w:rPr>
            </w:pPr>
          </w:p>
        </w:tc>
        <w:tc>
          <w:tcPr>
            <w:tcW w:w="100" w:type="dxa"/>
            <w:vAlign w:val="bottom"/>
            <w:tcBorders>
              <w:bottom w:val="single" w:sz="8" w:color="0E2A35"/>
            </w:tcBorders>
            <w:shd w:val="clear" w:color="auto" w:fill="0E2A35"/>
          </w:tcPr>
          <w:p>
            <w:pPr>
              <w:spacing w:after="0"/>
              <w:rPr>
                <w:sz w:val="24"/>
                <w:szCs w:val="24"/>
                <w:color w:val="auto"/>
              </w:rPr>
            </w:pPr>
          </w:p>
        </w:tc>
        <w:tc>
          <w:tcPr>
            <w:tcW w:w="160" w:type="dxa"/>
            <w:vAlign w:val="bottom"/>
            <w:tcBorders>
              <w:bottom w:val="single" w:sz="8" w:color="0E2A35"/>
            </w:tcBorders>
            <w:shd w:val="clear" w:color="auto" w:fill="0E2A35"/>
          </w:tcPr>
          <w:p>
            <w:pPr>
              <w:spacing w:after="0"/>
              <w:rPr>
                <w:sz w:val="24"/>
                <w:szCs w:val="24"/>
                <w:color w:val="auto"/>
              </w:rPr>
            </w:pPr>
          </w:p>
        </w:tc>
        <w:tc>
          <w:tcPr>
            <w:tcW w:w="360" w:type="dxa"/>
            <w:vAlign w:val="bottom"/>
            <w:tcBorders>
              <w:bottom w:val="single" w:sz="8" w:color="0E2A35"/>
            </w:tcBorders>
            <w:shd w:val="clear" w:color="auto" w:fill="0E2A35"/>
          </w:tcPr>
          <w:p>
            <w:pPr>
              <w:spacing w:after="0"/>
              <w:rPr>
                <w:sz w:val="24"/>
                <w:szCs w:val="24"/>
                <w:color w:val="auto"/>
              </w:rPr>
            </w:pPr>
          </w:p>
        </w:tc>
        <w:tc>
          <w:tcPr>
            <w:tcW w:w="140" w:type="dxa"/>
            <w:vAlign w:val="bottom"/>
            <w:tcBorders>
              <w:bottom w:val="single" w:sz="8" w:color="0E2A35"/>
            </w:tcBorders>
            <w:shd w:val="clear" w:color="auto" w:fill="0E2A35"/>
          </w:tcPr>
          <w:p>
            <w:pPr>
              <w:spacing w:after="0"/>
              <w:rPr>
                <w:sz w:val="24"/>
                <w:szCs w:val="24"/>
                <w:color w:val="auto"/>
              </w:rPr>
            </w:pPr>
          </w:p>
        </w:tc>
        <w:tc>
          <w:tcPr>
            <w:tcW w:w="880" w:type="dxa"/>
            <w:vAlign w:val="bottom"/>
            <w:tcBorders>
              <w:bottom w:val="single" w:sz="8" w:color="0E2A35"/>
            </w:tcBorders>
            <w:shd w:val="clear" w:color="auto" w:fill="0E2A35"/>
          </w:tcPr>
          <w:p>
            <w:pPr>
              <w:spacing w:after="0"/>
              <w:rPr>
                <w:sz w:val="24"/>
                <w:szCs w:val="24"/>
                <w:color w:val="auto"/>
              </w:rPr>
            </w:pPr>
          </w:p>
        </w:tc>
        <w:tc>
          <w:tcPr>
            <w:tcW w:w="340" w:type="dxa"/>
            <w:vAlign w:val="bottom"/>
            <w:tcBorders>
              <w:bottom w:val="single" w:sz="8" w:color="0E2A35"/>
            </w:tcBorders>
            <w:shd w:val="clear" w:color="auto" w:fill="0E2A35"/>
          </w:tcPr>
          <w:p>
            <w:pPr>
              <w:spacing w:after="0"/>
              <w:rPr>
                <w:sz w:val="24"/>
                <w:szCs w:val="24"/>
                <w:color w:val="auto"/>
              </w:rPr>
            </w:pPr>
          </w:p>
        </w:tc>
        <w:tc>
          <w:tcPr>
            <w:tcW w:w="1320" w:type="dxa"/>
            <w:vAlign w:val="bottom"/>
            <w:tcBorders>
              <w:bottom w:val="single" w:sz="8" w:color="0E2A35"/>
            </w:tcBorders>
            <w:shd w:val="clear" w:color="auto" w:fill="0E2A35"/>
          </w:tcPr>
          <w:p>
            <w:pPr>
              <w:spacing w:after="0"/>
              <w:rPr>
                <w:sz w:val="24"/>
                <w:szCs w:val="24"/>
                <w:color w:val="auto"/>
              </w:rPr>
            </w:pPr>
          </w:p>
        </w:tc>
        <w:tc>
          <w:tcPr>
            <w:tcW w:w="740" w:type="dxa"/>
            <w:vAlign w:val="bottom"/>
            <w:tcBorders>
              <w:bottom w:val="single" w:sz="8" w:color="0E2A35"/>
            </w:tcBorders>
            <w:shd w:val="clear" w:color="auto" w:fill="0E2A35"/>
          </w:tcPr>
          <w:p>
            <w:pPr>
              <w:spacing w:after="0"/>
              <w:rPr>
                <w:sz w:val="24"/>
                <w:szCs w:val="24"/>
                <w:color w:val="auto"/>
              </w:rPr>
            </w:pPr>
          </w:p>
        </w:tc>
        <w:tc>
          <w:tcPr>
            <w:tcW w:w="360" w:type="dxa"/>
            <w:vAlign w:val="bottom"/>
            <w:tcBorders>
              <w:bottom w:val="single" w:sz="8" w:color="0E2A35"/>
            </w:tcBorders>
            <w:shd w:val="clear" w:color="auto" w:fill="0E2A35"/>
          </w:tcPr>
          <w:p>
            <w:pPr>
              <w:spacing w:after="0"/>
              <w:rPr>
                <w:sz w:val="24"/>
                <w:szCs w:val="24"/>
                <w:color w:val="auto"/>
              </w:rPr>
            </w:pPr>
          </w:p>
        </w:tc>
        <w:tc>
          <w:tcPr>
            <w:tcW w:w="780" w:type="dxa"/>
            <w:vAlign w:val="bottom"/>
            <w:tcBorders>
              <w:bottom w:val="single" w:sz="8" w:color="0E2A35"/>
            </w:tcBorders>
            <w:gridSpan w:val="6"/>
            <w:shd w:val="clear" w:color="auto" w:fill="0E2A35"/>
          </w:tcPr>
          <w:p>
            <w:pPr>
              <w:jc w:val="right"/>
              <w:ind w:right="120"/>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216"/>
        </w:trPr>
        <w:tc>
          <w:tcPr>
            <w:tcW w:w="8500" w:type="dxa"/>
            <w:vAlign w:val="bottom"/>
            <w:gridSpan w:val="45"/>
          </w:tcPr>
          <w:p>
            <w:pPr>
              <w:ind w:left="140"/>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PROXY STATEMENT SUMMARY</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0">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0">
              <w:r>
                <w:rPr>
                  <w:rFonts w:ascii="Arial" w:cs="Arial" w:eastAsia="Arial" w:hAnsi="Arial"/>
                  <w:sz w:val="14"/>
                  <w:szCs w:val="14"/>
                  <w:color w:val="0000EE"/>
                </w:rPr>
                <w:t>Voting Roadmap</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0">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2">
              <w:r>
                <w:rPr>
                  <w:rFonts w:ascii="Arial" w:cs="Arial" w:eastAsia="Arial" w:hAnsi="Arial"/>
                  <w:sz w:val="14"/>
                  <w:szCs w:val="14"/>
                  <w:color w:val="0000EE"/>
                </w:rPr>
                <w:t>Fiscal 2021 Performance Highlights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2">
              <w:r>
                <w:rPr>
                  <w:rFonts w:ascii="Arial" w:cs="Arial" w:eastAsia="Arial" w:hAnsi="Arial"/>
                  <w:sz w:val="14"/>
                  <w:szCs w:val="14"/>
                  <w:color w:val="0000EE"/>
                </w:rPr>
                <w:t>7</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3">
              <w:r>
                <w:rPr>
                  <w:rFonts w:ascii="Arial" w:cs="Arial" w:eastAsia="Arial" w:hAnsi="Arial"/>
                  <w:sz w:val="14"/>
                  <w:szCs w:val="14"/>
                  <w:color w:val="0000EE"/>
                </w:rPr>
                <w:t>Corporate Responsibility</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3">
              <w:r>
                <w:rPr>
                  <w:rFonts w:ascii="Arial" w:cs="Arial" w:eastAsia="Arial" w:hAnsi="Arial"/>
                  <w:sz w:val="14"/>
                  <w:szCs w:val="14"/>
                  <w:color w:val="0000EE"/>
                </w:rPr>
                <w:t>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4">
              <w:r>
                <w:rPr>
                  <w:rFonts w:ascii="Arial" w:cs="Arial" w:eastAsia="Arial" w:hAnsi="Arial"/>
                  <w:sz w:val="14"/>
                  <w:szCs w:val="14"/>
                  <w:color w:val="0000EE"/>
                </w:rPr>
                <w:t>Corporate Governance Highlights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4">
              <w:r>
                <w:rPr>
                  <w:rFonts w:ascii="Arial" w:cs="Arial" w:eastAsia="Arial" w:hAnsi="Arial"/>
                  <w:sz w:val="14"/>
                  <w:szCs w:val="14"/>
                  <w:color w:val="0000EE"/>
                </w:rPr>
                <w:t>9</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17">
              <w:r>
                <w:rPr>
                  <w:rFonts w:ascii="Arial" w:cs="Arial" w:eastAsia="Arial" w:hAnsi="Arial"/>
                  <w:sz w:val="14"/>
                  <w:szCs w:val="14"/>
                  <w:b w:val="1"/>
                  <w:bCs w:val="1"/>
                  <w:color w:val="0000EE"/>
                </w:rPr>
                <w:t>CORPORATE GOVERNANCE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7">
              <w:r>
                <w:rPr>
                  <w:rFonts w:ascii="Arial" w:cs="Arial" w:eastAsia="Arial" w:hAnsi="Arial"/>
                  <w:sz w:val="14"/>
                  <w:szCs w:val="14"/>
                  <w:color w:val="0000EE"/>
                </w:rPr>
                <w:t>Board Leadership Structure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7">
              <w:r>
                <w:rPr>
                  <w:rFonts w:ascii="Arial" w:cs="Arial" w:eastAsia="Arial" w:hAnsi="Arial"/>
                  <w:sz w:val="14"/>
                  <w:szCs w:val="14"/>
                  <w:color w:val="0000EE"/>
                </w:rPr>
                <w:t>Board and Shareholder Meeting Attendance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7">
              <w:r>
                <w:rPr>
                  <w:rFonts w:ascii="Arial" w:cs="Arial" w:eastAsia="Arial" w:hAnsi="Arial"/>
                  <w:sz w:val="14"/>
                  <w:szCs w:val="14"/>
                  <w:color w:val="0000EE"/>
                </w:rPr>
                <w:t>Board Committees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7">
              <w:r>
                <w:rPr>
                  <w:rFonts w:ascii="Arial" w:cs="Arial" w:eastAsia="Arial" w:hAnsi="Arial"/>
                  <w:sz w:val="14"/>
                  <w:szCs w:val="14"/>
                  <w:color w:val="0000EE"/>
                </w:rPr>
                <w:t>12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9">
              <w:r>
                <w:rPr>
                  <w:rFonts w:ascii="Arial" w:cs="Arial" w:eastAsia="Arial" w:hAnsi="Arial"/>
                  <w:sz w:val="14"/>
                  <w:szCs w:val="14"/>
                  <w:color w:val="0000EE"/>
                </w:rPr>
                <w:t>Director Independence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9">
              <w:r>
                <w:rPr>
                  <w:rFonts w:ascii="Arial" w:cs="Arial" w:eastAsia="Arial" w:hAnsi="Arial"/>
                  <w:sz w:val="14"/>
                  <w:szCs w:val="14"/>
                  <w:color w:val="0000EE"/>
                </w:rPr>
                <w:t>14</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19">
              <w:r>
                <w:rPr>
                  <w:rFonts w:ascii="Arial" w:cs="Arial" w:eastAsia="Arial" w:hAnsi="Arial"/>
                  <w:sz w:val="14"/>
                  <w:szCs w:val="14"/>
                  <w:color w:val="0000EE"/>
                </w:rPr>
                <w:t>Risk Management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19">
              <w:r>
                <w:rPr>
                  <w:rFonts w:ascii="Arial" w:cs="Arial" w:eastAsia="Arial" w:hAnsi="Arial"/>
                  <w:sz w:val="14"/>
                  <w:szCs w:val="14"/>
                  <w:color w:val="0000EE"/>
                </w:rPr>
                <w:t>14</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1">
              <w:r>
                <w:rPr>
                  <w:rFonts w:ascii="Arial" w:cs="Arial" w:eastAsia="Arial" w:hAnsi="Arial"/>
                  <w:sz w:val="14"/>
                  <w:szCs w:val="14"/>
                  <w:color w:val="0000EE"/>
                </w:rPr>
                <w:t>Board Refreshment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1">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1">
              <w:r>
                <w:rPr>
                  <w:rFonts w:ascii="Arial" w:cs="Arial" w:eastAsia="Arial" w:hAnsi="Arial"/>
                  <w:sz w:val="14"/>
                  <w:szCs w:val="14"/>
                  <w:color w:val="0000EE"/>
                </w:rPr>
                <w:t>Code of Conduct and Corporate Governance Documents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1">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1">
              <w:r>
                <w:rPr>
                  <w:rFonts w:ascii="Arial" w:cs="Arial" w:eastAsia="Arial" w:hAnsi="Arial"/>
                  <w:sz w:val="14"/>
                  <w:szCs w:val="14"/>
                  <w:color w:val="0000EE"/>
                </w:rPr>
                <w:t>Policy on Transactions with Related Persons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1">
              <w:r>
                <w:rPr>
                  <w:rFonts w:ascii="Arial" w:cs="Arial" w:eastAsia="Arial" w:hAnsi="Arial"/>
                  <w:sz w:val="14"/>
                  <w:szCs w:val="14"/>
                  <w:color w:val="0000EE"/>
                </w:rPr>
                <w:t>16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2">
              <w:r>
                <w:rPr>
                  <w:rFonts w:ascii="Arial" w:cs="Arial" w:eastAsia="Arial" w:hAnsi="Arial"/>
                  <w:sz w:val="14"/>
                  <w:szCs w:val="14"/>
                  <w:color w:val="0000EE"/>
                </w:rPr>
                <w:t>Communications with Directors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2">
              <w:r>
                <w:rPr>
                  <w:rFonts w:ascii="Arial" w:cs="Arial" w:eastAsia="Arial" w:hAnsi="Arial"/>
                  <w:sz w:val="14"/>
                  <w:szCs w:val="14"/>
                  <w:color w:val="0000EE"/>
                </w:rPr>
                <w:t>17</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22">
              <w:r>
                <w:rPr>
                  <w:rFonts w:ascii="Arial" w:cs="Arial" w:eastAsia="Arial" w:hAnsi="Arial"/>
                  <w:sz w:val="14"/>
                  <w:szCs w:val="14"/>
                  <w:color w:val="0000EE"/>
                </w:rPr>
                <w:t>Anti-Hedging and Anti-Pledging Policy</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2">
              <w:r>
                <w:rPr>
                  <w:rFonts w:ascii="Arial" w:cs="Arial" w:eastAsia="Arial" w:hAnsi="Arial"/>
                  <w:sz w:val="14"/>
                  <w:szCs w:val="14"/>
                  <w:color w:val="0000EE"/>
                </w:rPr>
                <w:t>17</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23">
              <w:r>
                <w:rPr>
                  <w:rFonts w:ascii="Arial" w:cs="Arial" w:eastAsia="Arial" w:hAnsi="Arial"/>
                  <w:sz w:val="14"/>
                  <w:szCs w:val="14"/>
                  <w:b w:val="1"/>
                  <w:bCs w:val="1"/>
                  <w:color w:val="0000EE"/>
                </w:rPr>
                <w:t>PROPOSAL 1 – ELECTION OF DIRECTORS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23">
              <w:r>
                <w:rPr>
                  <w:rFonts w:ascii="Arial" w:cs="Arial" w:eastAsia="Arial" w:hAnsi="Arial"/>
                  <w:sz w:val="14"/>
                  <w:szCs w:val="14"/>
                  <w:color w:val="0000EE"/>
                </w:rPr>
                <w:t>18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31">
              <w:r>
                <w:rPr>
                  <w:rFonts w:ascii="Arial" w:cs="Arial" w:eastAsia="Arial" w:hAnsi="Arial"/>
                  <w:sz w:val="14"/>
                  <w:szCs w:val="14"/>
                  <w:b w:val="1"/>
                  <w:bCs w:val="1"/>
                  <w:color w:val="0000EE"/>
                </w:rPr>
                <w:t>DIRECTOR COMPENSATION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1">
              <w:r>
                <w:rPr>
                  <w:rFonts w:ascii="Arial" w:cs="Arial" w:eastAsia="Arial" w:hAnsi="Arial"/>
                  <w:sz w:val="14"/>
                  <w:szCs w:val="14"/>
                  <w:color w:val="0000EE"/>
                </w:rPr>
                <w:t>26</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2">
              <w:r>
                <w:rPr>
                  <w:rFonts w:ascii="Arial" w:cs="Arial" w:eastAsia="Arial" w:hAnsi="Arial"/>
                  <w:sz w:val="14"/>
                  <w:szCs w:val="14"/>
                  <w:color w:val="0000EE"/>
                </w:rPr>
                <w:t>Director Compensation Table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2">
              <w:r>
                <w:rPr>
                  <w:rFonts w:ascii="Arial" w:cs="Arial" w:eastAsia="Arial" w:hAnsi="Arial"/>
                  <w:sz w:val="14"/>
                  <w:szCs w:val="14"/>
                  <w:color w:val="0000EE"/>
                </w:rPr>
                <w:t>27</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3">
              <w:r>
                <w:rPr>
                  <w:rFonts w:ascii="Arial" w:cs="Arial" w:eastAsia="Arial" w:hAnsi="Arial"/>
                  <w:sz w:val="14"/>
                  <w:szCs w:val="14"/>
                  <w:color w:val="0000EE"/>
                </w:rPr>
                <w:t>Non-Employee Director Equity Awards Outstanding as of August 28, 2021</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3">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3">
              <w:r>
                <w:rPr>
                  <w:rFonts w:ascii="Arial" w:cs="Arial" w:eastAsia="Arial" w:hAnsi="Arial"/>
                  <w:sz w:val="14"/>
                  <w:szCs w:val="14"/>
                  <w:color w:val="0000EE"/>
                </w:rPr>
                <w:t>Director Ownership Guidelines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3">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3">
              <w:r>
                <w:rPr>
                  <w:rFonts w:ascii="Arial" w:cs="Arial" w:eastAsia="Arial" w:hAnsi="Arial"/>
                  <w:sz w:val="14"/>
                  <w:szCs w:val="14"/>
                  <w:color w:val="0000EE"/>
                </w:rPr>
                <w:t>Directors’ Deferred Compensation Plan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3">
              <w:r>
                <w:rPr>
                  <w:rFonts w:ascii="Arial" w:cs="Arial" w:eastAsia="Arial" w:hAnsi="Arial"/>
                  <w:sz w:val="14"/>
                  <w:szCs w:val="14"/>
                  <w:color w:val="0000EE"/>
                </w:rPr>
                <w:t>28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4">
              <w:r>
                <w:rPr>
                  <w:rFonts w:ascii="Arial" w:cs="Arial" w:eastAsia="Arial" w:hAnsi="Arial"/>
                  <w:sz w:val="14"/>
                  <w:szCs w:val="14"/>
                  <w:color w:val="0000EE"/>
                </w:rPr>
                <w:t>Director Annual Equity Grants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4">
              <w:r>
                <w:rPr>
                  <w:rFonts w:ascii="Arial" w:cs="Arial" w:eastAsia="Arial" w:hAnsi="Arial"/>
                  <w:sz w:val="14"/>
                  <w:szCs w:val="14"/>
                  <w:color w:val="0000EE"/>
                </w:rPr>
                <w:t>29</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36">
              <w:r>
                <w:rPr>
                  <w:rFonts w:ascii="Arial" w:cs="Arial" w:eastAsia="Arial" w:hAnsi="Arial"/>
                  <w:sz w:val="14"/>
                  <w:szCs w:val="14"/>
                  <w:b w:val="1"/>
                  <w:bCs w:val="1"/>
                  <w:color w:val="0000EE"/>
                </w:rPr>
                <w:t>PROPOSAL 2 – ADVISORY VOTE ON EXECUTIVE COMPENSATION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6">
              <w:r>
                <w:rPr>
                  <w:rFonts w:ascii="Arial" w:cs="Arial" w:eastAsia="Arial" w:hAnsi="Arial"/>
                  <w:sz w:val="14"/>
                  <w:szCs w:val="14"/>
                  <w:color w:val="0000EE"/>
                </w:rPr>
                <w:t>31</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37">
              <w:r>
                <w:rPr>
                  <w:rFonts w:ascii="Arial" w:cs="Arial" w:eastAsia="Arial" w:hAnsi="Arial"/>
                  <w:sz w:val="14"/>
                  <w:szCs w:val="14"/>
                  <w:b w:val="1"/>
                  <w:bCs w:val="1"/>
                  <w:color w:val="0000EE"/>
                </w:rPr>
                <w:t>EXECUTIVE COMPENSATION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7">
              <w:r>
                <w:rPr>
                  <w:rFonts w:ascii="Arial" w:cs="Arial" w:eastAsia="Arial" w:hAnsi="Arial"/>
                  <w:sz w:val="14"/>
                  <w:szCs w:val="14"/>
                  <w:color w:val="0000EE"/>
                </w:rPr>
                <w:t>32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38">
              <w:r>
                <w:rPr>
                  <w:rFonts w:ascii="Arial" w:cs="Arial" w:eastAsia="Arial" w:hAnsi="Arial"/>
                  <w:sz w:val="14"/>
                  <w:szCs w:val="14"/>
                  <w:color w:val="0000EE"/>
                </w:rPr>
                <w:t>Compensation Discussion and Analysis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38">
              <w:r>
                <w:rPr>
                  <w:rFonts w:ascii="Arial" w:cs="Arial" w:eastAsia="Arial" w:hAnsi="Arial"/>
                  <w:sz w:val="14"/>
                  <w:szCs w:val="14"/>
                  <w:color w:val="0000EE"/>
                </w:rPr>
                <w:t>33</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57">
              <w:r>
                <w:rPr>
                  <w:rFonts w:ascii="Arial" w:cs="Arial" w:eastAsia="Arial" w:hAnsi="Arial"/>
                  <w:sz w:val="14"/>
                  <w:szCs w:val="14"/>
                  <w:color w:val="0000EE"/>
                </w:rPr>
                <w:t>Human Resources Committee Report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57">
              <w:r>
                <w:rPr>
                  <w:rFonts w:ascii="Arial" w:cs="Arial" w:eastAsia="Arial" w:hAnsi="Arial"/>
                  <w:sz w:val="14"/>
                  <w:szCs w:val="14"/>
                  <w:color w:val="0000EE"/>
                </w:rPr>
                <w:t>52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58">
              <w:r>
                <w:rPr>
                  <w:rFonts w:ascii="Arial" w:cs="Arial" w:eastAsia="Arial" w:hAnsi="Arial"/>
                  <w:sz w:val="14"/>
                  <w:szCs w:val="14"/>
                  <w:color w:val="0000EE"/>
                </w:rPr>
                <w:t>Compensation Tables and Narrative Disclosure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58">
              <w:r>
                <w:rPr>
                  <w:rFonts w:ascii="Arial" w:cs="Arial" w:eastAsia="Arial" w:hAnsi="Arial"/>
                  <w:sz w:val="14"/>
                  <w:szCs w:val="14"/>
                  <w:color w:val="0000EE"/>
                </w:rPr>
                <w:t>53</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67">
              <w:r>
                <w:rPr>
                  <w:rFonts w:ascii="Arial" w:cs="Arial" w:eastAsia="Arial" w:hAnsi="Arial"/>
                  <w:sz w:val="14"/>
                  <w:szCs w:val="14"/>
                  <w:color w:val="0000EE"/>
                </w:rPr>
                <w:t>Estimated Change in Control or Termination Payments and Benefits at the End of Fiscal 2021</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67">
              <w:r>
                <w:rPr>
                  <w:rFonts w:ascii="Arial" w:cs="Arial" w:eastAsia="Arial" w:hAnsi="Arial"/>
                  <w:sz w:val="14"/>
                  <w:szCs w:val="14"/>
                  <w:color w:val="0000EE"/>
                </w:rPr>
                <w:t>62</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69">
              <w:r>
                <w:rPr>
                  <w:rFonts w:ascii="Arial" w:cs="Arial" w:eastAsia="Arial" w:hAnsi="Arial"/>
                  <w:sz w:val="14"/>
                  <w:szCs w:val="14"/>
                  <w:color w:val="0000EE"/>
                </w:rPr>
                <w:t>CEO Pay Ratio Disclosure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69">
              <w:r>
                <w:rPr>
                  <w:rFonts w:ascii="Arial" w:cs="Arial" w:eastAsia="Arial" w:hAnsi="Arial"/>
                  <w:sz w:val="14"/>
                  <w:szCs w:val="14"/>
                  <w:color w:val="0000EE"/>
                </w:rPr>
                <w:t>64</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70">
              <w:r>
                <w:rPr>
                  <w:rFonts w:ascii="Arial" w:cs="Arial" w:eastAsia="Arial" w:hAnsi="Arial"/>
                  <w:sz w:val="14"/>
                  <w:szCs w:val="14"/>
                  <w:color w:val="0000EE"/>
                </w:rPr>
                <w:t>Equity Compensation Plan Information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0">
              <w:r>
                <w:rPr>
                  <w:rFonts w:ascii="Arial" w:cs="Arial" w:eastAsia="Arial" w:hAnsi="Arial"/>
                  <w:sz w:val="14"/>
                  <w:szCs w:val="14"/>
                  <w:color w:val="0000EE"/>
                </w:rPr>
                <w:t>65</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71">
              <w:r>
                <w:rPr>
                  <w:rFonts w:ascii="Arial" w:cs="Arial" w:eastAsia="Arial" w:hAnsi="Arial"/>
                  <w:sz w:val="14"/>
                  <w:szCs w:val="14"/>
                  <w:b w:val="1"/>
                  <w:bCs w:val="1"/>
                  <w:color w:val="0000EE"/>
                </w:rPr>
                <w:t>PROPOSAL 3 – RATIFICATION OF THE APPOINTMENT OF INDEPENDENT REGISTERED PUBLIC ACCOUNTANT FOR</w:t>
              </w:r>
            </w:hyperlink>
          </w:p>
        </w:tc>
        <w:tc>
          <w:tcPr>
            <w:tcW w:w="780" w:type="dxa"/>
            <w:vAlign w:val="bottom"/>
            <w:gridSpan w:val="6"/>
            <w:vMerge w:val="restart"/>
          </w:tcPr>
          <w:p>
            <w:pPr>
              <w:jc w:val="right"/>
              <w:ind w:right="100"/>
              <w:spacing w:after="0"/>
              <w:rPr>
                <w:rFonts w:ascii="Arial" w:cs="Arial" w:eastAsia="Arial" w:hAnsi="Arial"/>
                <w:sz w:val="14"/>
                <w:szCs w:val="14"/>
                <w:color w:val="0000EE"/>
              </w:rPr>
            </w:pPr>
            <w:hyperlink w:anchor="page71">
              <w:r>
                <w:rPr>
                  <w:rFonts w:ascii="Arial" w:cs="Arial" w:eastAsia="Arial" w:hAnsi="Arial"/>
                  <w:sz w:val="14"/>
                  <w:szCs w:val="14"/>
                  <w:color w:val="0000EE"/>
                </w:rPr>
                <w:t>66</w:t>
              </w:r>
            </w:hyperlink>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8000" w:type="dxa"/>
            <w:vAlign w:val="bottom"/>
            <w:tcBorders>
              <w:top w:val="single" w:sz="8" w:color="0000EE"/>
            </w:tcBorders>
            <w:gridSpan w:val="43"/>
          </w:tcPr>
          <w:p>
            <w:pPr>
              <w:ind w:left="180"/>
              <w:spacing w:after="0" w:line="142" w:lineRule="exact"/>
              <w:rPr>
                <w:rFonts w:ascii="Arial" w:cs="Arial" w:eastAsia="Arial" w:hAnsi="Arial"/>
                <w:sz w:val="14"/>
                <w:szCs w:val="14"/>
                <w:b w:val="1"/>
                <w:bCs w:val="1"/>
                <w:color w:val="0000EE"/>
              </w:rPr>
            </w:pPr>
            <w:hyperlink w:anchor="page71">
              <w:r>
                <w:rPr>
                  <w:rFonts w:ascii="Arial" w:cs="Arial" w:eastAsia="Arial" w:hAnsi="Arial"/>
                  <w:sz w:val="14"/>
                  <w:szCs w:val="14"/>
                  <w:b w:val="1"/>
                  <w:bCs w:val="1"/>
                  <w:color w:val="0000EE"/>
                </w:rPr>
                <w:t>THE FISCAL YEAR ENDING AUGUST 27, 2022</w:t>
              </w:r>
            </w:hyperlink>
          </w:p>
        </w:tc>
        <w:tc>
          <w:tcPr>
            <w:tcW w:w="360" w:type="dxa"/>
            <w:vAlign w:val="bottom"/>
          </w:tcPr>
          <w:p>
            <w:pPr>
              <w:spacing w:after="0"/>
              <w:rPr>
                <w:sz w:val="12"/>
                <w:szCs w:val="12"/>
                <w:color w:val="auto"/>
              </w:rPr>
            </w:pPr>
          </w:p>
        </w:tc>
        <w:tc>
          <w:tcPr>
            <w:tcW w:w="7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72">
              <w:r>
                <w:rPr>
                  <w:rFonts w:ascii="Arial" w:cs="Arial" w:eastAsia="Arial" w:hAnsi="Arial"/>
                  <w:sz w:val="14"/>
                  <w:szCs w:val="14"/>
                  <w:color w:val="0000EE"/>
                </w:rPr>
                <w:t>Report of the Audit Committee</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2">
              <w:r>
                <w:rPr>
                  <w:rFonts w:ascii="Arial" w:cs="Arial" w:eastAsia="Arial" w:hAnsi="Arial"/>
                  <w:sz w:val="14"/>
                  <w:szCs w:val="14"/>
                  <w:color w:val="0000EE"/>
                </w:rPr>
                <w:t>67</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color w:val="0000EE"/>
              </w:rPr>
            </w:pPr>
            <w:hyperlink w:anchor="page73">
              <w:r>
                <w:rPr>
                  <w:rFonts w:ascii="Arial" w:cs="Arial" w:eastAsia="Arial" w:hAnsi="Arial"/>
                  <w:sz w:val="14"/>
                  <w:szCs w:val="14"/>
                  <w:color w:val="0000EE"/>
                </w:rPr>
                <w:t>Independent Registered Public Accountant’s Fees and Services</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3">
              <w:r>
                <w:rPr>
                  <w:rFonts w:ascii="Arial" w:cs="Arial" w:eastAsia="Arial" w:hAnsi="Arial"/>
                  <w:sz w:val="14"/>
                  <w:szCs w:val="14"/>
                  <w:color w:val="0000EE"/>
                </w:rPr>
                <w:t>68</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74">
              <w:r>
                <w:rPr>
                  <w:rFonts w:ascii="Arial" w:cs="Arial" w:eastAsia="Arial" w:hAnsi="Arial"/>
                  <w:sz w:val="14"/>
                  <w:szCs w:val="14"/>
                  <w:b w:val="1"/>
                  <w:bCs w:val="1"/>
                  <w:color w:val="0000EE"/>
                </w:rPr>
                <w:t>PROPOSAL 4 – APPROVAL OF THE REINCORPORATION OF THE COMPANY FROM IOWA TO MINNESOTA</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74">
              <w:r>
                <w:rPr>
                  <w:rFonts w:ascii="Arial" w:cs="Arial" w:eastAsia="Arial" w:hAnsi="Arial"/>
                  <w:sz w:val="14"/>
                  <w:szCs w:val="14"/>
                  <w:color w:val="0000EE"/>
                </w:rPr>
                <w:t>69</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1320" w:type="dxa"/>
            <w:vAlign w:val="bottom"/>
            <w:tcBorders>
              <w:top w:val="single" w:sz="8" w:color="0000EE"/>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86">
              <w:r>
                <w:rPr>
                  <w:rFonts w:ascii="Arial" w:cs="Arial" w:eastAsia="Arial" w:hAnsi="Arial"/>
                  <w:sz w:val="14"/>
                  <w:szCs w:val="14"/>
                  <w:b w:val="1"/>
                  <w:bCs w:val="1"/>
                  <w:color w:val="0000EE"/>
                </w:rPr>
                <w:t>SECURITY OWNERSHIP OF CERTAIN BENEFICIAL OWNERS AND MANAGEMENT</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86">
              <w:r>
                <w:rPr>
                  <w:rFonts w:ascii="Arial" w:cs="Arial" w:eastAsia="Arial" w:hAnsi="Arial"/>
                  <w:sz w:val="14"/>
                  <w:szCs w:val="14"/>
                  <w:color w:val="0000EE"/>
                </w:rPr>
                <w:t>81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top w:val="single" w:sz="8" w:color="0000EE"/>
              <w:bottom w:val="single" w:sz="8" w:color="0E2A35"/>
            </w:tcBorders>
          </w:tcPr>
          <w:p>
            <w:pPr>
              <w:spacing w:after="0"/>
              <w:rPr>
                <w:sz w:val="6"/>
                <w:szCs w:val="6"/>
                <w:color w:val="auto"/>
              </w:rPr>
            </w:pPr>
          </w:p>
        </w:tc>
        <w:tc>
          <w:tcPr>
            <w:tcW w:w="140" w:type="dxa"/>
            <w:vAlign w:val="bottom"/>
            <w:tcBorders>
              <w:top w:val="single" w:sz="8" w:color="0000EE"/>
              <w:bottom w:val="single" w:sz="8" w:color="0E2A35"/>
            </w:tcBorders>
          </w:tcPr>
          <w:p>
            <w:pPr>
              <w:spacing w:after="0"/>
              <w:rPr>
                <w:sz w:val="6"/>
                <w:szCs w:val="6"/>
                <w:color w:val="auto"/>
              </w:rPr>
            </w:pPr>
          </w:p>
        </w:tc>
        <w:tc>
          <w:tcPr>
            <w:tcW w:w="880" w:type="dxa"/>
            <w:vAlign w:val="bottom"/>
            <w:tcBorders>
              <w:top w:val="single" w:sz="8" w:color="0000EE"/>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88">
              <w:r>
                <w:rPr>
                  <w:rFonts w:ascii="Arial" w:cs="Arial" w:eastAsia="Arial" w:hAnsi="Arial"/>
                  <w:sz w:val="14"/>
                  <w:szCs w:val="14"/>
                  <w:b w:val="1"/>
                  <w:bCs w:val="1"/>
                  <w:color w:val="0000EE"/>
                </w:rPr>
                <w:t>VOTING INFORMATION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88">
              <w:r>
                <w:rPr>
                  <w:rFonts w:ascii="Arial" w:cs="Arial" w:eastAsia="Arial" w:hAnsi="Arial"/>
                  <w:sz w:val="14"/>
                  <w:szCs w:val="14"/>
                  <w:color w:val="0000EE"/>
                </w:rPr>
                <w:t>83</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89">
              <w:r>
                <w:rPr>
                  <w:rFonts w:ascii="Arial" w:cs="Arial" w:eastAsia="Arial" w:hAnsi="Arial"/>
                  <w:sz w:val="14"/>
                  <w:szCs w:val="14"/>
                  <w:b w:val="1"/>
                  <w:bCs w:val="1"/>
                  <w:color w:val="0000EE"/>
                </w:rPr>
                <w:t>OTHER INFORMATION</w:t>
              </w:r>
            </w:hyperlink>
          </w:p>
        </w:tc>
        <w:tc>
          <w:tcPr>
            <w:tcW w:w="780" w:type="dxa"/>
            <w:vAlign w:val="bottom"/>
            <w:gridSpan w:val="6"/>
          </w:tcPr>
          <w:p>
            <w:pPr>
              <w:jc w:val="right"/>
              <w:ind w:right="100"/>
              <w:spacing w:after="0"/>
              <w:rPr>
                <w:rFonts w:ascii="Arial" w:cs="Arial" w:eastAsia="Arial" w:hAnsi="Arial"/>
                <w:sz w:val="14"/>
                <w:szCs w:val="14"/>
                <w:color w:val="0000EE"/>
              </w:rPr>
            </w:pPr>
            <w:hyperlink w:anchor="page89">
              <w:r>
                <w:rPr>
                  <w:rFonts w:ascii="Arial" w:cs="Arial" w:eastAsia="Arial" w:hAnsi="Arial"/>
                  <w:sz w:val="14"/>
                  <w:szCs w:val="14"/>
                  <w:color w:val="0000EE"/>
                </w:rPr>
                <w:t>84</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2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2">
              <w:r>
                <w:rPr>
                  <w:rFonts w:ascii="Arial" w:cs="Arial" w:eastAsia="Arial" w:hAnsi="Arial"/>
                  <w:sz w:val="14"/>
                  <w:szCs w:val="14"/>
                  <w:b w:val="1"/>
                  <w:bCs w:val="1"/>
                  <w:color w:val="0000EE"/>
                </w:rPr>
                <w:t>APPENDIX A — MINNESOTA ARTICLES OF CONVERSION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rPr>
            </w:pPr>
            <w:hyperlink w:anchor="page92">
              <w:r>
                <w:rPr>
                  <w:rFonts w:ascii="Arial" w:cs="Arial" w:eastAsia="Arial" w:hAnsi="Arial"/>
                  <w:sz w:val="14"/>
                  <w:szCs w:val="14"/>
                  <w:color w:val="0000EE"/>
                </w:rPr>
                <w:t>A-1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4">
              <w:r>
                <w:rPr>
                  <w:rFonts w:ascii="Arial" w:cs="Arial" w:eastAsia="Arial" w:hAnsi="Arial"/>
                  <w:sz w:val="14"/>
                  <w:szCs w:val="14"/>
                  <w:b w:val="1"/>
                  <w:bCs w:val="1"/>
                  <w:color w:val="0000EE"/>
                </w:rPr>
                <w:t>APPENDIX B — MINNESOTA ARTICLES OF INCORPORATION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rPr>
            </w:pPr>
            <w:hyperlink w:anchor="page94">
              <w:r>
                <w:rPr>
                  <w:rFonts w:ascii="Arial" w:cs="Arial" w:eastAsia="Arial" w:hAnsi="Arial"/>
                  <w:sz w:val="14"/>
                  <w:szCs w:val="14"/>
                  <w:color w:val="0000EE"/>
                </w:rPr>
                <w:t>B-1</w:t>
              </w:r>
            </w:hyperlink>
          </w:p>
        </w:tc>
        <w:tc>
          <w:tcPr>
            <w:tcW w:w="0" w:type="dxa"/>
            <w:vAlign w:val="bottom"/>
          </w:tcPr>
          <w:p>
            <w:pPr>
              <w:spacing w:after="0"/>
              <w:rPr>
                <w:sz w:val="1"/>
                <w:szCs w:val="1"/>
                <w:color w:val="auto"/>
              </w:rPr>
            </w:pPr>
          </w:p>
        </w:tc>
      </w:tr>
      <w:tr>
        <w:trPr>
          <w:trHeight w:val="75"/>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60" w:type="dxa"/>
            <w:vAlign w:val="bottom"/>
            <w:tcBorders>
              <w:top w:val="single" w:sz="8" w:color="0000EE"/>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6">
              <w:r>
                <w:rPr>
                  <w:rFonts w:ascii="Arial" w:cs="Arial" w:eastAsia="Arial" w:hAnsi="Arial"/>
                  <w:sz w:val="14"/>
                  <w:szCs w:val="14"/>
                  <w:b w:val="1"/>
                  <w:bCs w:val="1"/>
                  <w:color w:val="0000EE"/>
                </w:rPr>
                <w:t>APPENDIX C — IOWA ARTICLES OF DOMESTICATION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w w:val="97"/>
              </w:rPr>
            </w:pPr>
            <w:hyperlink w:anchor="page96">
              <w:r>
                <w:rPr>
                  <w:rFonts w:ascii="Arial" w:cs="Arial" w:eastAsia="Arial" w:hAnsi="Arial"/>
                  <w:sz w:val="14"/>
                  <w:szCs w:val="14"/>
                  <w:color w:val="0000EE"/>
                  <w:w w:val="97"/>
                </w:rPr>
                <w:t>C-1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34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98">
              <w:r>
                <w:rPr>
                  <w:rFonts w:ascii="Arial" w:cs="Arial" w:eastAsia="Arial" w:hAnsi="Arial"/>
                  <w:sz w:val="14"/>
                  <w:szCs w:val="14"/>
                  <w:b w:val="1"/>
                  <w:bCs w:val="1"/>
                  <w:color w:val="0000EE"/>
                </w:rPr>
                <w:t>APPENDIX D — PLAN OF REINCORPORATION</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w w:val="97"/>
              </w:rPr>
            </w:pPr>
            <w:hyperlink w:anchor="page98">
              <w:r>
                <w:rPr>
                  <w:rFonts w:ascii="Arial" w:cs="Arial" w:eastAsia="Arial" w:hAnsi="Arial"/>
                  <w:sz w:val="14"/>
                  <w:szCs w:val="14"/>
                  <w:color w:val="0000EE"/>
                  <w:w w:val="97"/>
                </w:rPr>
                <w:t>D-1</w:t>
              </w:r>
            </w:hyperlink>
          </w:p>
        </w:tc>
        <w:tc>
          <w:tcPr>
            <w:tcW w:w="0" w:type="dxa"/>
            <w:vAlign w:val="bottom"/>
          </w:tcPr>
          <w:p>
            <w:pPr>
              <w:spacing w:after="0"/>
              <w:rPr>
                <w:sz w:val="1"/>
                <w:szCs w:val="1"/>
                <w:color w:val="auto"/>
              </w:rPr>
            </w:pPr>
          </w:p>
        </w:tc>
      </w:tr>
      <w:tr>
        <w:trPr>
          <w:trHeight w:val="74"/>
        </w:trPr>
        <w:tc>
          <w:tcPr>
            <w:tcW w:w="140" w:type="dxa"/>
            <w:vAlign w:val="bottom"/>
            <w:tcBorders>
              <w:bottom w:val="single" w:sz="8" w:color="0E2A35"/>
            </w:tcBorders>
          </w:tcPr>
          <w:p>
            <w:pPr>
              <w:spacing w:after="0"/>
              <w:rPr>
                <w:sz w:val="6"/>
                <w:szCs w:val="6"/>
                <w:color w:val="auto"/>
              </w:rPr>
            </w:pPr>
          </w:p>
        </w:tc>
        <w:tc>
          <w:tcPr>
            <w:tcW w:w="180" w:type="dxa"/>
            <w:vAlign w:val="bottom"/>
            <w:tcBorders>
              <w:top w:val="single" w:sz="8" w:color="0000EE"/>
              <w:bottom w:val="single" w:sz="8" w:color="0E2A35"/>
            </w:tcBorders>
          </w:tcPr>
          <w:p>
            <w:pPr>
              <w:spacing w:after="0"/>
              <w:rPr>
                <w:sz w:val="6"/>
                <w:szCs w:val="6"/>
                <w:color w:val="auto"/>
              </w:rPr>
            </w:pPr>
          </w:p>
        </w:tc>
        <w:tc>
          <w:tcPr>
            <w:tcW w:w="90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120" w:type="dxa"/>
            <w:vAlign w:val="bottom"/>
            <w:tcBorders>
              <w:top w:val="single" w:sz="8" w:color="0000EE"/>
              <w:bottom w:val="single" w:sz="8" w:color="0E2A35"/>
            </w:tcBorders>
          </w:tcPr>
          <w:p>
            <w:pPr>
              <w:spacing w:after="0"/>
              <w:rPr>
                <w:sz w:val="6"/>
                <w:szCs w:val="6"/>
                <w:color w:val="auto"/>
              </w:rPr>
            </w:pPr>
          </w:p>
        </w:tc>
        <w:tc>
          <w:tcPr>
            <w:tcW w:w="4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10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20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6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3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3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20" w:type="dxa"/>
            <w:vAlign w:val="bottom"/>
            <w:tcBorders>
              <w:top w:val="single" w:sz="8" w:color="0000EE"/>
              <w:bottom w:val="single" w:sz="8" w:color="0E2A35"/>
            </w:tcBorders>
          </w:tcPr>
          <w:p>
            <w:pPr>
              <w:spacing w:after="0"/>
              <w:rPr>
                <w:sz w:val="6"/>
                <w:szCs w:val="6"/>
                <w:color w:val="auto"/>
              </w:rPr>
            </w:pPr>
          </w:p>
        </w:tc>
        <w:tc>
          <w:tcPr>
            <w:tcW w:w="6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80" w:type="dxa"/>
            <w:vAlign w:val="bottom"/>
            <w:tcBorders>
              <w:top w:val="single" w:sz="8" w:color="0000EE"/>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500" w:type="dxa"/>
            <w:vAlign w:val="bottom"/>
            <w:gridSpan w:val="45"/>
          </w:tcPr>
          <w:p>
            <w:pPr>
              <w:ind w:left="140"/>
              <w:spacing w:after="0"/>
              <w:rPr>
                <w:rFonts w:ascii="Arial" w:cs="Arial" w:eastAsia="Arial" w:hAnsi="Arial"/>
                <w:sz w:val="14"/>
                <w:szCs w:val="14"/>
                <w:b w:val="1"/>
                <w:bCs w:val="1"/>
                <w:color w:val="0000EE"/>
              </w:rPr>
            </w:pPr>
            <w:hyperlink w:anchor="page100">
              <w:r>
                <w:rPr>
                  <w:rFonts w:ascii="Arial" w:cs="Arial" w:eastAsia="Arial" w:hAnsi="Arial"/>
                  <w:sz w:val="14"/>
                  <w:szCs w:val="14"/>
                  <w:b w:val="1"/>
                  <w:bCs w:val="1"/>
                  <w:color w:val="0000EE"/>
                </w:rPr>
                <w:t>APPENDIX E — MINNESOTA BYLAWS</w:t>
              </w:r>
            </w:hyperlink>
          </w:p>
        </w:tc>
        <w:tc>
          <w:tcPr>
            <w:tcW w:w="440" w:type="dxa"/>
            <w:vAlign w:val="bottom"/>
          </w:tcPr>
          <w:p>
            <w:pPr>
              <w:spacing w:after="0"/>
              <w:rPr>
                <w:sz w:val="19"/>
                <w:szCs w:val="19"/>
                <w:color w:val="auto"/>
              </w:rPr>
            </w:pPr>
          </w:p>
        </w:tc>
        <w:tc>
          <w:tcPr>
            <w:tcW w:w="340" w:type="dxa"/>
            <w:vAlign w:val="bottom"/>
            <w:gridSpan w:val="5"/>
          </w:tcPr>
          <w:p>
            <w:pPr>
              <w:jc w:val="right"/>
              <w:ind w:right="100"/>
              <w:spacing w:after="0"/>
              <w:rPr>
                <w:rFonts w:ascii="Arial" w:cs="Arial" w:eastAsia="Arial" w:hAnsi="Arial"/>
                <w:sz w:val="14"/>
                <w:szCs w:val="14"/>
                <w:color w:val="0000EE"/>
              </w:rPr>
            </w:pPr>
            <w:hyperlink w:anchor="page100">
              <w:r>
                <w:rPr>
                  <w:rFonts w:ascii="Arial" w:cs="Arial" w:eastAsia="Arial" w:hAnsi="Arial"/>
                  <w:sz w:val="14"/>
                  <w:szCs w:val="14"/>
                  <w:color w:val="0000EE"/>
                </w:rPr>
                <w:t>E-1</w:t>
              </w:r>
            </w:hyperlink>
          </w:p>
        </w:tc>
        <w:tc>
          <w:tcPr>
            <w:tcW w:w="0" w:type="dxa"/>
            <w:vAlign w:val="bottom"/>
          </w:tcPr>
          <w:p>
            <w:pPr>
              <w:spacing w:after="0"/>
              <w:rPr>
                <w:sz w:val="1"/>
                <w:szCs w:val="1"/>
                <w:color w:val="auto"/>
              </w:rPr>
            </w:pPr>
          </w:p>
        </w:tc>
      </w:tr>
      <w:tr>
        <w:trPr>
          <w:trHeight w:val="48"/>
        </w:trPr>
        <w:tc>
          <w:tcPr>
            <w:tcW w:w="140" w:type="dxa"/>
            <w:vAlign w:val="bottom"/>
            <w:tcBorders>
              <w:bottom w:val="single" w:sz="8" w:color="0E2A35"/>
            </w:tcBorders>
          </w:tcPr>
          <w:p>
            <w:pPr>
              <w:spacing w:after="0"/>
              <w:rPr>
                <w:sz w:val="4"/>
                <w:szCs w:val="4"/>
                <w:color w:val="auto"/>
              </w:rPr>
            </w:pPr>
          </w:p>
        </w:tc>
        <w:tc>
          <w:tcPr>
            <w:tcW w:w="180" w:type="dxa"/>
            <w:vAlign w:val="bottom"/>
            <w:tcBorders>
              <w:top w:val="single" w:sz="8" w:color="0000EE"/>
              <w:bottom w:val="single" w:sz="8" w:color="0E2A35"/>
            </w:tcBorders>
          </w:tcPr>
          <w:p>
            <w:pPr>
              <w:spacing w:after="0"/>
              <w:rPr>
                <w:sz w:val="4"/>
                <w:szCs w:val="4"/>
                <w:color w:val="auto"/>
              </w:rPr>
            </w:pPr>
          </w:p>
        </w:tc>
        <w:tc>
          <w:tcPr>
            <w:tcW w:w="900" w:type="dxa"/>
            <w:vAlign w:val="bottom"/>
            <w:tcBorders>
              <w:top w:val="single" w:sz="8" w:color="0000EE"/>
              <w:bottom w:val="single" w:sz="8" w:color="0E2A35"/>
            </w:tcBorders>
          </w:tcPr>
          <w:p>
            <w:pPr>
              <w:spacing w:after="0"/>
              <w:rPr>
                <w:sz w:val="4"/>
                <w:szCs w:val="4"/>
                <w:color w:val="auto"/>
              </w:rPr>
            </w:pPr>
          </w:p>
        </w:tc>
        <w:tc>
          <w:tcPr>
            <w:tcW w:w="80" w:type="dxa"/>
            <w:vAlign w:val="bottom"/>
            <w:tcBorders>
              <w:top w:val="single" w:sz="8" w:color="0000EE"/>
              <w:bottom w:val="single" w:sz="8" w:color="0E2A35"/>
            </w:tcBorders>
          </w:tcPr>
          <w:p>
            <w:pPr>
              <w:spacing w:after="0"/>
              <w:rPr>
                <w:sz w:val="4"/>
                <w:szCs w:val="4"/>
                <w:color w:val="auto"/>
              </w:rPr>
            </w:pPr>
          </w:p>
        </w:tc>
        <w:tc>
          <w:tcPr>
            <w:tcW w:w="4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20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120" w:type="dxa"/>
            <w:vAlign w:val="bottom"/>
            <w:tcBorders>
              <w:top w:val="single" w:sz="8" w:color="0000EE"/>
              <w:bottom w:val="single" w:sz="8" w:color="0E2A35"/>
            </w:tcBorders>
          </w:tcPr>
          <w:p>
            <w:pPr>
              <w:spacing w:after="0"/>
              <w:rPr>
                <w:sz w:val="4"/>
                <w:szCs w:val="4"/>
                <w:color w:val="auto"/>
              </w:rPr>
            </w:pPr>
          </w:p>
        </w:tc>
        <w:tc>
          <w:tcPr>
            <w:tcW w:w="4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120" w:type="dxa"/>
            <w:vAlign w:val="bottom"/>
            <w:tcBorders>
              <w:top w:val="single" w:sz="8" w:color="0000EE"/>
              <w:bottom w:val="single" w:sz="8" w:color="0E2A35"/>
            </w:tcBorders>
          </w:tcPr>
          <w:p>
            <w:pPr>
              <w:spacing w:after="0"/>
              <w:rPr>
                <w:sz w:val="4"/>
                <w:szCs w:val="4"/>
                <w:color w:val="auto"/>
              </w:rPr>
            </w:pPr>
          </w:p>
        </w:tc>
        <w:tc>
          <w:tcPr>
            <w:tcW w:w="40" w:type="dxa"/>
            <w:vAlign w:val="bottom"/>
            <w:tcBorders>
              <w:top w:val="single" w:sz="8" w:color="0000EE"/>
              <w:bottom w:val="single" w:sz="8" w:color="0E2A35"/>
            </w:tcBorders>
          </w:tcPr>
          <w:p>
            <w:pPr>
              <w:spacing w:after="0"/>
              <w:rPr>
                <w:sz w:val="4"/>
                <w:szCs w:val="4"/>
                <w:color w:val="auto"/>
              </w:rPr>
            </w:pPr>
          </w:p>
        </w:tc>
        <w:tc>
          <w:tcPr>
            <w:tcW w:w="20" w:type="dxa"/>
            <w:vAlign w:val="bottom"/>
            <w:tcBorders>
              <w:top w:val="single" w:sz="8" w:color="0000EE"/>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100" w:type="dxa"/>
            <w:vAlign w:val="bottom"/>
            <w:tcBorders>
              <w:top w:val="single" w:sz="8" w:color="0000EE"/>
              <w:bottom w:val="single" w:sz="8" w:color="0E2A35"/>
            </w:tcBorders>
          </w:tcPr>
          <w:p>
            <w:pPr>
              <w:spacing w:after="0"/>
              <w:rPr>
                <w:sz w:val="4"/>
                <w:szCs w:val="4"/>
                <w:color w:val="auto"/>
              </w:rPr>
            </w:pPr>
          </w:p>
        </w:tc>
        <w:tc>
          <w:tcPr>
            <w:tcW w:w="200" w:type="dxa"/>
            <w:vAlign w:val="bottom"/>
            <w:tcBorders>
              <w:bottom w:val="single" w:sz="8" w:color="0E2A35"/>
            </w:tcBorders>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60" w:type="dxa"/>
            <w:vAlign w:val="bottom"/>
            <w:tcBorders>
              <w:bottom w:val="single" w:sz="8" w:color="0E2A35"/>
            </w:tcBorders>
          </w:tcPr>
          <w:p>
            <w:pPr>
              <w:spacing w:after="0"/>
              <w:rPr>
                <w:sz w:val="4"/>
                <w:szCs w:val="4"/>
                <w:color w:val="auto"/>
              </w:rPr>
            </w:pPr>
          </w:p>
        </w:tc>
        <w:tc>
          <w:tcPr>
            <w:tcW w:w="200" w:type="dxa"/>
            <w:vAlign w:val="bottom"/>
            <w:tcBorders>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80" w:type="dxa"/>
            <w:vAlign w:val="bottom"/>
            <w:tcBorders>
              <w:bottom w:val="single" w:sz="8" w:color="0E2A35"/>
            </w:tcBorders>
          </w:tcPr>
          <w:p>
            <w:pPr>
              <w:spacing w:after="0"/>
              <w:rPr>
                <w:sz w:val="4"/>
                <w:szCs w:val="4"/>
                <w:color w:val="auto"/>
              </w:rPr>
            </w:pPr>
          </w:p>
        </w:tc>
        <w:tc>
          <w:tcPr>
            <w:tcW w:w="240" w:type="dxa"/>
            <w:vAlign w:val="bottom"/>
            <w:tcBorders>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160" w:type="dxa"/>
            <w:vAlign w:val="bottom"/>
            <w:tcBorders>
              <w:bottom w:val="single" w:sz="8" w:color="0E2A35"/>
            </w:tcBorders>
          </w:tcPr>
          <w:p>
            <w:pPr>
              <w:spacing w:after="0"/>
              <w:rPr>
                <w:sz w:val="4"/>
                <w:szCs w:val="4"/>
                <w:color w:val="auto"/>
              </w:rPr>
            </w:pPr>
          </w:p>
        </w:tc>
        <w:tc>
          <w:tcPr>
            <w:tcW w:w="360" w:type="dxa"/>
            <w:vAlign w:val="bottom"/>
            <w:tcBorders>
              <w:bottom w:val="single" w:sz="8" w:color="0E2A35"/>
            </w:tcBorders>
          </w:tcPr>
          <w:p>
            <w:pPr>
              <w:spacing w:after="0"/>
              <w:rPr>
                <w:sz w:val="4"/>
                <w:szCs w:val="4"/>
                <w:color w:val="auto"/>
              </w:rPr>
            </w:pPr>
          </w:p>
        </w:tc>
        <w:tc>
          <w:tcPr>
            <w:tcW w:w="140" w:type="dxa"/>
            <w:vAlign w:val="bottom"/>
            <w:tcBorders>
              <w:bottom w:val="single" w:sz="8" w:color="0E2A35"/>
            </w:tcBorders>
          </w:tcPr>
          <w:p>
            <w:pPr>
              <w:spacing w:after="0"/>
              <w:rPr>
                <w:sz w:val="4"/>
                <w:szCs w:val="4"/>
                <w:color w:val="auto"/>
              </w:rPr>
            </w:pPr>
          </w:p>
        </w:tc>
        <w:tc>
          <w:tcPr>
            <w:tcW w:w="88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1320" w:type="dxa"/>
            <w:vAlign w:val="bottom"/>
            <w:tcBorders>
              <w:bottom w:val="single" w:sz="8" w:color="0E2A35"/>
            </w:tcBorders>
          </w:tcPr>
          <w:p>
            <w:pPr>
              <w:spacing w:after="0"/>
              <w:rPr>
                <w:sz w:val="4"/>
                <w:szCs w:val="4"/>
                <w:color w:val="auto"/>
              </w:rPr>
            </w:pPr>
          </w:p>
        </w:tc>
        <w:tc>
          <w:tcPr>
            <w:tcW w:w="740" w:type="dxa"/>
            <w:vAlign w:val="bottom"/>
            <w:tcBorders>
              <w:bottom w:val="single" w:sz="8" w:color="0E2A35"/>
            </w:tcBorders>
          </w:tcPr>
          <w:p>
            <w:pPr>
              <w:spacing w:after="0"/>
              <w:rPr>
                <w:sz w:val="4"/>
                <w:szCs w:val="4"/>
                <w:color w:val="auto"/>
              </w:rPr>
            </w:pPr>
          </w:p>
        </w:tc>
        <w:tc>
          <w:tcPr>
            <w:tcW w:w="360" w:type="dxa"/>
            <w:vAlign w:val="bottom"/>
            <w:tcBorders>
              <w:bottom w:val="single" w:sz="8" w:color="0E2A35"/>
            </w:tcBorders>
          </w:tcPr>
          <w:p>
            <w:pPr>
              <w:spacing w:after="0"/>
              <w:rPr>
                <w:sz w:val="4"/>
                <w:szCs w:val="4"/>
                <w:color w:val="auto"/>
              </w:rPr>
            </w:pPr>
          </w:p>
        </w:tc>
        <w:tc>
          <w:tcPr>
            <w:tcW w:w="440" w:type="dxa"/>
            <w:vAlign w:val="bottom"/>
            <w:tcBorders>
              <w:bottom w:val="single" w:sz="8" w:color="0E2A35"/>
            </w:tcBorders>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60" w:type="dxa"/>
            <w:vAlign w:val="bottom"/>
            <w:tcBorders>
              <w:top w:val="single" w:sz="8" w:color="0000EE"/>
              <w:bottom w:val="single" w:sz="8" w:color="0E2A35"/>
            </w:tcBorders>
          </w:tcPr>
          <w:p>
            <w:pPr>
              <w:spacing w:after="0"/>
              <w:rPr>
                <w:sz w:val="4"/>
                <w:szCs w:val="4"/>
                <w:color w:val="auto"/>
              </w:rPr>
            </w:pPr>
          </w:p>
        </w:tc>
        <w:tc>
          <w:tcPr>
            <w:tcW w:w="80" w:type="dxa"/>
            <w:vAlign w:val="bottom"/>
            <w:tcBorders>
              <w:top w:val="single" w:sz="8" w:color="0000EE"/>
              <w:bottom w:val="single" w:sz="8" w:color="0E2A35"/>
            </w:tcBorders>
          </w:tcPr>
          <w:p>
            <w:pPr>
              <w:spacing w:after="0"/>
              <w:rPr>
                <w:sz w:val="4"/>
                <w:szCs w:val="4"/>
                <w:color w:val="auto"/>
              </w:rPr>
            </w:pPr>
          </w:p>
        </w:tc>
        <w:tc>
          <w:tcPr>
            <w:tcW w:w="80" w:type="dxa"/>
            <w:vAlign w:val="bottom"/>
            <w:tcBorders>
              <w:top w:val="single" w:sz="8" w:color="0000EE"/>
              <w:bottom w:val="single" w:sz="8" w:color="0E2A35"/>
            </w:tcBorders>
          </w:tcPr>
          <w:p>
            <w:pPr>
              <w:spacing w:after="0"/>
              <w:rPr>
                <w:sz w:val="4"/>
                <w:szCs w:val="4"/>
                <w:color w:val="auto"/>
              </w:rPr>
            </w:pPr>
          </w:p>
        </w:tc>
        <w:tc>
          <w:tcPr>
            <w:tcW w:w="10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146558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860"/>
        <w:spacing w:after="0"/>
        <w:rPr>
          <w:sz w:val="20"/>
          <w:szCs w:val="20"/>
          <w:color w:val="auto"/>
        </w:rPr>
      </w:pPr>
      <w:r>
        <w:rPr>
          <w:rFonts w:ascii="Arial" w:cs="Arial" w:eastAsia="Arial" w:hAnsi="Arial"/>
          <w:sz w:val="36"/>
          <w:szCs w:val="36"/>
          <w:b w:val="1"/>
          <w:bCs w:val="1"/>
          <w:color w:val="0E2A35"/>
        </w:rPr>
        <w:t>Proxy Statement Summary</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Voting Roadmap</w:t>
      </w:r>
    </w:p>
    <w:p>
      <w:pPr>
        <w:spacing w:after="0" w:line="224" w:lineRule="exact"/>
        <w:rPr>
          <w:sz w:val="20"/>
          <w:szCs w:val="20"/>
          <w:color w:val="auto"/>
        </w:rPr>
      </w:pPr>
    </w:p>
    <w:p>
      <w:pPr>
        <w:ind w:left="860" w:right="1580"/>
        <w:spacing w:after="0" w:line="260" w:lineRule="auto"/>
        <w:rPr>
          <w:sz w:val="20"/>
          <w:szCs w:val="20"/>
          <w:color w:val="auto"/>
        </w:rPr>
      </w:pPr>
      <w:r>
        <w:rPr>
          <w:rFonts w:ascii="Arial" w:cs="Arial" w:eastAsia="Arial" w:hAnsi="Arial"/>
          <w:sz w:val="16"/>
          <w:szCs w:val="16"/>
          <w:color w:val="0E2A35"/>
        </w:rPr>
        <w:t>The table below summarizes the vote required to approve each proposal, the voting options for each proposal and other important information regarding voting:</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100" w:type="dxa"/>
            <w:vAlign w:val="bottom"/>
            <w:shd w:val="clear" w:color="auto" w:fill="0E2A35"/>
          </w:tcPr>
          <w:p>
            <w:pPr>
              <w:spacing w:after="0"/>
              <w:rPr>
                <w:sz w:val="19"/>
                <w:szCs w:val="19"/>
                <w:color w:val="auto"/>
              </w:rPr>
            </w:pPr>
          </w:p>
        </w:tc>
        <w:tc>
          <w:tcPr>
            <w:tcW w:w="1520" w:type="dxa"/>
            <w:vAlign w:val="bottom"/>
            <w:shd w:val="clear" w:color="auto" w:fill="0E2A35"/>
          </w:tcPr>
          <w:p>
            <w:pPr>
              <w:spacing w:after="0"/>
              <w:rPr>
                <w:sz w:val="19"/>
                <w:szCs w:val="19"/>
                <w:color w:val="auto"/>
              </w:rPr>
            </w:pPr>
          </w:p>
        </w:tc>
        <w:tc>
          <w:tcPr>
            <w:tcW w:w="114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Broker</w:t>
            </w:r>
          </w:p>
        </w:tc>
        <w:tc>
          <w:tcPr>
            <w:tcW w:w="0" w:type="dxa"/>
            <w:vAlign w:val="bottom"/>
          </w:tcPr>
          <w:p>
            <w:pPr>
              <w:spacing w:after="0"/>
              <w:rPr>
                <w:sz w:val="1"/>
                <w:szCs w:val="1"/>
                <w:color w:val="auto"/>
              </w:rPr>
            </w:pPr>
          </w:p>
        </w:tc>
      </w:tr>
      <w:tr>
        <w:trPr>
          <w:trHeight w:val="135"/>
        </w:trPr>
        <w:tc>
          <w:tcPr>
            <w:tcW w:w="4100" w:type="dxa"/>
            <w:vAlign w:val="bottom"/>
            <w:shd w:val="clear" w:color="auto" w:fill="0E2A35"/>
          </w:tcPr>
          <w:p>
            <w:pPr>
              <w:spacing w:after="0"/>
              <w:rPr>
                <w:sz w:val="11"/>
                <w:szCs w:val="11"/>
                <w:color w:val="auto"/>
              </w:rPr>
            </w:pPr>
          </w:p>
        </w:tc>
        <w:tc>
          <w:tcPr>
            <w:tcW w:w="1520" w:type="dxa"/>
            <w:vAlign w:val="bottom"/>
            <w:shd w:val="clear" w:color="auto" w:fill="0E2A35"/>
          </w:tcPr>
          <w:p>
            <w:pPr>
              <w:spacing w:after="0"/>
              <w:rPr>
                <w:sz w:val="11"/>
                <w:szCs w:val="11"/>
                <w:color w:val="auto"/>
              </w:rPr>
            </w:pPr>
          </w:p>
        </w:tc>
        <w:tc>
          <w:tcPr>
            <w:tcW w:w="11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Board</w:t>
            </w:r>
          </w:p>
        </w:tc>
        <w:tc>
          <w:tcPr>
            <w:tcW w:w="13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Discretionary</w:t>
            </w:r>
          </w:p>
        </w:tc>
        <w:tc>
          <w:tcPr>
            <w:tcW w:w="0" w:type="dxa"/>
            <w:vAlign w:val="bottom"/>
          </w:tcPr>
          <w:p>
            <w:pPr>
              <w:spacing w:after="0"/>
              <w:rPr>
                <w:sz w:val="1"/>
                <w:szCs w:val="1"/>
                <w:color w:val="auto"/>
              </w:rPr>
            </w:pPr>
          </w:p>
        </w:tc>
      </w:tr>
      <w:tr>
        <w:trPr>
          <w:trHeight w:val="131"/>
        </w:trPr>
        <w:tc>
          <w:tcPr>
            <w:tcW w:w="4100" w:type="dxa"/>
            <w:vAlign w:val="bottom"/>
            <w:shd w:val="clear" w:color="auto" w:fill="0E2A35"/>
          </w:tcPr>
          <w:p>
            <w:pPr>
              <w:spacing w:after="0"/>
              <w:rPr>
                <w:sz w:val="11"/>
                <w:szCs w:val="11"/>
                <w:color w:val="auto"/>
              </w:rPr>
            </w:pPr>
          </w:p>
        </w:tc>
        <w:tc>
          <w:tcPr>
            <w:tcW w:w="1520" w:type="dxa"/>
            <w:vAlign w:val="bottom"/>
            <w:shd w:val="clear" w:color="auto" w:fill="0E2A35"/>
          </w:tcPr>
          <w:p>
            <w:pPr>
              <w:jc w:val="center"/>
              <w:ind w:right="31"/>
              <w:spacing w:after="0" w:line="131" w:lineRule="exact"/>
              <w:rPr>
                <w:sz w:val="20"/>
                <w:szCs w:val="20"/>
                <w:color w:val="auto"/>
              </w:rPr>
            </w:pPr>
            <w:r>
              <w:rPr>
                <w:rFonts w:ascii="Arial" w:cs="Arial" w:eastAsia="Arial" w:hAnsi="Arial"/>
                <w:sz w:val="13"/>
                <w:szCs w:val="13"/>
                <w:b w:val="1"/>
                <w:bCs w:val="1"/>
                <w:color w:val="FFFFFF"/>
                <w:w w:val="92"/>
              </w:rPr>
              <w:t>Vote</w:t>
            </w:r>
          </w:p>
        </w:tc>
        <w:tc>
          <w:tcPr>
            <w:tcW w:w="1140" w:type="dxa"/>
            <w:vAlign w:val="bottom"/>
            <w:shd w:val="clear" w:color="auto" w:fill="0E2A35"/>
          </w:tcPr>
          <w:p>
            <w:pPr>
              <w:jc w:val="center"/>
              <w:ind w:right="49"/>
              <w:spacing w:after="0" w:line="131" w:lineRule="exact"/>
              <w:rPr>
                <w:sz w:val="20"/>
                <w:szCs w:val="20"/>
                <w:color w:val="auto"/>
              </w:rPr>
            </w:pPr>
            <w:r>
              <w:rPr>
                <w:rFonts w:ascii="Arial" w:cs="Arial" w:eastAsia="Arial" w:hAnsi="Arial"/>
                <w:sz w:val="13"/>
                <w:szCs w:val="13"/>
                <w:b w:val="1"/>
                <w:bCs w:val="1"/>
                <w:color w:val="FFFFFF"/>
                <w:w w:val="93"/>
              </w:rPr>
              <w:t>Voting</w:t>
            </w: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Recommend</w:t>
            </w:r>
          </w:p>
        </w:tc>
        <w:tc>
          <w:tcPr>
            <w:tcW w:w="13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3"/>
              </w:rPr>
              <w:t>Voting</w:t>
            </w:r>
          </w:p>
        </w:tc>
        <w:tc>
          <w:tcPr>
            <w:tcW w:w="0" w:type="dxa"/>
            <w:vAlign w:val="bottom"/>
          </w:tcPr>
          <w:p>
            <w:pPr>
              <w:spacing w:after="0"/>
              <w:rPr>
                <w:sz w:val="1"/>
                <w:szCs w:val="1"/>
                <w:color w:val="auto"/>
              </w:rPr>
            </w:pPr>
          </w:p>
        </w:tc>
      </w:tr>
      <w:tr>
        <w:trPr>
          <w:trHeight w:val="296"/>
        </w:trPr>
        <w:tc>
          <w:tcPr>
            <w:tcW w:w="41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Proposals</w:t>
            </w:r>
          </w:p>
        </w:tc>
        <w:tc>
          <w:tcPr>
            <w:tcW w:w="1520" w:type="dxa"/>
            <w:vAlign w:val="bottom"/>
            <w:shd w:val="clear" w:color="auto" w:fill="0E2A35"/>
          </w:tcPr>
          <w:p>
            <w:pPr>
              <w:jc w:val="center"/>
              <w:ind w:right="11"/>
              <w:spacing w:after="0"/>
              <w:rPr>
                <w:sz w:val="20"/>
                <w:szCs w:val="20"/>
                <w:color w:val="auto"/>
              </w:rPr>
            </w:pPr>
            <w:r>
              <w:rPr>
                <w:rFonts w:ascii="Arial" w:cs="Arial" w:eastAsia="Arial" w:hAnsi="Arial"/>
                <w:sz w:val="13"/>
                <w:szCs w:val="13"/>
                <w:b w:val="1"/>
                <w:bCs w:val="1"/>
                <w:color w:val="FFFFFF"/>
                <w:w w:val="99"/>
              </w:rPr>
              <w:t>Required</w:t>
            </w:r>
          </w:p>
        </w:tc>
        <w:tc>
          <w:tcPr>
            <w:tcW w:w="1140" w:type="dxa"/>
            <w:vAlign w:val="bottom"/>
            <w:shd w:val="clear" w:color="auto" w:fill="0E2A35"/>
          </w:tcPr>
          <w:p>
            <w:pPr>
              <w:jc w:val="center"/>
              <w:ind w:right="29"/>
              <w:spacing w:after="0"/>
              <w:rPr>
                <w:sz w:val="20"/>
                <w:szCs w:val="20"/>
                <w:color w:val="auto"/>
              </w:rPr>
            </w:pPr>
            <w:r>
              <w:rPr>
                <w:rFonts w:ascii="Arial" w:cs="Arial" w:eastAsia="Arial" w:hAnsi="Arial"/>
                <w:sz w:val="13"/>
                <w:szCs w:val="13"/>
                <w:b w:val="1"/>
                <w:bCs w:val="1"/>
                <w:color w:val="FFFFFF"/>
                <w:w w:val="91"/>
              </w:rPr>
              <w:t>Options</w:t>
            </w:r>
            <w:r>
              <w:rPr>
                <w:rFonts w:ascii="Arial" w:cs="Arial" w:eastAsia="Arial" w:hAnsi="Arial"/>
                <w:sz w:val="20"/>
                <w:szCs w:val="20"/>
                <w:b w:val="1"/>
                <w:bCs w:val="1"/>
                <w:color w:val="FFFFFF"/>
                <w:w w:val="91"/>
                <w:vertAlign w:val="superscript"/>
              </w:rPr>
              <w:t>(1)</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2"/>
              </w:rPr>
              <w:t>-ation</w:t>
            </w:r>
            <w:r>
              <w:rPr>
                <w:rFonts w:ascii="Arial" w:cs="Arial" w:eastAsia="Arial" w:hAnsi="Arial"/>
                <w:sz w:val="20"/>
                <w:szCs w:val="20"/>
                <w:b w:val="1"/>
                <w:bCs w:val="1"/>
                <w:color w:val="FFFFFF"/>
                <w:w w:val="92"/>
                <w:vertAlign w:val="superscript"/>
              </w:rPr>
              <w:t>(2)</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Allowed</w:t>
            </w:r>
            <w:r>
              <w:rPr>
                <w:rFonts w:ascii="Arial" w:cs="Arial" w:eastAsia="Arial" w:hAnsi="Arial"/>
                <w:sz w:val="20"/>
                <w:szCs w:val="20"/>
                <w:b w:val="1"/>
                <w:bCs w:val="1"/>
                <w:color w:val="FFFFFF"/>
                <w:w w:val="93"/>
                <w:vertAlign w:val="superscript"/>
              </w:rPr>
              <w:t>(3)</w:t>
            </w:r>
          </w:p>
        </w:tc>
        <w:tc>
          <w:tcPr>
            <w:tcW w:w="0" w:type="dxa"/>
            <w:vAlign w:val="bottom"/>
          </w:tcPr>
          <w:p>
            <w:pPr>
              <w:spacing w:after="0"/>
              <w:rPr>
                <w:sz w:val="1"/>
                <w:szCs w:val="1"/>
                <w:color w:val="auto"/>
              </w:rPr>
            </w:pPr>
          </w:p>
        </w:tc>
      </w:tr>
      <w:tr>
        <w:trPr>
          <w:trHeight w:val="310"/>
        </w:trPr>
        <w:tc>
          <w:tcPr>
            <w:tcW w:w="4100" w:type="dxa"/>
            <w:vAlign w:val="bottom"/>
          </w:tcPr>
          <w:p>
            <w:pPr>
              <w:ind w:left="160"/>
              <w:spacing w:after="0"/>
              <w:rPr>
                <w:sz w:val="20"/>
                <w:szCs w:val="20"/>
                <w:color w:val="auto"/>
              </w:rPr>
            </w:pPr>
            <w:r>
              <w:rPr>
                <w:rFonts w:ascii="Arial" w:cs="Arial" w:eastAsia="Arial" w:hAnsi="Arial"/>
                <w:sz w:val="20"/>
                <w:szCs w:val="20"/>
                <w:b w:val="1"/>
                <w:bCs w:val="1"/>
                <w:color w:val="0E2A35"/>
              </w:rPr>
              <w:t xml:space="preserve">1  </w:t>
            </w:r>
            <w:r>
              <w:rPr>
                <w:rFonts w:ascii="Arial" w:cs="Arial" w:eastAsia="Arial" w:hAnsi="Arial"/>
                <w:sz w:val="14"/>
                <w:szCs w:val="14"/>
                <w:color w:val="0E2A35"/>
              </w:rPr>
              <w:t>Election of four Class I directors to hold office for a three-</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Plurality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76"/>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year term and one Class II director to hold office for a</w:t>
            </w:r>
          </w:p>
        </w:tc>
        <w:tc>
          <w:tcPr>
            <w:tcW w:w="1520" w:type="dxa"/>
            <w:vAlign w:val="bottom"/>
          </w:tcPr>
          <w:p>
            <w:pPr>
              <w:jc w:val="center"/>
              <w:ind w:right="11"/>
              <w:spacing w:after="0" w:line="176" w:lineRule="exact"/>
              <w:rPr>
                <w:sz w:val="20"/>
                <w:szCs w:val="20"/>
                <w:color w:val="auto"/>
              </w:rPr>
            </w:pPr>
            <w:r>
              <w:rPr>
                <w:rFonts w:ascii="Arial" w:cs="Arial" w:eastAsia="Arial" w:hAnsi="Arial"/>
                <w:sz w:val="13"/>
                <w:szCs w:val="13"/>
                <w:color w:val="0E2A35"/>
                <w:w w:val="99"/>
              </w:rPr>
              <w:t>cast</w:t>
            </w:r>
            <w:r>
              <w:rPr>
                <w:rFonts w:ascii="Arial" w:cs="Arial" w:eastAsia="Arial" w:hAnsi="Arial"/>
                <w:sz w:val="20"/>
                <w:szCs w:val="20"/>
                <w:color w:val="0E2A35"/>
                <w:w w:val="99"/>
                <w:vertAlign w:val="superscript"/>
              </w:rPr>
              <w:t>(4)</w:t>
            </w:r>
          </w:p>
        </w:tc>
        <w:tc>
          <w:tcPr>
            <w:tcW w:w="1140" w:type="dxa"/>
            <w:vAlign w:val="bottom"/>
          </w:tcPr>
          <w:p>
            <w:pPr>
              <w:jc w:val="center"/>
              <w:ind w:right="29"/>
              <w:spacing w:after="0"/>
              <w:rPr>
                <w:sz w:val="20"/>
                <w:szCs w:val="20"/>
                <w:color w:val="auto"/>
              </w:rPr>
            </w:pPr>
            <w:r>
              <w:rPr>
                <w:rFonts w:ascii="Arial" w:cs="Arial" w:eastAsia="Arial" w:hAnsi="Arial"/>
                <w:sz w:val="14"/>
                <w:szCs w:val="14"/>
                <w:color w:val="0E2A35"/>
              </w:rPr>
              <w:t>WITHHOLD</w:t>
            </w: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4100" w:type="dxa"/>
            <w:vAlign w:val="bottom"/>
            <w:vMerge w:val="continue"/>
          </w:tcPr>
          <w:p>
            <w:pPr>
              <w:spacing w:after="0"/>
              <w:rPr>
                <w:sz w:val="2"/>
                <w:szCs w:val="2"/>
                <w:color w:val="auto"/>
              </w:rPr>
            </w:pPr>
          </w:p>
        </w:tc>
        <w:tc>
          <w:tcPr>
            <w:tcW w:w="1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4100" w:type="dxa"/>
            <w:vAlign w:val="bottom"/>
          </w:tcPr>
          <w:p>
            <w:pPr>
              <w:ind w:left="420"/>
              <w:spacing w:after="0"/>
              <w:rPr>
                <w:sz w:val="20"/>
                <w:szCs w:val="20"/>
                <w:color w:val="auto"/>
              </w:rPr>
            </w:pPr>
            <w:r>
              <w:rPr>
                <w:rFonts w:ascii="Arial" w:cs="Arial" w:eastAsia="Arial" w:hAnsi="Arial"/>
                <w:sz w:val="14"/>
                <w:szCs w:val="14"/>
                <w:color w:val="0E2A35"/>
              </w:rPr>
              <w:t>one-year term</w:t>
            </w: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100" w:type="dxa"/>
            <w:vAlign w:val="bottom"/>
            <w:tcBorders>
              <w:bottom w:val="single" w:sz="8" w:color="0E2A35"/>
            </w:tcBorders>
          </w:tcPr>
          <w:p>
            <w:pPr>
              <w:spacing w:after="0"/>
              <w:rPr>
                <w:sz w:val="11"/>
                <w:szCs w:val="11"/>
                <w:color w:val="auto"/>
              </w:rPr>
            </w:pPr>
          </w:p>
        </w:tc>
        <w:tc>
          <w:tcPr>
            <w:tcW w:w="1520" w:type="dxa"/>
            <w:vAlign w:val="bottom"/>
            <w:tcBorders>
              <w:bottom w:val="single" w:sz="8" w:color="0E2A35"/>
            </w:tcBorders>
          </w:tcPr>
          <w:p>
            <w:pPr>
              <w:spacing w:after="0"/>
              <w:rPr>
                <w:sz w:val="11"/>
                <w:szCs w:val="11"/>
                <w:color w:val="auto"/>
              </w:rPr>
            </w:pPr>
          </w:p>
        </w:tc>
        <w:tc>
          <w:tcPr>
            <w:tcW w:w="1140" w:type="dxa"/>
            <w:vAlign w:val="bottom"/>
            <w:tcBorders>
              <w:bottom w:val="single" w:sz="8" w:color="0E2A35"/>
            </w:tcBorders>
          </w:tcPr>
          <w:p>
            <w:pPr>
              <w:spacing w:after="0"/>
              <w:rPr>
                <w:sz w:val="11"/>
                <w:szCs w:val="11"/>
                <w:color w:val="auto"/>
              </w:rPr>
            </w:pPr>
          </w:p>
        </w:tc>
        <w:tc>
          <w:tcPr>
            <w:tcW w:w="1200" w:type="dxa"/>
            <w:vAlign w:val="bottom"/>
            <w:tcBorders>
              <w:bottom w:val="single" w:sz="8" w:color="0E2A35"/>
            </w:tcBorders>
          </w:tcPr>
          <w:p>
            <w:pPr>
              <w:spacing w:after="0"/>
              <w:rPr>
                <w:sz w:val="11"/>
                <w:szCs w:val="11"/>
                <w:color w:val="auto"/>
              </w:rPr>
            </w:pPr>
          </w:p>
        </w:tc>
        <w:tc>
          <w:tcPr>
            <w:tcW w:w="1320" w:type="dxa"/>
            <w:vAlign w:val="bottom"/>
            <w:tcBorders>
              <w:bottom w:val="single" w:sz="8" w:color="0E2A35"/>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100" w:type="dxa"/>
            <w:vAlign w:val="bottom"/>
          </w:tcPr>
          <w:p>
            <w:pPr>
              <w:ind w:left="160"/>
              <w:spacing w:after="0" w:line="290" w:lineRule="exact"/>
              <w:rPr>
                <w:sz w:val="20"/>
                <w:szCs w:val="20"/>
                <w:color w:val="auto"/>
              </w:rPr>
            </w:pPr>
            <w:r>
              <w:rPr>
                <w:rFonts w:ascii="Arial" w:cs="Arial" w:eastAsia="Arial" w:hAnsi="Arial"/>
                <w:sz w:val="33"/>
                <w:szCs w:val="33"/>
                <w:b w:val="1"/>
                <w:bCs w:val="1"/>
                <w:color w:val="0E2A35"/>
                <w:vertAlign w:val="subscript"/>
              </w:rPr>
              <w:t>2</w:t>
            </w:r>
            <w:r>
              <w:rPr>
                <w:rFonts w:ascii="Arial" w:cs="Arial" w:eastAsia="Arial" w:hAnsi="Arial"/>
                <w:sz w:val="13"/>
                <w:szCs w:val="13"/>
                <w:color w:val="0E2A35"/>
              </w:rPr>
              <w:t xml:space="preserve">  Advisory approval of executive compensation</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Majority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1520" w:type="dxa"/>
            <w:vAlign w:val="bottom"/>
          </w:tcPr>
          <w:p>
            <w:pPr>
              <w:jc w:val="center"/>
              <w:ind w:right="11"/>
              <w:spacing w:after="0" w:line="181" w:lineRule="exact"/>
              <w:rPr>
                <w:sz w:val="20"/>
                <w:szCs w:val="20"/>
                <w:color w:val="auto"/>
              </w:rPr>
            </w:pPr>
            <w:r>
              <w:rPr>
                <w:rFonts w:ascii="Arial" w:cs="Arial" w:eastAsia="Arial" w:hAnsi="Arial"/>
                <w:sz w:val="13"/>
                <w:szCs w:val="13"/>
                <w:color w:val="0E2A35"/>
                <w:w w:val="99"/>
              </w:rPr>
              <w:t>cast</w:t>
            </w:r>
            <w:r>
              <w:rPr>
                <w:rFonts w:ascii="Arial" w:cs="Arial" w:eastAsia="Arial" w:hAnsi="Arial"/>
                <w:sz w:val="20"/>
                <w:szCs w:val="20"/>
                <w:color w:val="0E2A35"/>
                <w:w w:val="99"/>
                <w:vertAlign w:val="superscript"/>
              </w:rPr>
              <w:t>(5)</w:t>
            </w:r>
          </w:p>
        </w:tc>
        <w:tc>
          <w:tcPr>
            <w:tcW w:w="1140" w:type="dxa"/>
            <w:vAlign w:val="bottom"/>
          </w:tcPr>
          <w:p>
            <w:pPr>
              <w:jc w:val="center"/>
              <w:ind w:right="69"/>
              <w:spacing w:after="0"/>
              <w:rPr>
                <w:sz w:val="20"/>
                <w:szCs w:val="20"/>
                <w:color w:val="auto"/>
              </w:rPr>
            </w:pPr>
            <w:r>
              <w:rPr>
                <w:rFonts w:ascii="Arial" w:cs="Arial" w:eastAsia="Arial" w:hAnsi="Arial"/>
                <w:sz w:val="14"/>
                <w:szCs w:val="14"/>
                <w:color w:val="0E2A35"/>
              </w:rPr>
              <w:t>AGAINST</w:t>
            </w: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jc w:val="center"/>
              <w:ind w:right="29"/>
              <w:spacing w:after="0"/>
              <w:rPr>
                <w:sz w:val="20"/>
                <w:szCs w:val="20"/>
                <w:color w:val="auto"/>
              </w:rPr>
            </w:pPr>
            <w:r>
              <w:rPr>
                <w:rFonts w:ascii="Arial" w:cs="Arial" w:eastAsia="Arial" w:hAnsi="Arial"/>
                <w:sz w:val="14"/>
                <w:szCs w:val="14"/>
                <w:color w:val="0E2A35"/>
              </w:rPr>
              <w:t>ABSTAIN</w:t>
            </w: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100" w:type="dxa"/>
            <w:vAlign w:val="bottom"/>
            <w:tcBorders>
              <w:bottom w:val="single" w:sz="8" w:color="0E2A35"/>
            </w:tcBorders>
          </w:tcPr>
          <w:p>
            <w:pPr>
              <w:spacing w:after="0"/>
              <w:rPr>
                <w:sz w:val="11"/>
                <w:szCs w:val="11"/>
                <w:color w:val="auto"/>
              </w:rPr>
            </w:pPr>
          </w:p>
        </w:tc>
        <w:tc>
          <w:tcPr>
            <w:tcW w:w="1520" w:type="dxa"/>
            <w:vAlign w:val="bottom"/>
            <w:tcBorders>
              <w:bottom w:val="single" w:sz="8" w:color="0E2A35"/>
            </w:tcBorders>
          </w:tcPr>
          <w:p>
            <w:pPr>
              <w:spacing w:after="0"/>
              <w:rPr>
                <w:sz w:val="11"/>
                <w:szCs w:val="11"/>
                <w:color w:val="auto"/>
              </w:rPr>
            </w:pPr>
          </w:p>
        </w:tc>
        <w:tc>
          <w:tcPr>
            <w:tcW w:w="1140" w:type="dxa"/>
            <w:vAlign w:val="bottom"/>
            <w:tcBorders>
              <w:bottom w:val="single" w:sz="8" w:color="0E2A35"/>
            </w:tcBorders>
          </w:tcPr>
          <w:p>
            <w:pPr>
              <w:spacing w:after="0"/>
              <w:rPr>
                <w:sz w:val="11"/>
                <w:szCs w:val="11"/>
                <w:color w:val="auto"/>
              </w:rPr>
            </w:pPr>
          </w:p>
        </w:tc>
        <w:tc>
          <w:tcPr>
            <w:tcW w:w="1200" w:type="dxa"/>
            <w:vAlign w:val="bottom"/>
            <w:tcBorders>
              <w:bottom w:val="single" w:sz="8" w:color="0E2A35"/>
            </w:tcBorders>
          </w:tcPr>
          <w:p>
            <w:pPr>
              <w:spacing w:after="0"/>
              <w:rPr>
                <w:sz w:val="11"/>
                <w:szCs w:val="11"/>
                <w:color w:val="auto"/>
              </w:rPr>
            </w:pPr>
          </w:p>
        </w:tc>
        <w:tc>
          <w:tcPr>
            <w:tcW w:w="1320" w:type="dxa"/>
            <w:vAlign w:val="bottom"/>
            <w:tcBorders>
              <w:bottom w:val="single" w:sz="8" w:color="0E2A35"/>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100" w:type="dxa"/>
            <w:vAlign w:val="bottom"/>
          </w:tcPr>
          <w:p>
            <w:pPr>
              <w:ind w:left="160"/>
              <w:spacing w:after="0"/>
              <w:rPr>
                <w:sz w:val="20"/>
                <w:szCs w:val="20"/>
                <w:color w:val="auto"/>
              </w:rPr>
            </w:pPr>
            <w:r>
              <w:rPr>
                <w:rFonts w:ascii="Arial" w:cs="Arial" w:eastAsia="Arial" w:hAnsi="Arial"/>
                <w:sz w:val="20"/>
                <w:szCs w:val="20"/>
                <w:b w:val="1"/>
                <w:bCs w:val="1"/>
                <w:color w:val="0E2A35"/>
              </w:rPr>
              <w:t xml:space="preserve">3  </w:t>
            </w:r>
            <w:r>
              <w:rPr>
                <w:rFonts w:ascii="Arial" w:cs="Arial" w:eastAsia="Arial" w:hAnsi="Arial"/>
                <w:sz w:val="14"/>
                <w:szCs w:val="14"/>
                <w:color w:val="0E2A35"/>
              </w:rPr>
              <w:t>Ratification of the appointment of Deloitte &amp; Touche LLP</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Majority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as our independent registered public accountant for the</w:t>
            </w:r>
          </w:p>
        </w:tc>
        <w:tc>
          <w:tcPr>
            <w:tcW w:w="1520" w:type="dxa"/>
            <w:vAlign w:val="bottom"/>
          </w:tcPr>
          <w:p>
            <w:pPr>
              <w:jc w:val="center"/>
              <w:ind w:right="11"/>
              <w:spacing w:after="0" w:line="153" w:lineRule="exact"/>
              <w:rPr>
                <w:sz w:val="20"/>
                <w:szCs w:val="20"/>
                <w:color w:val="auto"/>
              </w:rPr>
            </w:pPr>
            <w:r>
              <w:rPr>
                <w:rFonts w:ascii="Arial" w:cs="Arial" w:eastAsia="Arial" w:hAnsi="Arial"/>
                <w:sz w:val="14"/>
                <w:szCs w:val="14"/>
                <w:color w:val="0E2A35"/>
              </w:rPr>
              <w:t>cast</w:t>
            </w:r>
          </w:p>
        </w:tc>
        <w:tc>
          <w:tcPr>
            <w:tcW w:w="1140" w:type="dxa"/>
            <w:vAlign w:val="bottom"/>
          </w:tcPr>
          <w:p>
            <w:pPr>
              <w:jc w:val="center"/>
              <w:ind w:right="69"/>
              <w:spacing w:after="0" w:line="153" w:lineRule="exact"/>
              <w:rPr>
                <w:sz w:val="20"/>
                <w:szCs w:val="20"/>
                <w:color w:val="auto"/>
              </w:rPr>
            </w:pPr>
            <w:r>
              <w:rPr>
                <w:rFonts w:ascii="Arial" w:cs="Arial" w:eastAsia="Arial" w:hAnsi="Arial"/>
                <w:sz w:val="14"/>
                <w:szCs w:val="14"/>
                <w:color w:val="0E2A35"/>
              </w:rPr>
              <w:t>AGAINST</w:t>
            </w: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10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140" w:type="dxa"/>
            <w:vAlign w:val="bottom"/>
            <w:vMerge w:val="restart"/>
          </w:tcPr>
          <w:p>
            <w:pPr>
              <w:jc w:val="center"/>
              <w:ind w:right="29"/>
              <w:spacing w:after="0"/>
              <w:rPr>
                <w:sz w:val="20"/>
                <w:szCs w:val="20"/>
                <w:color w:val="auto"/>
              </w:rPr>
            </w:pPr>
            <w:r>
              <w:rPr>
                <w:rFonts w:ascii="Arial" w:cs="Arial" w:eastAsia="Arial" w:hAnsi="Arial"/>
                <w:sz w:val="14"/>
                <w:szCs w:val="14"/>
                <w:color w:val="0E2A35"/>
              </w:rPr>
              <w:t>ABSTAIN</w:t>
            </w:r>
          </w:p>
        </w:tc>
        <w:tc>
          <w:tcPr>
            <w:tcW w:w="1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fiscal year ending August 27, 2022</w:t>
            </w:r>
          </w:p>
        </w:tc>
        <w:tc>
          <w:tcPr>
            <w:tcW w:w="15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10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4100" w:type="dxa"/>
            <w:vAlign w:val="bottom"/>
            <w:tcBorders>
              <w:bottom w:val="single" w:sz="8" w:color="0E2A35"/>
            </w:tcBorders>
          </w:tcPr>
          <w:p>
            <w:pPr>
              <w:spacing w:after="0"/>
              <w:rPr>
                <w:sz w:val="11"/>
                <w:szCs w:val="11"/>
                <w:color w:val="auto"/>
              </w:rPr>
            </w:pPr>
          </w:p>
        </w:tc>
        <w:tc>
          <w:tcPr>
            <w:tcW w:w="1520" w:type="dxa"/>
            <w:vAlign w:val="bottom"/>
            <w:tcBorders>
              <w:bottom w:val="single" w:sz="8" w:color="0E2A35"/>
            </w:tcBorders>
          </w:tcPr>
          <w:p>
            <w:pPr>
              <w:spacing w:after="0"/>
              <w:rPr>
                <w:sz w:val="11"/>
                <w:szCs w:val="11"/>
                <w:color w:val="auto"/>
              </w:rPr>
            </w:pPr>
          </w:p>
        </w:tc>
        <w:tc>
          <w:tcPr>
            <w:tcW w:w="1140" w:type="dxa"/>
            <w:vAlign w:val="bottom"/>
            <w:tcBorders>
              <w:bottom w:val="single" w:sz="8" w:color="0E2A35"/>
            </w:tcBorders>
          </w:tcPr>
          <w:p>
            <w:pPr>
              <w:spacing w:after="0"/>
              <w:rPr>
                <w:sz w:val="11"/>
                <w:szCs w:val="11"/>
                <w:color w:val="auto"/>
              </w:rPr>
            </w:pPr>
          </w:p>
        </w:tc>
        <w:tc>
          <w:tcPr>
            <w:tcW w:w="1200" w:type="dxa"/>
            <w:vAlign w:val="bottom"/>
            <w:tcBorders>
              <w:bottom w:val="single" w:sz="8" w:color="0E2A35"/>
            </w:tcBorders>
          </w:tcPr>
          <w:p>
            <w:pPr>
              <w:spacing w:after="0"/>
              <w:rPr>
                <w:sz w:val="11"/>
                <w:szCs w:val="11"/>
                <w:color w:val="auto"/>
              </w:rPr>
            </w:pPr>
          </w:p>
        </w:tc>
        <w:tc>
          <w:tcPr>
            <w:tcW w:w="1320" w:type="dxa"/>
            <w:vAlign w:val="bottom"/>
            <w:tcBorders>
              <w:bottom w:val="single" w:sz="8" w:color="0E2A35"/>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4100" w:type="dxa"/>
            <w:vAlign w:val="bottom"/>
          </w:tcPr>
          <w:p>
            <w:pPr>
              <w:ind w:left="160"/>
              <w:spacing w:after="0"/>
              <w:rPr>
                <w:sz w:val="20"/>
                <w:szCs w:val="20"/>
                <w:color w:val="auto"/>
              </w:rPr>
            </w:pPr>
            <w:r>
              <w:rPr>
                <w:rFonts w:ascii="Arial" w:cs="Arial" w:eastAsia="Arial" w:hAnsi="Arial"/>
                <w:sz w:val="20"/>
                <w:szCs w:val="20"/>
                <w:b w:val="1"/>
                <w:bCs w:val="1"/>
                <w:color w:val="0E2A35"/>
              </w:rPr>
              <w:t xml:space="preserve">4  </w:t>
            </w:r>
            <w:r>
              <w:rPr>
                <w:rFonts w:ascii="Arial" w:cs="Arial" w:eastAsia="Arial" w:hAnsi="Arial"/>
                <w:sz w:val="14"/>
                <w:szCs w:val="14"/>
                <w:color w:val="0E2A35"/>
              </w:rPr>
              <w:t>Approval of the reincorporation of the Company from</w:t>
            </w:r>
          </w:p>
        </w:tc>
        <w:tc>
          <w:tcPr>
            <w:tcW w:w="1520" w:type="dxa"/>
            <w:vAlign w:val="bottom"/>
          </w:tcPr>
          <w:p>
            <w:pPr>
              <w:jc w:val="center"/>
              <w:ind w:right="11"/>
              <w:spacing w:after="0"/>
              <w:rPr>
                <w:sz w:val="20"/>
                <w:szCs w:val="20"/>
                <w:color w:val="auto"/>
              </w:rPr>
            </w:pPr>
            <w:r>
              <w:rPr>
                <w:rFonts w:ascii="Arial" w:cs="Arial" w:eastAsia="Arial" w:hAnsi="Arial"/>
                <w:sz w:val="14"/>
                <w:szCs w:val="14"/>
                <w:color w:val="0E2A35"/>
              </w:rPr>
              <w:t>Majority of the votes</w:t>
            </w:r>
          </w:p>
        </w:tc>
        <w:tc>
          <w:tcPr>
            <w:tcW w:w="1140" w:type="dxa"/>
            <w:vAlign w:val="bottom"/>
          </w:tcPr>
          <w:p>
            <w:pPr>
              <w:jc w:val="center"/>
              <w:ind w:right="49"/>
              <w:spacing w:after="0"/>
              <w:rPr>
                <w:sz w:val="20"/>
                <w:szCs w:val="20"/>
                <w:color w:val="auto"/>
              </w:rPr>
            </w:pPr>
            <w:r>
              <w:rPr>
                <w:rFonts w:ascii="Arial" w:cs="Arial" w:eastAsia="Arial" w:hAnsi="Arial"/>
                <w:sz w:val="14"/>
                <w:szCs w:val="14"/>
                <w:color w:val="0E2A35"/>
              </w:rPr>
              <w:t>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320" w:type="dxa"/>
            <w:vAlign w:val="bottom"/>
          </w:tcPr>
          <w:p>
            <w:pPr>
              <w:jc w:val="center"/>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420"/>
              <w:spacing w:after="0"/>
              <w:rPr>
                <w:sz w:val="20"/>
                <w:szCs w:val="20"/>
                <w:color w:val="auto"/>
              </w:rPr>
            </w:pPr>
            <w:r>
              <w:rPr>
                <w:rFonts w:ascii="Arial" w:cs="Arial" w:eastAsia="Arial" w:hAnsi="Arial"/>
                <w:sz w:val="14"/>
                <w:szCs w:val="14"/>
                <w:color w:val="0E2A35"/>
              </w:rPr>
              <w:t>Iowa to Minnesota</w:t>
            </w:r>
          </w:p>
        </w:tc>
        <w:tc>
          <w:tcPr>
            <w:tcW w:w="1520" w:type="dxa"/>
            <w:vAlign w:val="bottom"/>
          </w:tcPr>
          <w:p>
            <w:pPr>
              <w:jc w:val="center"/>
              <w:ind w:right="11"/>
              <w:spacing w:after="0" w:line="153" w:lineRule="exact"/>
              <w:rPr>
                <w:sz w:val="20"/>
                <w:szCs w:val="20"/>
                <w:color w:val="auto"/>
              </w:rPr>
            </w:pPr>
            <w:r>
              <w:rPr>
                <w:rFonts w:ascii="Arial" w:cs="Arial" w:eastAsia="Arial" w:hAnsi="Arial"/>
                <w:sz w:val="14"/>
                <w:szCs w:val="14"/>
                <w:color w:val="0E2A35"/>
              </w:rPr>
              <w:t>cast</w:t>
            </w:r>
          </w:p>
        </w:tc>
        <w:tc>
          <w:tcPr>
            <w:tcW w:w="1140" w:type="dxa"/>
            <w:vAlign w:val="bottom"/>
          </w:tcPr>
          <w:p>
            <w:pPr>
              <w:jc w:val="center"/>
              <w:ind w:right="69"/>
              <w:spacing w:after="0" w:line="153" w:lineRule="exact"/>
              <w:rPr>
                <w:sz w:val="20"/>
                <w:szCs w:val="20"/>
                <w:color w:val="auto"/>
              </w:rPr>
            </w:pPr>
            <w:r>
              <w:rPr>
                <w:rFonts w:ascii="Arial" w:cs="Arial" w:eastAsia="Arial" w:hAnsi="Arial"/>
                <w:sz w:val="14"/>
                <w:szCs w:val="14"/>
                <w:color w:val="0E2A35"/>
              </w:rPr>
              <w:t>AGAINST</w:t>
            </w: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0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1140" w:type="dxa"/>
            <w:vAlign w:val="bottom"/>
            <w:vMerge w:val="restart"/>
          </w:tcPr>
          <w:p>
            <w:pPr>
              <w:jc w:val="center"/>
              <w:ind w:right="29"/>
              <w:spacing w:after="0"/>
              <w:rPr>
                <w:sz w:val="20"/>
                <w:szCs w:val="20"/>
                <w:color w:val="auto"/>
              </w:rPr>
            </w:pPr>
            <w:r>
              <w:rPr>
                <w:rFonts w:ascii="Arial" w:cs="Arial" w:eastAsia="Arial" w:hAnsi="Arial"/>
                <w:sz w:val="14"/>
                <w:szCs w:val="14"/>
                <w:color w:val="0E2A35"/>
              </w:rPr>
              <w:t>ABSTAIN</w:t>
            </w:r>
          </w:p>
        </w:tc>
        <w:tc>
          <w:tcPr>
            <w:tcW w:w="1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100" w:type="dxa"/>
            <w:vAlign w:val="bottom"/>
            <w:tcBorders>
              <w:bottom w:val="single" w:sz="8" w:color="0E2A35"/>
            </w:tcBorders>
          </w:tcPr>
          <w:p>
            <w:pPr>
              <w:spacing w:after="0"/>
              <w:rPr>
                <w:sz w:val="3"/>
                <w:szCs w:val="3"/>
                <w:color w:val="auto"/>
              </w:rPr>
            </w:pPr>
          </w:p>
        </w:tc>
        <w:tc>
          <w:tcPr>
            <w:tcW w:w="152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c>
          <w:tcPr>
            <w:tcW w:w="132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hanging="360"/>
        <w:spacing w:after="0"/>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A withhold vote or abstention will have no impact on the outcome of the voting on any of the proposals.</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If you submit a proxy without giving specific voting instructions, your shares will be voted in accordance with the Board's recommendations.</w:t>
      </w:r>
    </w:p>
    <w:p>
      <w:pPr>
        <w:spacing w:after="0" w:line="39" w:lineRule="exact"/>
        <w:rPr>
          <w:rFonts w:ascii="Arial" w:cs="Arial" w:eastAsia="Arial" w:hAnsi="Arial"/>
          <w:sz w:val="13"/>
          <w:szCs w:val="13"/>
          <w:color w:val="0E2A35"/>
        </w:rPr>
      </w:pPr>
    </w:p>
    <w:p>
      <w:pPr>
        <w:ind w:left="1220" w:right="1160" w:hanging="360"/>
        <w:spacing w:after="0" w:line="230" w:lineRule="auto"/>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spacing w:after="0" w:line="37" w:lineRule="exact"/>
        <w:rPr>
          <w:rFonts w:ascii="Arial" w:cs="Arial" w:eastAsia="Arial" w:hAnsi="Arial"/>
          <w:sz w:val="13"/>
          <w:szCs w:val="13"/>
          <w:color w:val="0E2A35"/>
        </w:rPr>
      </w:pPr>
    </w:p>
    <w:p>
      <w:pPr>
        <w:ind w:left="1220" w:right="880" w:hanging="360"/>
        <w:spacing w:after="0" w:line="223" w:lineRule="auto"/>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Our Board of Directors has adopted a majority voting policy for the election of directors in uncontested elections. Under this policy, in any uncontested election of directors of the Company, if any nominee receives less than a majority of the votes cast for the nominee, that nominee will still be elected, but must tender his or her resignation to the Board for consideration at the next regularly scheduled meeting of the Board. The Board will only not accept the tendered resignation for, in its judgment, a compelling reason.</w:t>
      </w:r>
    </w:p>
    <w:p>
      <w:pPr>
        <w:spacing w:after="0" w:line="38" w:lineRule="exact"/>
        <w:rPr>
          <w:rFonts w:ascii="Arial" w:cs="Arial" w:eastAsia="Arial" w:hAnsi="Arial"/>
          <w:sz w:val="13"/>
          <w:szCs w:val="13"/>
          <w:color w:val="0E2A35"/>
        </w:rPr>
      </w:pPr>
    </w:p>
    <w:p>
      <w:pPr>
        <w:ind w:left="1220" w:right="1020" w:hanging="360"/>
        <w:spacing w:after="0" w:line="230" w:lineRule="auto"/>
        <w:tabs>
          <w:tab w:leader="none" w:pos="1220" w:val="left"/>
        </w:tabs>
        <w:numPr>
          <w:ilvl w:val="0"/>
          <w:numId w:val="6"/>
        </w:numPr>
        <w:rPr>
          <w:rFonts w:ascii="Arial" w:cs="Arial" w:eastAsia="Arial" w:hAnsi="Arial"/>
          <w:sz w:val="13"/>
          <w:szCs w:val="13"/>
          <w:color w:val="0E2A35"/>
        </w:rPr>
      </w:pPr>
      <w:r>
        <w:rPr>
          <w:rFonts w:ascii="Arial" w:cs="Arial" w:eastAsia="Arial" w:hAnsi="Arial"/>
          <w:sz w:val="13"/>
          <w:szCs w:val="13"/>
          <w:color w:val="0E2A35"/>
        </w:rPr>
        <w:t>The vote of shareholders on this proposal is not binding, but rather is advisory in nature; however, the Board intends to carefully consider the result of the vote on this proposal.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5</w:t>
            </w:r>
          </w:p>
        </w:tc>
      </w:tr>
      <w:tr>
        <w:trPr>
          <w:trHeight w:val="239"/>
        </w:trPr>
        <w:tc>
          <w:tcPr>
            <w:tcW w:w="9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40640</wp:posOffset>
            </wp:positionV>
            <wp:extent cx="6995160" cy="9224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922401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118110</wp:posOffset>
            </wp:positionV>
            <wp:extent cx="6995160" cy="923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923290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2" w:name="page13"/>
    <w:bookmarkEnd w:id="1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Corporate Responsibility</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Corporate responsibility is integrated with our enterprise strategy and our commitment to Be Great, Outdoors.</w:t>
      </w:r>
    </w:p>
    <w:p>
      <w:pPr>
        <w:spacing w:after="0" w:line="181" w:lineRule="exact"/>
        <w:rPr>
          <w:sz w:val="20"/>
          <w:szCs w:val="20"/>
          <w:color w:val="auto"/>
        </w:rPr>
      </w:pPr>
    </w:p>
    <w:p>
      <w:pPr>
        <w:jc w:val="both"/>
        <w:ind w:left="860" w:right="960"/>
        <w:spacing w:after="0" w:line="253" w:lineRule="auto"/>
        <w:rPr>
          <w:sz w:val="20"/>
          <w:szCs w:val="20"/>
          <w:color w:val="auto"/>
        </w:rPr>
      </w:pPr>
      <w:r>
        <w:rPr>
          <w:rFonts w:ascii="Arial" w:cs="Arial" w:eastAsia="Arial" w:hAnsi="Arial"/>
          <w:sz w:val="16"/>
          <w:szCs w:val="16"/>
          <w:color w:val="0E2A35"/>
        </w:rPr>
        <w:t>In 2020, we released our second annual Corporate Responsibility Report, highlighting the environmental, social and governance (ESG) issues that impact our world and most directly affect the long-term sustainability of our business. This report is available in the “Responsibility” section of our website at www.winnebagoind.com.</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Environment</w:t>
      </w:r>
    </w:p>
    <w:p>
      <w:pPr>
        <w:spacing w:after="0" w:line="213"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As an outdoor lifestyle company, we care deeply about our world. The long-term sustainability of our business is linked to the environment. Winnebago Industries is committed to doing our part to ensure that the outdoor destinations we love are accessible for generations.</w:t>
      </w:r>
    </w:p>
    <w:p>
      <w:pPr>
        <w:spacing w:after="0" w:line="161"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From product innovation to operational efficiencies, we have implemented leading practices throughout our history. As we continue to grow and transform, we leverage data to establish meaningful sustainability goals while staying focused on managing energy and greenhouse gas emissions, minimizing waste, reducing reliance on fresh water, and ensuring product sustainability.</w:t>
      </w:r>
    </w:p>
    <w:p>
      <w:pPr>
        <w:spacing w:after="0" w:line="161" w:lineRule="exact"/>
        <w:rPr>
          <w:sz w:val="20"/>
          <w:szCs w:val="20"/>
          <w:color w:val="auto"/>
        </w:rPr>
      </w:pPr>
    </w:p>
    <w:p>
      <w:pPr>
        <w:ind w:left="860" w:right="1180"/>
        <w:spacing w:after="0" w:line="260" w:lineRule="auto"/>
        <w:rPr>
          <w:sz w:val="20"/>
          <w:szCs w:val="20"/>
          <w:color w:val="auto"/>
        </w:rPr>
      </w:pPr>
      <w:r>
        <w:rPr>
          <w:rFonts w:ascii="Arial" w:cs="Arial" w:eastAsia="Arial" w:hAnsi="Arial"/>
          <w:sz w:val="16"/>
          <w:szCs w:val="16"/>
          <w:color w:val="0E2A35"/>
        </w:rPr>
        <w:t>In 2021, we joined the United Nations Global Compact and committed to the Business Ambition 1.5C on a journey to net-zero greenhouse gas emissions and zero waste by 2050.</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Social</w:t>
      </w:r>
    </w:p>
    <w:p>
      <w:pPr>
        <w:spacing w:after="0" w:line="213" w:lineRule="exact"/>
        <w:rPr>
          <w:sz w:val="20"/>
          <w:szCs w:val="20"/>
          <w:color w:val="auto"/>
        </w:rPr>
      </w:pPr>
    </w:p>
    <w:p>
      <w:pPr>
        <w:ind w:left="860" w:right="1020"/>
        <w:spacing w:after="0" w:line="260" w:lineRule="auto"/>
        <w:rPr>
          <w:sz w:val="20"/>
          <w:szCs w:val="20"/>
          <w:color w:val="auto"/>
        </w:rPr>
      </w:pPr>
      <w:r>
        <w:rPr>
          <w:rFonts w:ascii="Arial" w:cs="Arial" w:eastAsia="Arial" w:hAnsi="Arial"/>
          <w:sz w:val="16"/>
          <w:szCs w:val="16"/>
          <w:color w:val="0E2A35"/>
        </w:rPr>
        <w:t>Enabling extraordinary outdoor experiences for our customers begins with our team, our culture, and our communities. We seek talented people with diverse backgrounds and perspectives who work together to deliver results.</w:t>
      </w:r>
    </w:p>
    <w:p>
      <w:pPr>
        <w:spacing w:after="0" w:line="155" w:lineRule="exact"/>
        <w:rPr>
          <w:sz w:val="20"/>
          <w:szCs w:val="20"/>
          <w:color w:val="auto"/>
        </w:rPr>
      </w:pPr>
    </w:p>
    <w:p>
      <w:pPr>
        <w:ind w:left="860" w:right="920"/>
        <w:spacing w:after="0" w:line="248" w:lineRule="auto"/>
        <w:rPr>
          <w:sz w:val="20"/>
          <w:szCs w:val="20"/>
          <w:color w:val="auto"/>
        </w:rPr>
      </w:pPr>
      <w:r>
        <w:rPr>
          <w:rFonts w:ascii="Arial" w:cs="Arial" w:eastAsia="Arial" w:hAnsi="Arial"/>
          <w:sz w:val="16"/>
          <w:szCs w:val="16"/>
          <w:color w:val="0E2A35"/>
        </w:rPr>
        <w:t>Responding to the ongoing challenges of COVID-19 and the national racial justice reckoning, Winnebago Industries has centered on employee safety, diversity and inclusion, and community partnerships. In 2021 we conducted safety walks and listening sessions with our Chief Executive Officer and welcomed our first full-time Head of Diversity, Equity and Inclusion. We expanded the impact of our COVID-19 immediate response hardship fund, launching a year-round GO Together Fund supporting employees facing unforeseen crises. Our partnership with the National Park Foundation advanced outdoor equity with support of service corps programs that provided employment opportunities for outdoor enthusiasts from underrepresented communities. We remain committed to the CEO Action for Diversity &amp; Inclusion goals.</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Our CommunityGO employee volunteers participated in a variety of giving activities to strengthen our hometown communities.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From outdoor education to mentoring, disaster response to hunger relief, CommunityGO volunteers made a difference.</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Governance</w:t>
      </w:r>
    </w:p>
    <w:p>
      <w:pPr>
        <w:spacing w:after="0" w:line="213" w:lineRule="exact"/>
        <w:rPr>
          <w:sz w:val="20"/>
          <w:szCs w:val="20"/>
          <w:color w:val="auto"/>
        </w:rPr>
      </w:pPr>
    </w:p>
    <w:p>
      <w:pPr>
        <w:ind w:left="860" w:right="880"/>
        <w:spacing w:after="0" w:line="250" w:lineRule="auto"/>
        <w:rPr>
          <w:sz w:val="20"/>
          <w:szCs w:val="20"/>
          <w:color w:val="auto"/>
        </w:rPr>
      </w:pPr>
      <w:r>
        <w:rPr>
          <w:rFonts w:ascii="Arial" w:cs="Arial" w:eastAsia="Arial" w:hAnsi="Arial"/>
          <w:sz w:val="16"/>
          <w:szCs w:val="16"/>
          <w:color w:val="0E2A35"/>
        </w:rPr>
        <w:t>Our Board of Directors oversees the company’s ESG performance, and our cross-functional Corporate Responsibility Advisory Team informs ESG strategy and implementation throughout our enterprise. We live by our Code of Conduct, which is foundational to our efforts to be the trusted leader in outdoor lifestyle solutions by conducting our business with the utmost integrity. We expect our employees to share this commitment and require that all employees complete training on our Code of Conduct on a regular basis.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60" w:type="dxa"/>
            <w:vAlign w:val="bottom"/>
          </w:tcPr>
          <w:p>
            <w:pPr>
              <w:ind w:left="748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tcPr>
          <w:p>
            <w:pPr>
              <w:jc w:val="right"/>
              <w:ind w:right="817"/>
              <w:spacing w:after="0"/>
              <w:rPr>
                <w:sz w:val="20"/>
                <w:szCs w:val="20"/>
                <w:color w:val="auto"/>
              </w:rPr>
            </w:pPr>
            <w:r>
              <w:rPr>
                <w:rFonts w:ascii="Arial" w:cs="Arial" w:eastAsia="Arial" w:hAnsi="Arial"/>
                <w:sz w:val="13"/>
                <w:szCs w:val="13"/>
                <w:b w:val="1"/>
                <w:bCs w:val="1"/>
                <w:color w:val="0E2A35"/>
              </w:rPr>
              <w:t>8</w:t>
            </w:r>
          </w:p>
        </w:tc>
      </w:tr>
      <w:tr>
        <w:trPr>
          <w:trHeight w:val="239"/>
        </w:trPr>
        <w:tc>
          <w:tcPr>
            <w:tcW w:w="9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3" w:name="page14"/>
    <w:bookmarkEnd w:id="13"/>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Corporate Governance Highlights</w:t>
      </w:r>
    </w:p>
    <w:p>
      <w:pPr>
        <w:spacing w:after="0" w:line="224" w:lineRule="exact"/>
        <w:rPr>
          <w:sz w:val="20"/>
          <w:szCs w:val="20"/>
          <w:color w:val="auto"/>
        </w:rPr>
      </w:pPr>
    </w:p>
    <w:p>
      <w:pPr>
        <w:ind w:left="860" w:right="920"/>
        <w:spacing w:after="0" w:line="253" w:lineRule="auto"/>
        <w:rPr>
          <w:sz w:val="20"/>
          <w:szCs w:val="20"/>
          <w:color w:val="auto"/>
        </w:rPr>
      </w:pPr>
      <w:r>
        <w:rPr>
          <w:rFonts w:ascii="Arial" w:cs="Arial" w:eastAsia="Arial" w:hAnsi="Arial"/>
          <w:sz w:val="16"/>
          <w:szCs w:val="16"/>
          <w:color w:val="0E2A35"/>
        </w:rPr>
        <w:t>We are committed to a strong corporate governance structure that promotes long-term value for our shareholders. Our Board of Directors (Board) believes that having a mix of directors with complementary qualifications, experience and expertise strengthens its oversight ability, provides diverse perspectives, and represents the best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57785</wp:posOffset>
            </wp:positionV>
            <wp:extent cx="6386195" cy="3214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619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117475</wp:posOffset>
            </wp:positionV>
            <wp:extent cx="5897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Independent leadership</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10 of 11 directors are independent (all except the Chief Executive Officer)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Independent non-employee chairman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All Board committee members are independent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Executive sessions of independent directors before and/or after each regular Board meeting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880" w:type="dxa"/>
            <w:vAlign w:val="bottom"/>
            <w:tcBorders>
              <w:bottom w:val="single" w:sz="8" w:color="0E2A35"/>
            </w:tcBorders>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Board refreshment</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Mix of tenure and diversity of directors (4 independent directors joined in the last 4 years, all of</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280"/>
              <w:spacing w:after="0"/>
              <w:rPr>
                <w:sz w:val="20"/>
                <w:szCs w:val="20"/>
                <w:color w:val="auto"/>
              </w:rPr>
            </w:pPr>
            <w:r>
              <w:rPr>
                <w:rFonts w:ascii="Arial" w:cs="Arial" w:eastAsia="Arial" w:hAnsi="Arial"/>
                <w:sz w:val="14"/>
                <w:szCs w:val="14"/>
                <w:color w:val="0E2A35"/>
              </w:rPr>
              <w:t>whom are diverse)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Age limit for directors (72)</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Robust annual Board and committee self-evaluations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880" w:type="dxa"/>
            <w:vAlign w:val="bottom"/>
            <w:tcBorders>
              <w:bottom w:val="single" w:sz="8" w:color="0E2A35"/>
            </w:tcBorders>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Other strong governance</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Single class of outstanding shares with equal voting rights</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2"/>
        </w:trPr>
        <w:tc>
          <w:tcPr>
            <w:tcW w:w="860" w:type="dxa"/>
            <w:vAlign w:val="bottom"/>
          </w:tcPr>
          <w:p>
            <w:pPr>
              <w:spacing w:after="0"/>
              <w:rPr>
                <w:sz w:val="14"/>
                <w:szCs w:val="14"/>
                <w:color w:val="auto"/>
              </w:rPr>
            </w:pPr>
          </w:p>
        </w:tc>
        <w:tc>
          <w:tcPr>
            <w:tcW w:w="1880" w:type="dxa"/>
            <w:vAlign w:val="bottom"/>
          </w:tcPr>
          <w:p>
            <w:pPr>
              <w:ind w:left="140"/>
              <w:spacing w:after="0"/>
              <w:rPr>
                <w:sz w:val="20"/>
                <w:szCs w:val="20"/>
                <w:color w:val="auto"/>
              </w:rPr>
            </w:pPr>
            <w:r>
              <w:rPr>
                <w:rFonts w:ascii="Arial" w:cs="Arial" w:eastAsia="Arial" w:hAnsi="Arial"/>
                <w:sz w:val="14"/>
                <w:szCs w:val="14"/>
                <w:color w:val="0E2A35"/>
              </w:rPr>
              <w:t>practices</w:t>
            </w: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Code of Conduct applicable to all directors, officers and employees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Non-employee director and executive stock ownership guidelines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Anti-hedging and anti-pledging policy for all employees and Board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Routine engagement with shareholders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20" w:type="dxa"/>
            <w:vAlign w:val="bottom"/>
          </w:tcPr>
          <w:p>
            <w:pPr>
              <w:ind w:left="14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Excellent meeting attendance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9"/>
        </w:trPr>
        <w:tc>
          <w:tcPr>
            <w:tcW w:w="860" w:type="dxa"/>
            <w:vAlign w:val="bottom"/>
          </w:tcPr>
          <w:p>
            <w:pPr>
              <w:spacing w:after="0"/>
              <w:rPr>
                <w:sz w:val="3"/>
                <w:szCs w:val="3"/>
                <w:color w:val="auto"/>
              </w:rPr>
            </w:pPr>
          </w:p>
        </w:tc>
        <w:tc>
          <w:tcPr>
            <w:tcW w:w="1880" w:type="dxa"/>
            <w:vAlign w:val="bottom"/>
            <w:tcBorders>
              <w:bottom w:val="single" w:sz="8" w:color="0E2A35"/>
            </w:tcBorders>
          </w:tcPr>
          <w:p>
            <w:pPr>
              <w:spacing w:after="0"/>
              <w:rPr>
                <w:sz w:val="3"/>
                <w:szCs w:val="3"/>
                <w:color w:val="auto"/>
              </w:rPr>
            </w:pPr>
          </w:p>
        </w:tc>
        <w:tc>
          <w:tcPr>
            <w:tcW w:w="7220" w:type="dxa"/>
            <w:vAlign w:val="bottom"/>
            <w:tcBorders>
              <w:bottom w:val="single" w:sz="8" w:color="0E2A35"/>
            </w:tcBorders>
          </w:tcPr>
          <w:p>
            <w:pPr>
              <w:spacing w:after="0"/>
              <w:rPr>
                <w:sz w:val="3"/>
                <w:szCs w:val="3"/>
                <w:color w:val="auto"/>
              </w:rPr>
            </w:pPr>
          </w:p>
        </w:tc>
        <w:tc>
          <w:tcPr>
            <w:tcW w:w="18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20" w:type="dxa"/>
            <w:vAlign w:val="bottom"/>
          </w:tcPr>
          <w:p>
            <w:pPr>
              <w:ind w:left="4740"/>
              <w:spacing w:after="0"/>
              <w:rPr>
                <w:sz w:val="20"/>
                <w:szCs w:val="20"/>
                <w:color w:val="auto"/>
              </w:rPr>
            </w:pPr>
            <w:r>
              <w:rPr>
                <w:rFonts w:ascii="Arial" w:cs="Arial" w:eastAsia="Arial" w:hAnsi="Arial"/>
                <w:sz w:val="13"/>
                <w:szCs w:val="13"/>
                <w:color w:val="0E2A35"/>
              </w:rPr>
              <w:t>Proxy Statement for 2021 Annual Meeting</w:t>
            </w:r>
          </w:p>
        </w:tc>
        <w:tc>
          <w:tcPr>
            <w:tcW w:w="106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rPr>
              <w:t>9</w:t>
            </w:r>
          </w:p>
        </w:tc>
      </w:tr>
      <w:tr>
        <w:trPr>
          <w:trHeight w:val="239"/>
        </w:trPr>
        <w:tc>
          <w:tcPr>
            <w:tcW w:w="8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6995160" cy="9309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309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6" w:name="page17"/>
    <w:bookmarkEnd w:id="1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Corporate Governance</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Leadership Structure</w:t>
      </w:r>
    </w:p>
    <w:p>
      <w:pPr>
        <w:spacing w:after="0" w:line="200"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Our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w:t>
      </w:r>
    </w:p>
    <w:p>
      <w:pPr>
        <w:spacing w:after="0" w:line="162"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members of our management team and key issues related to strategy and risk. Mr. David W. Miles, an independent director, has served as Chair since June 2019.</w:t>
      </w:r>
    </w:p>
    <w:p>
      <w:pPr>
        <w:spacing w:after="0" w:line="175" w:lineRule="exact"/>
        <w:rPr>
          <w:sz w:val="20"/>
          <w:szCs w:val="20"/>
          <w:color w:val="auto"/>
        </w:rPr>
      </w:pPr>
    </w:p>
    <w:p>
      <w:pPr>
        <w:ind w:left="860" w:right="1420"/>
        <w:spacing w:after="0" w:line="260" w:lineRule="auto"/>
        <w:rPr>
          <w:sz w:val="20"/>
          <w:szCs w:val="20"/>
          <w:color w:val="auto"/>
        </w:rPr>
      </w:pPr>
      <w:r>
        <w:rPr>
          <w:rFonts w:ascii="Arial" w:cs="Arial" w:eastAsia="Arial" w:hAnsi="Arial"/>
          <w:sz w:val="16"/>
          <w:szCs w:val="16"/>
          <w:color w:val="0E2A35"/>
        </w:rPr>
        <w:t>The Board recognizes that, depending on the specific characteristics and circumstances of the Company, other leadership structures might also be appropriate. We are committed to reviewing this determination on an annual basis.</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and Shareholder Meeting Attendance</w:t>
      </w:r>
    </w:p>
    <w:p>
      <w:pPr>
        <w:spacing w:after="0" w:line="200" w:lineRule="exact"/>
        <w:rPr>
          <w:sz w:val="20"/>
          <w:szCs w:val="20"/>
          <w:color w:val="auto"/>
        </w:rPr>
      </w:pPr>
    </w:p>
    <w:p>
      <w:pPr>
        <w:jc w:val="both"/>
        <w:ind w:left="860" w:right="980"/>
        <w:spacing w:after="0" w:line="246" w:lineRule="auto"/>
        <w:rPr>
          <w:sz w:val="20"/>
          <w:szCs w:val="20"/>
          <w:color w:val="auto"/>
        </w:rPr>
      </w:pPr>
      <w:r>
        <w:rPr>
          <w:rFonts w:ascii="Arial" w:cs="Arial" w:eastAsia="Arial" w:hAnsi="Arial"/>
          <w:sz w:val="16"/>
          <w:szCs w:val="16"/>
          <w:color w:val="0E2A35"/>
        </w:rPr>
        <w:t>During fiscal 2021, the Board met seven times. Each director who served on the Board during fiscal 2021 attended at least 75% of the meetings of the Board and the committees on which he or she served that were held during his or her tenure on the Board or relevant committee. It is the Board’s policy that directors are encouraged, but are not required, to attend the annual meeting.</w:t>
      </w:r>
    </w:p>
    <w:p>
      <w:pPr>
        <w:spacing w:after="0" w:line="1" w:lineRule="exact"/>
        <w:rPr>
          <w:sz w:val="20"/>
          <w:szCs w:val="20"/>
          <w:color w:val="auto"/>
        </w:rPr>
      </w:pPr>
    </w:p>
    <w:p>
      <w:pPr>
        <w:ind w:left="860" w:right="1220"/>
        <w:spacing w:after="0" w:line="260" w:lineRule="auto"/>
        <w:rPr>
          <w:sz w:val="20"/>
          <w:szCs w:val="20"/>
          <w:color w:val="auto"/>
        </w:rPr>
      </w:pPr>
      <w:r>
        <w:rPr>
          <w:rFonts w:ascii="Arial" w:cs="Arial" w:eastAsia="Arial" w:hAnsi="Arial"/>
          <w:sz w:val="16"/>
          <w:szCs w:val="16"/>
          <w:color w:val="0E2A35"/>
        </w:rPr>
        <w:t>All of our then-serving directors attended the 2020 annual meeting. During the year, our independent directors held executive sessions without the CEO or other management as a routinely scheduled agenda item for every regular Board meeting.</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Committees</w:t>
      </w:r>
    </w:p>
    <w:p>
      <w:pPr>
        <w:spacing w:after="0" w:line="200"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 xml:space="preserve">The Board has established the Audit, Human Resources, Nominating and Governance, and Finance Committees to assist it in discharging its responsibilities. Each committee operates under a written charter, each of which is available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The current membership of each committee and its primary responsibilities, as well as the number of meetings held by each of these committees during fiscal 2021, are described below.</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3100" w:type="dxa"/>
            <w:vAlign w:val="bottom"/>
            <w:shd w:val="clear" w:color="auto" w:fill="0E2A35"/>
          </w:tcPr>
          <w:p>
            <w:pPr>
              <w:spacing w:after="0"/>
              <w:rPr>
                <w:sz w:val="22"/>
                <w:szCs w:val="22"/>
                <w:color w:val="auto"/>
              </w:rPr>
            </w:pPr>
          </w:p>
        </w:tc>
        <w:tc>
          <w:tcPr>
            <w:tcW w:w="2240" w:type="dxa"/>
            <w:vAlign w:val="bottom"/>
            <w:shd w:val="clear" w:color="auto" w:fill="0E2A35"/>
          </w:tcPr>
          <w:p>
            <w:pPr>
              <w:spacing w:after="0"/>
              <w:rPr>
                <w:sz w:val="22"/>
                <w:szCs w:val="22"/>
                <w:color w:val="auto"/>
              </w:rPr>
            </w:pPr>
          </w:p>
        </w:tc>
        <w:tc>
          <w:tcPr>
            <w:tcW w:w="2760" w:type="dxa"/>
            <w:vAlign w:val="bottom"/>
            <w:gridSpan w:val="2"/>
            <w:shd w:val="clear" w:color="auto" w:fill="0E2A35"/>
          </w:tcPr>
          <w:p>
            <w:pPr>
              <w:ind w:left="620"/>
              <w:spacing w:after="0"/>
              <w:rPr>
                <w:sz w:val="20"/>
                <w:szCs w:val="20"/>
                <w:color w:val="auto"/>
              </w:rPr>
            </w:pPr>
            <w:r>
              <w:rPr>
                <w:rFonts w:ascii="Arial" w:cs="Arial" w:eastAsia="Arial" w:hAnsi="Arial"/>
                <w:sz w:val="13"/>
                <w:szCs w:val="13"/>
                <w:b w:val="1"/>
                <w:bCs w:val="1"/>
                <w:color w:val="FFFFFF"/>
              </w:rPr>
              <w:t>Committees of the Board</w:t>
            </w:r>
          </w:p>
        </w:tc>
        <w:tc>
          <w:tcPr>
            <w:tcW w:w="1180" w:type="dxa"/>
            <w:vAlign w:val="bottom"/>
            <w:shd w:val="clear" w:color="auto" w:fill="0E2A35"/>
          </w:tcPr>
          <w:p>
            <w:pPr>
              <w:spacing w:after="0"/>
              <w:rPr>
                <w:sz w:val="22"/>
                <w:szCs w:val="22"/>
                <w:color w:val="auto"/>
              </w:rPr>
            </w:pPr>
          </w:p>
        </w:tc>
      </w:tr>
      <w:tr>
        <w:trPr>
          <w:trHeight w:val="264"/>
        </w:trPr>
        <w:tc>
          <w:tcPr>
            <w:tcW w:w="3100" w:type="dxa"/>
            <w:vAlign w:val="bottom"/>
            <w:shd w:val="clear" w:color="auto" w:fill="0E2A35"/>
          </w:tcPr>
          <w:p>
            <w:pPr>
              <w:spacing w:after="0"/>
              <w:rPr>
                <w:sz w:val="22"/>
                <w:szCs w:val="22"/>
                <w:color w:val="auto"/>
              </w:rPr>
            </w:pPr>
          </w:p>
        </w:tc>
        <w:tc>
          <w:tcPr>
            <w:tcW w:w="2240" w:type="dxa"/>
            <w:vAlign w:val="bottom"/>
            <w:shd w:val="clear" w:color="auto" w:fill="0E2A35"/>
          </w:tcPr>
          <w:p>
            <w:pPr>
              <w:spacing w:after="0"/>
              <w:rPr>
                <w:sz w:val="22"/>
                <w:szCs w:val="22"/>
                <w:color w:val="auto"/>
              </w:rPr>
            </w:pPr>
          </w:p>
        </w:tc>
        <w:tc>
          <w:tcPr>
            <w:tcW w:w="1280" w:type="dxa"/>
            <w:vAlign w:val="bottom"/>
            <w:shd w:val="clear" w:color="auto" w:fill="0E2A35"/>
          </w:tcPr>
          <w:p>
            <w:pPr>
              <w:jc w:val="center"/>
              <w:ind w:left="51"/>
              <w:spacing w:after="0"/>
              <w:rPr>
                <w:sz w:val="20"/>
                <w:szCs w:val="20"/>
                <w:color w:val="auto"/>
              </w:rPr>
            </w:pPr>
            <w:r>
              <w:rPr>
                <w:rFonts w:ascii="Arial" w:cs="Arial" w:eastAsia="Arial" w:hAnsi="Arial"/>
                <w:sz w:val="13"/>
                <w:szCs w:val="13"/>
                <w:b w:val="1"/>
                <w:bCs w:val="1"/>
                <w:color w:val="FFFFFF"/>
                <w:w w:val="99"/>
              </w:rPr>
              <w:t>Human</w:t>
            </w:r>
          </w:p>
        </w:tc>
        <w:tc>
          <w:tcPr>
            <w:tcW w:w="14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Nominating and</w:t>
            </w:r>
          </w:p>
        </w:tc>
        <w:tc>
          <w:tcPr>
            <w:tcW w:w="1180" w:type="dxa"/>
            <w:vAlign w:val="bottom"/>
            <w:shd w:val="clear" w:color="auto" w:fill="0E2A35"/>
          </w:tcPr>
          <w:p>
            <w:pPr>
              <w:spacing w:after="0"/>
              <w:rPr>
                <w:sz w:val="22"/>
                <w:szCs w:val="22"/>
                <w:color w:val="auto"/>
              </w:rPr>
            </w:pPr>
          </w:p>
        </w:tc>
      </w:tr>
      <w:tr>
        <w:trPr>
          <w:trHeight w:val="168"/>
        </w:trPr>
        <w:tc>
          <w:tcPr>
            <w:tcW w:w="3100" w:type="dxa"/>
            <w:vAlign w:val="bottom"/>
            <w:shd w:val="clear" w:color="auto" w:fill="0E2A35"/>
          </w:tcPr>
          <w:p>
            <w:pPr>
              <w:spacing w:after="0"/>
              <w:rPr>
                <w:sz w:val="14"/>
                <w:szCs w:val="14"/>
                <w:color w:val="auto"/>
              </w:rPr>
            </w:pPr>
          </w:p>
        </w:tc>
        <w:tc>
          <w:tcPr>
            <w:tcW w:w="2240" w:type="dxa"/>
            <w:vAlign w:val="bottom"/>
            <w:shd w:val="clear" w:color="auto" w:fill="0E2A35"/>
          </w:tcPr>
          <w:p>
            <w:pPr>
              <w:jc w:val="center"/>
              <w:ind w:left="1050"/>
              <w:spacing w:after="0"/>
              <w:rPr>
                <w:sz w:val="20"/>
                <w:szCs w:val="20"/>
                <w:color w:val="auto"/>
              </w:rPr>
            </w:pPr>
            <w:r>
              <w:rPr>
                <w:rFonts w:ascii="Arial" w:cs="Arial" w:eastAsia="Arial" w:hAnsi="Arial"/>
                <w:sz w:val="13"/>
                <w:szCs w:val="13"/>
                <w:b w:val="1"/>
                <w:bCs w:val="1"/>
                <w:color w:val="FFFFFF"/>
                <w:w w:val="96"/>
              </w:rPr>
              <w:t>Audit</w:t>
            </w:r>
          </w:p>
        </w:tc>
        <w:tc>
          <w:tcPr>
            <w:tcW w:w="1280" w:type="dxa"/>
            <w:vAlign w:val="bottom"/>
            <w:shd w:val="clear" w:color="auto" w:fill="0E2A35"/>
          </w:tcPr>
          <w:p>
            <w:pPr>
              <w:jc w:val="center"/>
              <w:ind w:left="91"/>
              <w:spacing w:after="0"/>
              <w:rPr>
                <w:sz w:val="20"/>
                <w:szCs w:val="20"/>
                <w:color w:val="auto"/>
              </w:rPr>
            </w:pPr>
            <w:r>
              <w:rPr>
                <w:rFonts w:ascii="Arial" w:cs="Arial" w:eastAsia="Arial" w:hAnsi="Arial"/>
                <w:sz w:val="13"/>
                <w:szCs w:val="13"/>
                <w:b w:val="1"/>
                <w:bCs w:val="1"/>
                <w:color w:val="FFFFFF"/>
                <w:w w:val="96"/>
              </w:rPr>
              <w:t>Resources</w:t>
            </w:r>
          </w:p>
        </w:tc>
        <w:tc>
          <w:tcPr>
            <w:tcW w:w="14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Governance</w:t>
            </w:r>
          </w:p>
        </w:tc>
        <w:tc>
          <w:tcPr>
            <w:tcW w:w="1180" w:type="dxa"/>
            <w:vAlign w:val="bottom"/>
            <w:shd w:val="clear" w:color="auto" w:fill="0E2A35"/>
          </w:tcPr>
          <w:p>
            <w:pPr>
              <w:jc w:val="center"/>
              <w:ind w:right="30"/>
              <w:spacing w:after="0"/>
              <w:rPr>
                <w:sz w:val="20"/>
                <w:szCs w:val="20"/>
                <w:color w:val="auto"/>
              </w:rPr>
            </w:pPr>
            <w:r>
              <w:rPr>
                <w:rFonts w:ascii="Arial" w:cs="Arial" w:eastAsia="Arial" w:hAnsi="Arial"/>
                <w:sz w:val="13"/>
                <w:szCs w:val="13"/>
                <w:b w:val="1"/>
                <w:bCs w:val="1"/>
                <w:color w:val="FFFFFF"/>
                <w:w w:val="97"/>
              </w:rPr>
              <w:t>Finance</w:t>
            </w:r>
          </w:p>
        </w:tc>
      </w:tr>
      <w:tr>
        <w:trPr>
          <w:trHeight w:val="70"/>
        </w:trPr>
        <w:tc>
          <w:tcPr>
            <w:tcW w:w="3100" w:type="dxa"/>
            <w:vAlign w:val="bottom"/>
            <w:shd w:val="clear" w:color="auto" w:fill="0E2A35"/>
          </w:tcPr>
          <w:p>
            <w:pPr>
              <w:spacing w:after="0"/>
              <w:rPr>
                <w:sz w:val="6"/>
                <w:szCs w:val="6"/>
                <w:color w:val="auto"/>
              </w:rPr>
            </w:pPr>
          </w:p>
        </w:tc>
        <w:tc>
          <w:tcPr>
            <w:tcW w:w="2240" w:type="dxa"/>
            <w:vAlign w:val="bottom"/>
            <w:shd w:val="clear" w:color="auto" w:fill="0E2A35"/>
          </w:tcPr>
          <w:p>
            <w:pPr>
              <w:spacing w:after="0"/>
              <w:rPr>
                <w:sz w:val="6"/>
                <w:szCs w:val="6"/>
                <w:color w:val="auto"/>
              </w:rPr>
            </w:pPr>
          </w:p>
        </w:tc>
        <w:tc>
          <w:tcPr>
            <w:tcW w:w="1280" w:type="dxa"/>
            <w:vAlign w:val="bottom"/>
            <w:shd w:val="clear" w:color="auto" w:fill="0E2A35"/>
          </w:tcPr>
          <w:p>
            <w:pPr>
              <w:spacing w:after="0"/>
              <w:rPr>
                <w:sz w:val="6"/>
                <w:szCs w:val="6"/>
                <w:color w:val="auto"/>
              </w:rPr>
            </w:pPr>
          </w:p>
        </w:tc>
        <w:tc>
          <w:tcPr>
            <w:tcW w:w="1480" w:type="dxa"/>
            <w:vAlign w:val="bottom"/>
            <w:shd w:val="clear" w:color="auto" w:fill="0E2A35"/>
          </w:tcPr>
          <w:p>
            <w:pPr>
              <w:spacing w:after="0"/>
              <w:rPr>
                <w:sz w:val="6"/>
                <w:szCs w:val="6"/>
                <w:color w:val="auto"/>
              </w:rPr>
            </w:pPr>
          </w:p>
        </w:tc>
        <w:tc>
          <w:tcPr>
            <w:tcW w:w="1180" w:type="dxa"/>
            <w:vAlign w:val="bottom"/>
            <w:shd w:val="clear" w:color="auto" w:fill="0E2A35"/>
          </w:tcPr>
          <w:p>
            <w:pPr>
              <w:spacing w:after="0"/>
              <w:rPr>
                <w:sz w:val="6"/>
                <w:szCs w:val="6"/>
                <w:color w:val="auto"/>
              </w:rPr>
            </w:pPr>
          </w:p>
        </w:tc>
      </w:tr>
      <w:tr>
        <w:trPr>
          <w:trHeight w:val="274"/>
        </w:trPr>
        <w:tc>
          <w:tcPr>
            <w:tcW w:w="3100" w:type="dxa"/>
            <w:vAlign w:val="bottom"/>
          </w:tcPr>
          <w:p>
            <w:pPr>
              <w:ind w:left="160"/>
              <w:spacing w:after="0"/>
              <w:rPr>
                <w:sz w:val="20"/>
                <w:szCs w:val="20"/>
                <w:color w:val="auto"/>
              </w:rPr>
            </w:pPr>
            <w:r>
              <w:rPr>
                <w:rFonts w:ascii="Arial" w:cs="Arial" w:eastAsia="Arial" w:hAnsi="Arial"/>
                <w:sz w:val="14"/>
                <w:szCs w:val="14"/>
                <w:color w:val="0E2A35"/>
              </w:rPr>
              <w:t>Sara E. Armbruster</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spacing w:after="0"/>
              <w:rPr>
                <w:sz w:val="23"/>
                <w:szCs w:val="23"/>
                <w:color w:val="auto"/>
              </w:rPr>
            </w:pPr>
          </w:p>
        </w:tc>
        <w:tc>
          <w:tcPr>
            <w:tcW w:w="1180" w:type="dxa"/>
            <w:vAlign w:val="bottom"/>
          </w:tcPr>
          <w:p>
            <w:pPr>
              <w:jc w:val="center"/>
              <w:ind w:right="30"/>
              <w:spacing w:after="0" w:line="141" w:lineRule="exact"/>
              <w:rPr>
                <w:sz w:val="20"/>
                <w:szCs w:val="20"/>
                <w:color w:val="auto"/>
              </w:rPr>
            </w:pPr>
            <w:r>
              <w:rPr>
                <w:rFonts w:ascii="MS PGothic" w:cs="MS PGothic" w:eastAsia="MS PGothic" w:hAnsi="MS PGothic"/>
                <w:sz w:val="14"/>
                <w:szCs w:val="14"/>
                <w:color w:val="0E2A35"/>
                <w:w w:val="85"/>
              </w:rPr>
              <w:t>✔</w:t>
            </w: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Maria F. Blase*</w:t>
            </w:r>
          </w:p>
        </w:tc>
        <w:tc>
          <w:tcPr>
            <w:tcW w:w="2240" w:type="dxa"/>
            <w:vAlign w:val="bottom"/>
          </w:tcPr>
          <w:p>
            <w:pPr>
              <w:jc w:val="center"/>
              <w:ind w:left="1050"/>
              <w:spacing w:after="0" w:line="141" w:lineRule="exact"/>
              <w:rPr>
                <w:sz w:val="20"/>
                <w:szCs w:val="20"/>
                <w:color w:val="auto"/>
              </w:rPr>
            </w:pPr>
            <w:r>
              <w:rPr>
                <w:rFonts w:ascii="MS PGothic" w:cs="MS PGothic" w:eastAsia="MS PGothic" w:hAnsi="MS PGothic"/>
                <w:sz w:val="14"/>
                <w:szCs w:val="14"/>
                <w:color w:val="0E2A35"/>
                <w:w w:val="85"/>
              </w:rPr>
              <w:t>✔</w:t>
            </w: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jc w:val="center"/>
              <w:ind w:right="30"/>
              <w:spacing w:after="0"/>
              <w:rPr>
                <w:sz w:val="20"/>
                <w:szCs w:val="20"/>
                <w:color w:val="auto"/>
              </w:rPr>
            </w:pPr>
            <w:r>
              <w:rPr>
                <w:rFonts w:ascii="Arial" w:cs="Arial" w:eastAsia="Arial" w:hAnsi="Arial"/>
                <w:sz w:val="14"/>
                <w:szCs w:val="14"/>
                <w:color w:val="0E2A35"/>
              </w:rPr>
              <w:t>C</w:t>
            </w: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Christopher J. Braun</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Kevin E. Bryant*</w:t>
            </w:r>
          </w:p>
        </w:tc>
        <w:tc>
          <w:tcPr>
            <w:tcW w:w="2240" w:type="dxa"/>
            <w:vAlign w:val="bottom"/>
          </w:tcPr>
          <w:p>
            <w:pPr>
              <w:jc w:val="center"/>
              <w:ind w:left="1050"/>
              <w:spacing w:after="0" w:line="141" w:lineRule="exact"/>
              <w:rPr>
                <w:sz w:val="20"/>
                <w:szCs w:val="20"/>
                <w:color w:val="auto"/>
              </w:rPr>
            </w:pPr>
            <w:r>
              <w:rPr>
                <w:rFonts w:ascii="MS PGothic" w:cs="MS PGothic" w:eastAsia="MS PGothic" w:hAnsi="MS PGothic"/>
                <w:sz w:val="14"/>
                <w:szCs w:val="14"/>
                <w:color w:val="0E2A35"/>
                <w:w w:val="85"/>
              </w:rPr>
              <w:t>✔</w:t>
            </w: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jc w:val="center"/>
              <w:ind w:right="30"/>
              <w:spacing w:after="0" w:line="141" w:lineRule="exact"/>
              <w:rPr>
                <w:sz w:val="20"/>
                <w:szCs w:val="20"/>
                <w:color w:val="auto"/>
              </w:rPr>
            </w:pPr>
            <w:r>
              <w:rPr>
                <w:rFonts w:ascii="MS PGothic" w:cs="MS PGothic" w:eastAsia="MS PGothic" w:hAnsi="MS PGothic"/>
                <w:sz w:val="14"/>
                <w:szCs w:val="14"/>
                <w:color w:val="0E2A35"/>
                <w:w w:val="85"/>
              </w:rPr>
              <w:t>✔</w:t>
            </w: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Robert M. Chiusano</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William C. Fisher</w:t>
            </w:r>
          </w:p>
        </w:tc>
        <w:tc>
          <w:tcPr>
            <w:tcW w:w="2240" w:type="dxa"/>
            <w:vAlign w:val="bottom"/>
          </w:tcPr>
          <w:p>
            <w:pPr>
              <w:jc w:val="center"/>
              <w:ind w:left="1050"/>
              <w:spacing w:after="0" w:line="141" w:lineRule="exact"/>
              <w:rPr>
                <w:sz w:val="20"/>
                <w:szCs w:val="20"/>
                <w:color w:val="auto"/>
              </w:rPr>
            </w:pPr>
            <w:r>
              <w:rPr>
                <w:rFonts w:ascii="MS PGothic" w:cs="MS PGothic" w:eastAsia="MS PGothic" w:hAnsi="MS PGothic"/>
                <w:sz w:val="14"/>
                <w:szCs w:val="14"/>
                <w:color w:val="0E2A35"/>
                <w:w w:val="85"/>
              </w:rPr>
              <w:t>✔</w:t>
            </w:r>
          </w:p>
        </w:tc>
        <w:tc>
          <w:tcPr>
            <w:tcW w:w="12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0E2A35"/>
                <w:w w:val="98"/>
              </w:rPr>
              <w:t>C</w:t>
            </w:r>
          </w:p>
        </w:tc>
        <w:tc>
          <w:tcPr>
            <w:tcW w:w="1180" w:type="dxa"/>
            <w:vAlign w:val="bottom"/>
          </w:tcPr>
          <w:p>
            <w:pPr>
              <w:spacing w:after="0"/>
              <w:rPr>
                <w:sz w:val="23"/>
                <w:szCs w:val="23"/>
                <w:color w:val="auto"/>
              </w:rPr>
            </w:pPr>
          </w:p>
        </w:tc>
      </w:tr>
      <w:tr>
        <w:trPr>
          <w:trHeight w:val="63"/>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52"/>
        </w:trPr>
        <w:tc>
          <w:tcPr>
            <w:tcW w:w="3100" w:type="dxa"/>
            <w:vAlign w:val="bottom"/>
          </w:tcPr>
          <w:p>
            <w:pPr>
              <w:ind w:left="160"/>
              <w:spacing w:after="0"/>
              <w:rPr>
                <w:sz w:val="20"/>
                <w:szCs w:val="20"/>
                <w:color w:val="auto"/>
              </w:rPr>
            </w:pPr>
            <w:r>
              <w:rPr>
                <w:rFonts w:ascii="Arial" w:cs="Arial" w:eastAsia="Arial" w:hAnsi="Arial"/>
                <w:sz w:val="14"/>
                <w:szCs w:val="14"/>
                <w:color w:val="0E2A35"/>
              </w:rPr>
              <w:t>Michael J. Happe</w:t>
            </w:r>
          </w:p>
        </w:tc>
        <w:tc>
          <w:tcPr>
            <w:tcW w:w="2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66"/>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52"/>
        </w:trPr>
        <w:tc>
          <w:tcPr>
            <w:tcW w:w="3100" w:type="dxa"/>
            <w:vAlign w:val="bottom"/>
          </w:tcPr>
          <w:p>
            <w:pPr>
              <w:ind w:left="160"/>
              <w:spacing w:after="0"/>
              <w:rPr>
                <w:sz w:val="20"/>
                <w:szCs w:val="20"/>
                <w:color w:val="auto"/>
              </w:rPr>
            </w:pPr>
            <w:r>
              <w:rPr>
                <w:rFonts w:ascii="Arial" w:cs="Arial" w:eastAsia="Arial" w:hAnsi="Arial"/>
                <w:sz w:val="14"/>
                <w:szCs w:val="14"/>
                <w:color w:val="0E2A35"/>
              </w:rPr>
              <w:t>David W. Miles (Chair)</w:t>
            </w:r>
          </w:p>
        </w:tc>
        <w:tc>
          <w:tcPr>
            <w:tcW w:w="2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66"/>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Richard D. Moss*</w:t>
            </w:r>
          </w:p>
        </w:tc>
        <w:tc>
          <w:tcPr>
            <w:tcW w:w="2240" w:type="dxa"/>
            <w:vAlign w:val="bottom"/>
          </w:tcPr>
          <w:p>
            <w:pPr>
              <w:jc w:val="center"/>
              <w:ind w:left="1030"/>
              <w:spacing w:after="0"/>
              <w:rPr>
                <w:sz w:val="20"/>
                <w:szCs w:val="20"/>
                <w:color w:val="auto"/>
              </w:rPr>
            </w:pPr>
            <w:r>
              <w:rPr>
                <w:rFonts w:ascii="Arial" w:cs="Arial" w:eastAsia="Arial" w:hAnsi="Arial"/>
                <w:sz w:val="14"/>
                <w:szCs w:val="14"/>
                <w:color w:val="0E2A35"/>
                <w:w w:val="98"/>
              </w:rPr>
              <w:t>C</w:t>
            </w: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jc w:val="center"/>
              <w:ind w:right="30"/>
              <w:spacing w:after="0" w:line="141" w:lineRule="exact"/>
              <w:rPr>
                <w:sz w:val="20"/>
                <w:szCs w:val="20"/>
                <w:color w:val="auto"/>
              </w:rPr>
            </w:pPr>
            <w:r>
              <w:rPr>
                <w:rFonts w:ascii="MS PGothic" w:cs="MS PGothic" w:eastAsia="MS PGothic" w:hAnsi="MS PGothic"/>
                <w:sz w:val="14"/>
                <w:szCs w:val="14"/>
                <w:color w:val="0E2A35"/>
                <w:w w:val="85"/>
              </w:rPr>
              <w:t>✔</w:t>
            </w: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7"/>
        </w:trPr>
        <w:tc>
          <w:tcPr>
            <w:tcW w:w="3100" w:type="dxa"/>
            <w:vAlign w:val="bottom"/>
          </w:tcPr>
          <w:p>
            <w:pPr>
              <w:ind w:left="160"/>
              <w:spacing w:after="0"/>
              <w:rPr>
                <w:sz w:val="20"/>
                <w:szCs w:val="20"/>
                <w:color w:val="auto"/>
              </w:rPr>
            </w:pPr>
            <w:r>
              <w:rPr>
                <w:rFonts w:ascii="Arial" w:cs="Arial" w:eastAsia="Arial" w:hAnsi="Arial"/>
                <w:sz w:val="14"/>
                <w:szCs w:val="14"/>
                <w:color w:val="0E2A35"/>
              </w:rPr>
              <w:t>John M. Murabito</w:t>
            </w:r>
          </w:p>
        </w:tc>
        <w:tc>
          <w:tcPr>
            <w:tcW w:w="2240" w:type="dxa"/>
            <w:vAlign w:val="bottom"/>
          </w:tcPr>
          <w:p>
            <w:pPr>
              <w:spacing w:after="0"/>
              <w:rPr>
                <w:sz w:val="23"/>
                <w:szCs w:val="23"/>
                <w:color w:val="auto"/>
              </w:rPr>
            </w:pPr>
          </w:p>
        </w:tc>
        <w:tc>
          <w:tcPr>
            <w:tcW w:w="1280" w:type="dxa"/>
            <w:vAlign w:val="bottom"/>
          </w:tcPr>
          <w:p>
            <w:pPr>
              <w:jc w:val="center"/>
              <w:ind w:left="71"/>
              <w:spacing w:after="0"/>
              <w:rPr>
                <w:sz w:val="20"/>
                <w:szCs w:val="20"/>
                <w:color w:val="auto"/>
              </w:rPr>
            </w:pPr>
            <w:r>
              <w:rPr>
                <w:rFonts w:ascii="Arial" w:cs="Arial" w:eastAsia="Arial" w:hAnsi="Arial"/>
                <w:sz w:val="14"/>
                <w:szCs w:val="14"/>
                <w:color w:val="0E2A35"/>
                <w:w w:val="98"/>
              </w:rPr>
              <w:t>C</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64"/>
        </w:trPr>
        <w:tc>
          <w:tcPr>
            <w:tcW w:w="3100" w:type="dxa"/>
            <w:vAlign w:val="bottom"/>
            <w:tcBorders>
              <w:bottom w:val="single" w:sz="8" w:color="0E2A35"/>
            </w:tcBorders>
          </w:tcPr>
          <w:p>
            <w:pPr>
              <w:spacing w:after="0"/>
              <w:rPr>
                <w:sz w:val="5"/>
                <w:szCs w:val="5"/>
                <w:color w:val="auto"/>
              </w:rPr>
            </w:pPr>
          </w:p>
        </w:tc>
        <w:tc>
          <w:tcPr>
            <w:tcW w:w="2240" w:type="dxa"/>
            <w:vAlign w:val="bottom"/>
            <w:tcBorders>
              <w:bottom w:val="single" w:sz="8" w:color="0E2A35"/>
            </w:tcBorders>
          </w:tcPr>
          <w:p>
            <w:pPr>
              <w:spacing w:after="0"/>
              <w:rPr>
                <w:sz w:val="5"/>
                <w:szCs w:val="5"/>
                <w:color w:val="auto"/>
              </w:rPr>
            </w:pPr>
          </w:p>
        </w:tc>
        <w:tc>
          <w:tcPr>
            <w:tcW w:w="1280" w:type="dxa"/>
            <w:vAlign w:val="bottom"/>
            <w:tcBorders>
              <w:bottom w:val="single" w:sz="8" w:color="0E2A35"/>
            </w:tcBorders>
          </w:tcPr>
          <w:p>
            <w:pPr>
              <w:spacing w:after="0"/>
              <w:rPr>
                <w:sz w:val="5"/>
                <w:szCs w:val="5"/>
                <w:color w:val="auto"/>
              </w:rPr>
            </w:pPr>
          </w:p>
        </w:tc>
        <w:tc>
          <w:tcPr>
            <w:tcW w:w="1480" w:type="dxa"/>
            <w:vAlign w:val="bottom"/>
            <w:tcBorders>
              <w:bottom w:val="single" w:sz="8" w:color="0E2A35"/>
            </w:tcBorders>
          </w:tcPr>
          <w:p>
            <w:pPr>
              <w:spacing w:after="0"/>
              <w:rPr>
                <w:sz w:val="5"/>
                <w:szCs w:val="5"/>
                <w:color w:val="auto"/>
              </w:rPr>
            </w:pPr>
          </w:p>
        </w:tc>
        <w:tc>
          <w:tcPr>
            <w:tcW w:w="1180" w:type="dxa"/>
            <w:vAlign w:val="bottom"/>
            <w:tcBorders>
              <w:bottom w:val="single" w:sz="8" w:color="0E2A35"/>
            </w:tcBorders>
          </w:tcPr>
          <w:p>
            <w:pPr>
              <w:spacing w:after="0"/>
              <w:rPr>
                <w:sz w:val="5"/>
                <w:szCs w:val="5"/>
                <w:color w:val="auto"/>
              </w:rPr>
            </w:pPr>
          </w:p>
        </w:tc>
      </w:tr>
      <w:tr>
        <w:trPr>
          <w:trHeight w:val="268"/>
        </w:trPr>
        <w:tc>
          <w:tcPr>
            <w:tcW w:w="3100" w:type="dxa"/>
            <w:vAlign w:val="bottom"/>
          </w:tcPr>
          <w:p>
            <w:pPr>
              <w:ind w:left="160"/>
              <w:spacing w:after="0"/>
              <w:rPr>
                <w:sz w:val="20"/>
                <w:szCs w:val="20"/>
                <w:color w:val="auto"/>
              </w:rPr>
            </w:pPr>
            <w:r>
              <w:rPr>
                <w:rFonts w:ascii="Arial" w:cs="Arial" w:eastAsia="Arial" w:hAnsi="Arial"/>
                <w:sz w:val="14"/>
                <w:szCs w:val="14"/>
                <w:color w:val="0E2A35"/>
              </w:rPr>
              <w:t>Jacqueline D. Woods</w:t>
            </w:r>
          </w:p>
        </w:tc>
        <w:tc>
          <w:tcPr>
            <w:tcW w:w="2240" w:type="dxa"/>
            <w:vAlign w:val="bottom"/>
          </w:tcPr>
          <w:p>
            <w:pPr>
              <w:spacing w:after="0"/>
              <w:rPr>
                <w:sz w:val="23"/>
                <w:szCs w:val="23"/>
                <w:color w:val="auto"/>
              </w:rPr>
            </w:pPr>
          </w:p>
        </w:tc>
        <w:tc>
          <w:tcPr>
            <w:tcW w:w="1280" w:type="dxa"/>
            <w:vAlign w:val="bottom"/>
          </w:tcPr>
          <w:p>
            <w:pPr>
              <w:jc w:val="center"/>
              <w:ind w:left="91"/>
              <w:spacing w:after="0" w:line="141" w:lineRule="exact"/>
              <w:rPr>
                <w:sz w:val="20"/>
                <w:szCs w:val="20"/>
                <w:color w:val="auto"/>
              </w:rPr>
            </w:pPr>
            <w:r>
              <w:rPr>
                <w:rFonts w:ascii="MS PGothic" w:cs="MS PGothic" w:eastAsia="MS PGothic" w:hAnsi="MS PGothic"/>
                <w:sz w:val="14"/>
                <w:szCs w:val="14"/>
                <w:color w:val="0E2A35"/>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180" w:type="dxa"/>
            <w:vAlign w:val="bottom"/>
          </w:tcPr>
          <w:p>
            <w:pPr>
              <w:spacing w:after="0"/>
              <w:rPr>
                <w:sz w:val="23"/>
                <w:szCs w:val="23"/>
                <w:color w:val="auto"/>
              </w:rPr>
            </w:pPr>
          </w:p>
        </w:tc>
      </w:tr>
      <w:tr>
        <w:trPr>
          <w:trHeight w:val="36"/>
        </w:trPr>
        <w:tc>
          <w:tcPr>
            <w:tcW w:w="3100" w:type="dxa"/>
            <w:vAlign w:val="bottom"/>
            <w:tcBorders>
              <w:bottom w:val="single" w:sz="8" w:color="0E2A35"/>
            </w:tcBorders>
          </w:tcPr>
          <w:p>
            <w:pPr>
              <w:spacing w:after="0"/>
              <w:rPr>
                <w:sz w:val="3"/>
                <w:szCs w:val="3"/>
                <w:color w:val="auto"/>
              </w:rPr>
            </w:pPr>
          </w:p>
        </w:tc>
        <w:tc>
          <w:tcPr>
            <w:tcW w:w="2240" w:type="dxa"/>
            <w:vAlign w:val="bottom"/>
            <w:tcBorders>
              <w:bottom w:val="single" w:sz="8" w:color="0E2A35"/>
            </w:tcBorders>
          </w:tcPr>
          <w:p>
            <w:pPr>
              <w:spacing w:after="0"/>
              <w:rPr>
                <w:sz w:val="3"/>
                <w:szCs w:val="3"/>
                <w:color w:val="auto"/>
              </w:rPr>
            </w:pPr>
          </w:p>
        </w:tc>
        <w:tc>
          <w:tcPr>
            <w:tcW w:w="1280" w:type="dxa"/>
            <w:vAlign w:val="bottom"/>
            <w:tcBorders>
              <w:bottom w:val="single" w:sz="8" w:color="0E2A35"/>
            </w:tcBorders>
          </w:tcPr>
          <w:p>
            <w:pPr>
              <w:spacing w:after="0"/>
              <w:rPr>
                <w:sz w:val="3"/>
                <w:szCs w:val="3"/>
                <w:color w:val="auto"/>
              </w:rPr>
            </w:pPr>
          </w:p>
        </w:tc>
        <w:tc>
          <w:tcPr>
            <w:tcW w:w="1480" w:type="dxa"/>
            <w:vAlign w:val="bottom"/>
            <w:tcBorders>
              <w:bottom w:val="single" w:sz="8" w:color="0E2A35"/>
            </w:tcBorders>
          </w:tcPr>
          <w:p>
            <w:pPr>
              <w:spacing w:after="0"/>
              <w:rPr>
                <w:sz w:val="3"/>
                <w:szCs w:val="3"/>
                <w:color w:val="auto"/>
              </w:rPr>
            </w:pPr>
          </w:p>
        </w:tc>
        <w:tc>
          <w:tcPr>
            <w:tcW w:w="118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hanging="360"/>
        <w:spacing w:after="0"/>
        <w:tabs>
          <w:tab w:leader="none" w:pos="122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Chair</w:t>
      </w:r>
    </w:p>
    <w:p>
      <w:pPr>
        <w:spacing w:after="0" w:line="40" w:lineRule="exact"/>
        <w:rPr>
          <w:sz w:val="20"/>
          <w:szCs w:val="20"/>
          <w:color w:val="auto"/>
        </w:rPr>
      </w:pPr>
    </w:p>
    <w:p>
      <w:pPr>
        <w:ind w:left="1220" w:hanging="360"/>
        <w:spacing w:after="0"/>
        <w:tabs>
          <w:tab w:leader="none" w:pos="1220" w:val="left"/>
        </w:tabs>
        <w:numPr>
          <w:ilvl w:val="0"/>
          <w:numId w:val="8"/>
        </w:numPr>
        <w:rPr>
          <w:rFonts w:ascii="MS PGothic" w:cs="MS PGothic" w:eastAsia="MS PGothic" w:hAnsi="MS PGothic"/>
          <w:sz w:val="13"/>
          <w:szCs w:val="13"/>
          <w:color w:val="0E2A35"/>
        </w:rPr>
      </w:pPr>
      <w:r>
        <w:rPr>
          <w:rFonts w:ascii="Arial" w:cs="Arial" w:eastAsia="Arial" w:hAnsi="Arial"/>
          <w:sz w:val="13"/>
          <w:szCs w:val="13"/>
          <w:color w:val="0E2A35"/>
        </w:rPr>
        <w:t>Member</w:t>
      </w:r>
    </w:p>
    <w:p>
      <w:pPr>
        <w:spacing w:after="0" w:line="53" w:lineRule="exact"/>
        <w:rPr>
          <w:sz w:val="20"/>
          <w:szCs w:val="20"/>
          <w:color w:val="auto"/>
        </w:rPr>
      </w:pPr>
    </w:p>
    <w:p>
      <w:pPr>
        <w:ind w:left="1220" w:hanging="360"/>
        <w:spacing w:after="0"/>
        <w:tabs>
          <w:tab w:leader="none" w:pos="1220" w:val="left"/>
        </w:tabs>
        <w:numPr>
          <w:ilvl w:val="0"/>
          <w:numId w:val="9"/>
        </w:numPr>
        <w:rPr>
          <w:rFonts w:ascii="Arial" w:cs="Arial" w:eastAsia="Arial" w:hAnsi="Arial"/>
          <w:sz w:val="13"/>
          <w:szCs w:val="13"/>
          <w:color w:val="0E2A35"/>
        </w:rPr>
      </w:pPr>
      <w:r>
        <w:rPr>
          <w:rFonts w:ascii="Arial" w:cs="Arial" w:eastAsia="Arial" w:hAnsi="Arial"/>
          <w:sz w:val="13"/>
          <w:szCs w:val="13"/>
          <w:color w:val="0E2A35"/>
        </w:rPr>
        <w:t>Designated as an “audit committee financial expert” as that term has been defined by the Securities and Exchange Commission (SEC).</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 w:name="page18"/>
    <w:bookmarkEnd w:id="1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1594485" cy="1937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4485" cy="1937385"/>
                    </a:xfrm>
                    <a:prstGeom prst="rect">
                      <a:avLst/>
                    </a:prstGeom>
                    <a:noFill/>
                  </pic:spPr>
                </pic:pic>
              </a:graphicData>
            </a:graphic>
          </wp:anchor>
        </w:drawing>
      </w:r>
    </w:p>
    <w:p>
      <w:pPr>
        <w:spacing w:after="0" w:line="224"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FFFFFF"/>
        </w:rPr>
        <w:t>Audit Committee</w:t>
      </w:r>
      <w:r>
        <w:rPr>
          <w:rFonts w:ascii="Arial" w:cs="Arial" w:eastAsia="Arial" w:hAnsi="Arial"/>
          <w:sz w:val="35"/>
          <w:szCs w:val="35"/>
          <w:b w:val="1"/>
          <w:bCs w:val="1"/>
          <w:color w:val="FFFFFF"/>
          <w:vertAlign w:val="superscript"/>
        </w:rPr>
        <w:t>1</w:t>
      </w:r>
    </w:p>
    <w:p>
      <w:pPr>
        <w:spacing w:after="0" w:line="115"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rPr>
          <w:sz w:val="20"/>
          <w:szCs w:val="20"/>
          <w:color w:val="auto"/>
        </w:rPr>
      </w:pPr>
      <w:r>
        <w:rPr>
          <w:rFonts w:ascii="Arial" w:cs="Arial" w:eastAsia="Arial" w:hAnsi="Arial"/>
          <w:sz w:val="17"/>
          <w:szCs w:val="17"/>
          <w:color w:val="FFFFFF"/>
        </w:rPr>
        <w:t>Richard D. Moss (</w:t>
      </w:r>
      <w:r>
        <w:rPr>
          <w:rFonts w:ascii="Arial" w:cs="Arial" w:eastAsia="Arial" w:hAnsi="Arial"/>
          <w:sz w:val="17"/>
          <w:szCs w:val="17"/>
          <w:i w:val="1"/>
          <w:iCs w:val="1"/>
          <w:color w:val="FFFFFF"/>
        </w:rPr>
        <w:t>Chair</w:t>
      </w:r>
      <w:r>
        <w:rPr>
          <w:rFonts w:ascii="Arial" w:cs="Arial" w:eastAsia="Arial" w:hAnsi="Arial"/>
          <w:sz w:val="17"/>
          <w:szCs w:val="17"/>
          <w:color w:val="FFFFFF"/>
        </w:rPr>
        <w:t>)</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Maria F. Blase</w:t>
      </w:r>
    </w:p>
    <w:p>
      <w:pPr>
        <w:ind w:left="1200"/>
        <w:spacing w:after="0" w:line="234" w:lineRule="auto"/>
        <w:rPr>
          <w:sz w:val="20"/>
          <w:szCs w:val="20"/>
          <w:color w:val="auto"/>
        </w:rPr>
      </w:pPr>
      <w:r>
        <w:rPr>
          <w:rFonts w:ascii="Arial" w:cs="Arial" w:eastAsia="Arial" w:hAnsi="Arial"/>
          <w:sz w:val="18"/>
          <w:szCs w:val="18"/>
          <w:color w:val="FFFFFF"/>
        </w:rPr>
        <w:t>Kevin E. Bryant</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William C. Fisher</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434975</wp:posOffset>
            </wp:positionV>
            <wp:extent cx="1594485" cy="205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94485" cy="2057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1140"/>
        <w:spacing w:after="0" w:line="248" w:lineRule="auto"/>
        <w:rPr>
          <w:sz w:val="20"/>
          <w:szCs w:val="20"/>
          <w:color w:val="auto"/>
        </w:rPr>
      </w:pPr>
      <w:r>
        <w:rPr>
          <w:rFonts w:ascii="Arial" w:cs="Arial" w:eastAsia="Arial" w:hAnsi="Arial"/>
          <w:sz w:val="16"/>
          <w:szCs w:val="16"/>
          <w:color w:val="auto"/>
        </w:rPr>
        <w:t>Each year, the Audit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committee meeting typically include: the Board Chair; the CEO; the Chief Financial Officer (CFO); the Senior Vice President, General Counsel, Secretary and Corporate Responsibility; and the Corporate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-1181100</wp:posOffset>
            </wp:positionV>
            <wp:extent cx="4303395" cy="1937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03395" cy="1937385"/>
                    </a:xfrm>
                    <a:prstGeom prst="rect">
                      <a:avLst/>
                    </a:prstGeom>
                    <a:noFill/>
                  </pic:spPr>
                </pic:pic>
              </a:graphicData>
            </a:graphic>
          </wp:anchor>
        </w:drawing>
      </w:r>
    </w:p>
    <w:p>
      <w:pPr>
        <w:spacing w:after="0" w:line="159" w:lineRule="exact"/>
        <w:rPr>
          <w:sz w:val="20"/>
          <w:szCs w:val="20"/>
          <w:color w:val="auto"/>
        </w:rPr>
      </w:pPr>
    </w:p>
    <w:p>
      <w:pPr>
        <w:ind w:right="1020"/>
        <w:spacing w:after="0" w:line="250" w:lineRule="auto"/>
        <w:rPr>
          <w:sz w:val="20"/>
          <w:szCs w:val="20"/>
          <w:color w:val="auto"/>
        </w:rPr>
      </w:pPr>
      <w:r>
        <w:rPr>
          <w:rFonts w:ascii="Arial" w:cs="Arial" w:eastAsia="Arial" w:hAnsi="Arial"/>
          <w:sz w:val="16"/>
          <w:szCs w:val="16"/>
          <w:color w:val="auto"/>
        </w:rPr>
        <w:t>The Audit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84455</wp:posOffset>
            </wp:positionV>
            <wp:extent cx="4303395" cy="2057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03395" cy="2057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360"/>
            <w:col w:w="7540"/>
          </w:cols>
          <w:pgMar w:left="440" w:top="265" w:right="439" w:bottom="1440" w:gutter="0" w:footer="0" w:header="0"/>
        </w:sectPr>
      </w:pPr>
    </w:p>
    <w:p>
      <w:pPr>
        <w:spacing w:after="0" w:line="36"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FFFFFF"/>
        </w:rPr>
        <w:t>Nominating and</w:t>
      </w:r>
    </w:p>
    <w:p>
      <w:pPr>
        <w:spacing w:after="0" w:line="6"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FFFFFF"/>
        </w:rPr>
        <w:t>Governance</w:t>
      </w:r>
    </w:p>
    <w:p>
      <w:pPr>
        <w:ind w:left="1200"/>
        <w:spacing w:after="0"/>
        <w:rPr>
          <w:sz w:val="20"/>
          <w:szCs w:val="20"/>
          <w:color w:val="auto"/>
        </w:rPr>
      </w:pPr>
      <w:r>
        <w:rPr>
          <w:rFonts w:ascii="Arial" w:cs="Arial" w:eastAsia="Arial" w:hAnsi="Arial"/>
          <w:sz w:val="22"/>
          <w:szCs w:val="22"/>
          <w:b w:val="1"/>
          <w:bCs w:val="1"/>
          <w:color w:val="FFFFFF"/>
        </w:rPr>
        <w:t>Committee</w:t>
      </w:r>
    </w:p>
    <w:p>
      <w:pPr>
        <w:spacing w:after="0" w:line="234"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line="234" w:lineRule="auto"/>
        <w:rPr>
          <w:sz w:val="20"/>
          <w:szCs w:val="20"/>
          <w:color w:val="auto"/>
        </w:rPr>
      </w:pPr>
      <w:r>
        <w:rPr>
          <w:rFonts w:ascii="Arial" w:cs="Arial" w:eastAsia="Arial" w:hAnsi="Arial"/>
          <w:sz w:val="18"/>
          <w:szCs w:val="18"/>
          <w:color w:val="FFFFFF"/>
        </w:rPr>
        <w:t>William C. Fisher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ind w:left="1200"/>
        <w:spacing w:after="0" w:line="235" w:lineRule="auto"/>
        <w:rPr>
          <w:sz w:val="20"/>
          <w:szCs w:val="20"/>
          <w:color w:val="auto"/>
        </w:rPr>
      </w:pPr>
      <w:r>
        <w:rPr>
          <w:rFonts w:ascii="Arial" w:cs="Arial" w:eastAsia="Arial" w:hAnsi="Arial"/>
          <w:sz w:val="18"/>
          <w:szCs w:val="18"/>
          <w:color w:val="FFFFFF"/>
        </w:rPr>
        <w:t>Christopher J. Braun</w:t>
      </w:r>
    </w:p>
    <w:p>
      <w:pPr>
        <w:ind w:left="1200"/>
        <w:spacing w:after="0" w:line="235" w:lineRule="auto"/>
        <w:rPr>
          <w:sz w:val="20"/>
          <w:szCs w:val="20"/>
          <w:color w:val="auto"/>
        </w:rPr>
      </w:pPr>
      <w:r>
        <w:rPr>
          <w:rFonts w:ascii="Arial" w:cs="Arial" w:eastAsia="Arial" w:hAnsi="Arial"/>
          <w:sz w:val="18"/>
          <w:szCs w:val="18"/>
          <w:color w:val="FFFFFF"/>
        </w:rPr>
        <w:t>Robert M. Chiusano</w:t>
      </w:r>
    </w:p>
    <w:p>
      <w:pPr>
        <w:ind w:left="1200"/>
        <w:spacing w:after="0" w:line="235" w:lineRule="auto"/>
        <w:rPr>
          <w:sz w:val="20"/>
          <w:szCs w:val="20"/>
          <w:color w:val="auto"/>
        </w:rPr>
      </w:pPr>
      <w:r>
        <w:rPr>
          <w:rFonts w:ascii="Arial" w:cs="Arial" w:eastAsia="Arial" w:hAnsi="Arial"/>
          <w:sz w:val="18"/>
          <w:szCs w:val="18"/>
          <w:color w:val="FFFFFF"/>
        </w:rPr>
        <w:t>John M. Murabito</w:t>
      </w:r>
    </w:p>
    <w:p>
      <w:pPr>
        <w:ind w:left="1200"/>
        <w:spacing w:after="0"/>
        <w:rPr>
          <w:sz w:val="20"/>
          <w:szCs w:val="20"/>
          <w:color w:val="auto"/>
        </w:rPr>
      </w:pPr>
      <w:r>
        <w:rPr>
          <w:rFonts w:ascii="Arial" w:cs="Arial" w:eastAsia="Arial" w:hAnsi="Arial"/>
          <w:sz w:val="18"/>
          <w:szCs w:val="18"/>
          <w:color w:val="FFFFFF"/>
        </w:rPr>
        <w:t>Jacqueline D. Woods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109220</wp:posOffset>
            </wp:positionV>
            <wp:extent cx="1594485" cy="1594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4485" cy="1594485"/>
                    </a:xfrm>
                    <a:prstGeom prst="rect">
                      <a:avLst/>
                    </a:prstGeom>
                    <a:noFill/>
                  </pic:spPr>
                </pic:pic>
              </a:graphicData>
            </a:graphic>
          </wp:anchor>
        </w:drawing>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21"/>
          <w:szCs w:val="21"/>
          <w:b w:val="1"/>
          <w:bCs w:val="1"/>
          <w:color w:val="FFFFFF"/>
        </w:rPr>
        <w:t>Finance Committee</w:t>
      </w:r>
    </w:p>
    <w:p>
      <w:pPr>
        <w:spacing w:after="0" w:line="272"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line="234" w:lineRule="auto"/>
        <w:rPr>
          <w:sz w:val="20"/>
          <w:szCs w:val="20"/>
          <w:color w:val="auto"/>
        </w:rPr>
      </w:pPr>
      <w:r>
        <w:rPr>
          <w:rFonts w:ascii="Arial" w:cs="Arial" w:eastAsia="Arial" w:hAnsi="Arial"/>
          <w:sz w:val="18"/>
          <w:szCs w:val="18"/>
          <w:color w:val="FFFFFF"/>
        </w:rPr>
        <w:t>Maria F. Blase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ind w:left="1200"/>
        <w:spacing w:after="0" w:line="235" w:lineRule="auto"/>
        <w:rPr>
          <w:sz w:val="20"/>
          <w:szCs w:val="20"/>
          <w:color w:val="auto"/>
        </w:rPr>
      </w:pPr>
      <w:r>
        <w:rPr>
          <w:rFonts w:ascii="Arial" w:cs="Arial" w:eastAsia="Arial" w:hAnsi="Arial"/>
          <w:sz w:val="18"/>
          <w:szCs w:val="18"/>
          <w:color w:val="FFFFFF"/>
        </w:rPr>
        <w:t>Sara E. Armbruster</w:t>
      </w:r>
    </w:p>
    <w:p>
      <w:pPr>
        <w:ind w:left="1200"/>
        <w:spacing w:after="0" w:line="235" w:lineRule="auto"/>
        <w:rPr>
          <w:sz w:val="20"/>
          <w:szCs w:val="20"/>
          <w:color w:val="auto"/>
        </w:rPr>
      </w:pPr>
      <w:r>
        <w:rPr>
          <w:rFonts w:ascii="Arial" w:cs="Arial" w:eastAsia="Arial" w:hAnsi="Arial"/>
          <w:sz w:val="18"/>
          <w:szCs w:val="18"/>
          <w:color w:val="FFFFFF"/>
        </w:rPr>
        <w:t>Kevin E. Bryant</w:t>
      </w:r>
    </w:p>
    <w:p>
      <w:pPr>
        <w:ind w:left="1200"/>
        <w:spacing w:after="0"/>
        <w:rPr>
          <w:sz w:val="20"/>
          <w:szCs w:val="20"/>
          <w:color w:val="auto"/>
        </w:rPr>
      </w:pPr>
      <w:r>
        <w:rPr>
          <w:rFonts w:ascii="Arial" w:cs="Arial" w:eastAsia="Arial" w:hAnsi="Arial"/>
          <w:sz w:val="18"/>
          <w:szCs w:val="18"/>
          <w:color w:val="FFFFFF"/>
        </w:rPr>
        <w:t>Richard D. Moss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314960</wp:posOffset>
            </wp:positionV>
            <wp:extent cx="8229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 w:right="960"/>
        <w:spacing w:after="0" w:line="246" w:lineRule="auto"/>
        <w:rPr>
          <w:sz w:val="20"/>
          <w:szCs w:val="20"/>
          <w:color w:val="auto"/>
        </w:rPr>
      </w:pPr>
      <w:r>
        <w:rPr>
          <w:rFonts w:ascii="Arial" w:cs="Arial" w:eastAsia="Arial" w:hAnsi="Arial"/>
          <w:sz w:val="16"/>
          <w:szCs w:val="16"/>
          <w:color w:val="auto"/>
        </w:rPr>
        <w:t>The Nominating and Governance Committee is primarily responsible for: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w:t>
      </w:r>
    </w:p>
    <w:p>
      <w:pPr>
        <w:spacing w:after="0" w:line="3" w:lineRule="exact"/>
        <w:rPr>
          <w:sz w:val="20"/>
          <w:szCs w:val="20"/>
          <w:color w:val="auto"/>
        </w:rPr>
      </w:pPr>
    </w:p>
    <w:p>
      <w:pPr>
        <w:ind w:left="1" w:right="980" w:hanging="1"/>
        <w:spacing w:after="0" w:line="253" w:lineRule="auto"/>
        <w:tabs>
          <w:tab w:leader="none" w:pos="2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related person transactions; and (6) overseeing the Company’s commitment to corporate responsibility matters, including environmental, social and governance matters.</w:t>
      </w:r>
    </w:p>
    <w:p>
      <w:pPr>
        <w:spacing w:after="0" w:line="174" w:lineRule="exact"/>
        <w:rPr>
          <w:sz w:val="20"/>
          <w:szCs w:val="20"/>
          <w:color w:val="auto"/>
        </w:rPr>
      </w:pPr>
    </w:p>
    <w:p>
      <w:pPr>
        <w:ind w:left="1" w:right="980"/>
        <w:spacing w:after="0" w:line="251" w:lineRule="auto"/>
        <w:rPr>
          <w:sz w:val="20"/>
          <w:szCs w:val="20"/>
          <w:color w:val="auto"/>
        </w:rPr>
      </w:pPr>
      <w:r>
        <w:rPr>
          <w:rFonts w:ascii="Arial" w:cs="Arial" w:eastAsia="Arial" w:hAnsi="Arial"/>
          <w:sz w:val="16"/>
          <w:szCs w:val="16"/>
          <w:color w:val="auto"/>
        </w:rPr>
        <w:t>The Nominating and Governance Committee recommended to the Board the director-nominees proposed in this proxy statement for election by the shareholders. The committee reviews the qualifications of, and recommends to the Board, candidates to fill Board vacancies as they may occur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75565</wp:posOffset>
            </wp:positionV>
            <wp:extent cx="4303395" cy="1594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03395" cy="1594485"/>
                    </a:xfrm>
                    <a:prstGeom prst="rect">
                      <a:avLst/>
                    </a:prstGeom>
                    <a:noFill/>
                  </pic:spPr>
                </pic:pic>
              </a:graphicData>
            </a:graphic>
          </wp:anchor>
        </w:drawing>
      </w:r>
    </w:p>
    <w:p>
      <w:pPr>
        <w:spacing w:after="0" w:line="250" w:lineRule="exact"/>
        <w:rPr>
          <w:sz w:val="20"/>
          <w:szCs w:val="20"/>
          <w:color w:val="auto"/>
        </w:rPr>
      </w:pPr>
    </w:p>
    <w:p>
      <w:pPr>
        <w:ind w:left="1" w:right="1040"/>
        <w:spacing w:after="0" w:line="251" w:lineRule="auto"/>
        <w:rPr>
          <w:sz w:val="20"/>
          <w:szCs w:val="20"/>
          <w:color w:val="auto"/>
        </w:rPr>
      </w:pPr>
      <w:r>
        <w:rPr>
          <w:rFonts w:ascii="Arial" w:cs="Arial" w:eastAsia="Arial" w:hAnsi="Arial"/>
          <w:sz w:val="16"/>
          <w:szCs w:val="16"/>
          <w:color w:val="auto"/>
        </w:rPr>
        <w:t>The Finance Committee is responsible for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w:t>
      </w:r>
    </w:p>
    <w:p>
      <w:pPr>
        <w:spacing w:after="0" w:line="175" w:lineRule="exact"/>
        <w:rPr>
          <w:sz w:val="20"/>
          <w:szCs w:val="20"/>
          <w:color w:val="auto"/>
        </w:rPr>
      </w:pPr>
    </w:p>
    <w:p>
      <w:pPr>
        <w:ind w:left="1" w:right="980"/>
        <w:spacing w:after="0" w:line="250" w:lineRule="auto"/>
        <w:rPr>
          <w:sz w:val="20"/>
          <w:szCs w:val="20"/>
          <w:color w:val="auto"/>
        </w:rPr>
      </w:pPr>
      <w:r>
        <w:rPr>
          <w:rFonts w:ascii="Arial" w:cs="Arial" w:eastAsia="Arial" w:hAnsi="Arial"/>
          <w:sz w:val="16"/>
          <w:szCs w:val="16"/>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593" w:lineRule="exact"/>
        <w:rPr>
          <w:sz w:val="20"/>
          <w:szCs w:val="20"/>
          <w:color w:val="auto"/>
        </w:rPr>
      </w:pPr>
    </w:p>
    <w:p>
      <w:pPr>
        <w:sectPr>
          <w:pgSz w:w="11900" w:h="16838" w:orient="portrait"/>
          <w:cols w:equalWidth="0" w:num="2">
            <w:col w:w="3180" w:space="299"/>
            <w:col w:w="7541"/>
          </w:cols>
          <w:pgMar w:left="440" w:top="265" w:right="439" w:bottom="1440" w:gutter="0" w:footer="0" w:header="0"/>
          <w:type w:val="continuous"/>
        </w:sectPr>
      </w:pPr>
    </w:p>
    <w:p>
      <w:pPr>
        <w:spacing w:after="0" w:line="345" w:lineRule="exact"/>
        <w:rPr>
          <w:sz w:val="20"/>
          <w:szCs w:val="20"/>
          <w:color w:val="auto"/>
        </w:rPr>
      </w:pPr>
    </w:p>
    <w:p>
      <w:pPr>
        <w:ind w:left="1220" w:right="1000" w:hanging="360"/>
        <w:spacing w:after="0"/>
        <w:tabs>
          <w:tab w:leader="none" w:pos="1220" w:val="left"/>
        </w:tabs>
        <w:numPr>
          <w:ilvl w:val="0"/>
          <w:numId w:val="11"/>
        </w:numPr>
        <w:rPr>
          <w:rFonts w:ascii="Arial" w:cs="Arial" w:eastAsia="Arial" w:hAnsi="Arial"/>
          <w:sz w:val="13"/>
          <w:szCs w:val="13"/>
          <w:color w:val="0E2A35"/>
        </w:rPr>
      </w:pPr>
      <w:r>
        <w:rPr>
          <w:rFonts w:ascii="Arial" w:cs="Arial" w:eastAsia="Arial" w:hAnsi="Arial"/>
          <w:sz w:val="13"/>
          <w:szCs w:val="13"/>
          <w:i w:val="1"/>
          <w:iCs w:val="1"/>
          <w:color w:val="0E2A35"/>
        </w:rPr>
        <w:t>All members of the Audit Committee are non-employee directors who have been determined to be “independent” under applicable listing standards of the New York Stock Exchange (NYSE).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-264795</wp:posOffset>
            </wp:positionV>
            <wp:extent cx="146558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8" w:name="page19"/>
    <w:bookmarkEnd w:id="1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3017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97880" cy="301752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48" w:lineRule="exact"/>
        <w:rPr>
          <w:sz w:val="20"/>
          <w:szCs w:val="20"/>
          <w:color w:val="auto"/>
        </w:rPr>
      </w:pPr>
    </w:p>
    <w:p>
      <w:pPr>
        <w:ind w:left="1200" w:right="100"/>
        <w:spacing w:after="0" w:line="285" w:lineRule="auto"/>
        <w:rPr>
          <w:sz w:val="20"/>
          <w:szCs w:val="20"/>
          <w:color w:val="auto"/>
        </w:rPr>
      </w:pPr>
      <w:r>
        <w:rPr>
          <w:rFonts w:ascii="Arial" w:cs="Arial" w:eastAsia="Arial" w:hAnsi="Arial"/>
          <w:sz w:val="21"/>
          <w:szCs w:val="21"/>
          <w:b w:val="1"/>
          <w:bCs w:val="1"/>
          <w:color w:val="FFFFFF"/>
        </w:rPr>
        <w:t>Human Resources Committee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8"/>
          <w:szCs w:val="18"/>
          <w:color w:val="FFFFFF"/>
        </w:rPr>
        <w:t>Members</w:t>
      </w:r>
    </w:p>
    <w:p>
      <w:pPr>
        <w:ind w:left="1200"/>
        <w:spacing w:after="0" w:line="234" w:lineRule="auto"/>
        <w:rPr>
          <w:sz w:val="20"/>
          <w:szCs w:val="20"/>
          <w:color w:val="auto"/>
        </w:rPr>
      </w:pPr>
      <w:r>
        <w:rPr>
          <w:rFonts w:ascii="Arial" w:cs="Arial" w:eastAsia="Arial" w:hAnsi="Arial"/>
          <w:sz w:val="18"/>
          <w:szCs w:val="18"/>
          <w:color w:val="FFFFFF"/>
        </w:rPr>
        <w:t>John M. Murabito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ind w:left="1200"/>
        <w:spacing w:after="0" w:line="235" w:lineRule="auto"/>
        <w:rPr>
          <w:sz w:val="20"/>
          <w:szCs w:val="20"/>
          <w:color w:val="auto"/>
        </w:rPr>
      </w:pPr>
      <w:r>
        <w:rPr>
          <w:rFonts w:ascii="Arial" w:cs="Arial" w:eastAsia="Arial" w:hAnsi="Arial"/>
          <w:sz w:val="18"/>
          <w:szCs w:val="18"/>
          <w:color w:val="FFFFFF"/>
        </w:rPr>
        <w:t>Sara E. Armbruster</w:t>
      </w:r>
    </w:p>
    <w:p>
      <w:pPr>
        <w:ind w:left="1200"/>
        <w:spacing w:after="0" w:line="235" w:lineRule="auto"/>
        <w:rPr>
          <w:sz w:val="20"/>
          <w:szCs w:val="20"/>
          <w:color w:val="auto"/>
        </w:rPr>
      </w:pPr>
      <w:r>
        <w:rPr>
          <w:rFonts w:ascii="Arial" w:cs="Arial" w:eastAsia="Arial" w:hAnsi="Arial"/>
          <w:sz w:val="18"/>
          <w:szCs w:val="18"/>
          <w:color w:val="FFFFFF"/>
        </w:rPr>
        <w:t>Christopher J. Braun</w:t>
      </w:r>
    </w:p>
    <w:p>
      <w:pPr>
        <w:ind w:left="1200"/>
        <w:spacing w:after="0" w:line="235" w:lineRule="auto"/>
        <w:rPr>
          <w:sz w:val="20"/>
          <w:szCs w:val="20"/>
          <w:color w:val="auto"/>
        </w:rPr>
      </w:pPr>
      <w:r>
        <w:rPr>
          <w:rFonts w:ascii="Arial" w:cs="Arial" w:eastAsia="Arial" w:hAnsi="Arial"/>
          <w:sz w:val="18"/>
          <w:szCs w:val="18"/>
          <w:color w:val="FFFFFF"/>
        </w:rPr>
        <w:t>Robert M. Chiusano</w:t>
      </w:r>
    </w:p>
    <w:p>
      <w:pPr>
        <w:ind w:left="1200"/>
        <w:spacing w:after="0"/>
        <w:rPr>
          <w:sz w:val="20"/>
          <w:szCs w:val="20"/>
          <w:color w:val="auto"/>
        </w:rPr>
      </w:pPr>
      <w:r>
        <w:rPr>
          <w:rFonts w:ascii="Arial" w:cs="Arial" w:eastAsia="Arial" w:hAnsi="Arial"/>
          <w:sz w:val="18"/>
          <w:szCs w:val="18"/>
          <w:color w:val="FFFFFF"/>
        </w:rPr>
        <w:t>Jacqueline D. Woods</w:t>
      </w:r>
    </w:p>
    <w:p>
      <w:pPr>
        <w:spacing w:after="0" w:line="1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Number of meetings</w:t>
      </w:r>
    </w:p>
    <w:p>
      <w:pPr>
        <w:spacing w:after="0" w:line="1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during fiscal 2021:</w:t>
      </w:r>
    </w:p>
    <w:p>
      <w:pPr>
        <w:ind w:left="1200"/>
        <w:spacing w:after="0"/>
        <w:rPr>
          <w:sz w:val="20"/>
          <w:szCs w:val="20"/>
          <w:color w:val="auto"/>
        </w:rPr>
      </w:pPr>
      <w:r>
        <w:rPr>
          <w:rFonts w:ascii="Arial" w:cs="Arial" w:eastAsia="Arial" w:hAnsi="Arial"/>
          <w:sz w:val="18"/>
          <w:szCs w:val="18"/>
          <w:b w:val="1"/>
          <w:bCs w:val="1"/>
          <w:color w:val="FFFFFF"/>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 Independence</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right="1040"/>
        <w:spacing w:after="0" w:line="247" w:lineRule="auto"/>
        <w:rPr>
          <w:sz w:val="20"/>
          <w:szCs w:val="20"/>
          <w:color w:val="auto"/>
        </w:rPr>
      </w:pPr>
      <w:r>
        <w:rPr>
          <w:rFonts w:ascii="Arial" w:cs="Arial" w:eastAsia="Arial" w:hAnsi="Arial"/>
          <w:sz w:val="16"/>
          <w:szCs w:val="16"/>
          <w:color w:val="auto"/>
        </w:rPr>
        <w:t>The Human Resources Committee’s duties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 (9) overseeing policies and strategies relating to corporate culture and human capital management, including diversity, equity and inclusion.</w:t>
      </w:r>
    </w:p>
    <w:p>
      <w:pPr>
        <w:spacing w:after="0" w:line="183" w:lineRule="exact"/>
        <w:rPr>
          <w:sz w:val="20"/>
          <w:szCs w:val="20"/>
          <w:color w:val="auto"/>
        </w:rPr>
      </w:pPr>
    </w:p>
    <w:p>
      <w:pPr>
        <w:ind w:right="1180"/>
        <w:spacing w:after="0" w:line="250" w:lineRule="auto"/>
        <w:rPr>
          <w:sz w:val="20"/>
          <w:szCs w:val="20"/>
          <w:color w:val="auto"/>
        </w:rPr>
      </w:pPr>
      <w:r>
        <w:rPr>
          <w:rFonts w:ascii="Arial" w:cs="Arial" w:eastAsia="Arial" w:hAnsi="Arial"/>
          <w:sz w:val="16"/>
          <w:szCs w:val="16"/>
          <w:color w:val="auto"/>
        </w:rPr>
        <w:t>The Human Resources Committee is authorized to retain an outside compensation consultant for matters relating to executive compensation. For fiscal 2021, the committee retained Semler Brossy Consulting Group LLC (Semler Brossy) to advise on certain executive compensation-related matters, as further described in the Compensation Discussion and Analysis section of this proxy statement.</w:t>
      </w:r>
    </w:p>
    <w:p>
      <w:pPr>
        <w:spacing w:after="0" w:line="893" w:lineRule="exact"/>
        <w:rPr>
          <w:sz w:val="20"/>
          <w:szCs w:val="20"/>
          <w:color w:val="auto"/>
        </w:rPr>
      </w:pPr>
    </w:p>
    <w:p>
      <w:pPr>
        <w:sectPr>
          <w:pgSz w:w="11900" w:h="16838" w:orient="portrait"/>
          <w:cols w:equalWidth="0" w:num="2">
            <w:col w:w="3200" w:space="280"/>
            <w:col w:w="7540"/>
          </w:cols>
          <w:pgMar w:left="440" w:top="265" w:right="439" w:bottom="1440" w:gutter="0" w:footer="0" w:header="0"/>
          <w:type w:val="continuous"/>
        </w:sectPr>
      </w:pPr>
    </w:p>
    <w:p>
      <w:pPr>
        <w:spacing w:after="0" w:line="11"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During this review, the Board considered a variety of relevant facts and circumstances, including a review of all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w:t>
      </w:r>
    </w:p>
    <w:p>
      <w:pPr>
        <w:spacing w:after="0" w:line="167" w:lineRule="exact"/>
        <w:rPr>
          <w:sz w:val="20"/>
          <w:szCs w:val="20"/>
          <w:color w:val="auto"/>
        </w:rPr>
      </w:pPr>
    </w:p>
    <w:p>
      <w:pPr>
        <w:ind w:left="860" w:right="900"/>
        <w:spacing w:after="0" w:line="260" w:lineRule="auto"/>
        <w:rPr>
          <w:sz w:val="20"/>
          <w:szCs w:val="20"/>
          <w:color w:val="auto"/>
        </w:rPr>
      </w:pPr>
      <w:r>
        <w:rPr>
          <w:rFonts w:ascii="Arial" w:cs="Arial" w:eastAsia="Arial" w:hAnsi="Arial"/>
          <w:sz w:val="16"/>
          <w:szCs w:val="16"/>
          <w:color w:val="0E2A35"/>
        </w:rPr>
        <w:t>The Board affirmatively determined that all non-employee directors are independent. Mr. Happe is the only employee director and is not independent.</w:t>
      </w:r>
    </w:p>
    <w:p>
      <w:pPr>
        <w:spacing w:after="0" w:line="168"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As part of the Board’s independence assessment and determination, the Board specifically considered that Mr. Murabito serves as an executive officer of Cigna, from which we purchased medical insurance benefits for the Chris-Craft business during fiscal 2021. Because the amount involved in these transactions was less than 1% of both the Company’s and Cigna’s annual revenues, and Mr. Murabito was not personally involved in these transactions and he receives no particular benefit related to these transactions, the Board concluded that these transactions did not impair Mr. Murabito’s independence.</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Risk Management</w:t>
      </w:r>
    </w:p>
    <w:p>
      <w:pPr>
        <w:spacing w:after="0" w:line="213"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these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9" w:name="page20"/>
    <w:bookmarkEnd w:id="1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00"/>
        <w:spacing w:after="0" w:line="253" w:lineRule="auto"/>
        <w:rPr>
          <w:sz w:val="20"/>
          <w:szCs w:val="20"/>
          <w:color w:val="auto"/>
        </w:rPr>
      </w:pPr>
      <w:r>
        <w:rPr>
          <w:rFonts w:ascii="Arial" w:cs="Arial" w:eastAsia="Arial" w:hAnsi="Arial"/>
          <w:sz w:val="16"/>
          <w:szCs w:val="16"/>
          <w:color w:val="0E2A35"/>
        </w:rPr>
        <w:t>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w:t>
      </w:r>
    </w:p>
    <w:p>
      <w:pPr>
        <w:spacing w:after="0" w:line="282"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While the Board and its committees oversee risk management, the Company's management is responsible for the day-to-day management of risks we face. The Board reviews and monitors our processes for identification, management and mitigation of risk by our management and assesses whether our processes are adequate and functioning as designed. 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Board committees also receives reports from management regarding matters relevant to the work of that committee. These management reports are supplemented by information relating to risk from our advisors. Following committee meetings, the Board receives reports by each committee chair regarding the committee’s considerations and actions. In this way, the Board also receives additional information regarding the risk oversight functions performed by each of the Board committees.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0E2A35"/>
        </w:rPr>
        <w:t>Board of Directors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0E2A35"/>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66040</wp:posOffset>
            </wp:positionV>
            <wp:extent cx="5486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434975</wp:posOffset>
            </wp:positionV>
            <wp:extent cx="4620260" cy="2752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20260" cy="275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60" w:type="dxa"/>
        <w:tblCellMar>
          <w:top w:w="0" w:type="dxa"/>
          <w:left w:w="0" w:type="dxa"/>
          <w:bottom w:w="0" w:type="dxa"/>
          <w:right w:w="0" w:type="dxa"/>
        </w:tblCellMar>
      </w:tblPr>
      <w:tr>
        <w:trPr>
          <w:trHeight w:val="512"/>
        </w:trPr>
        <w:tc>
          <w:tcPr>
            <w:tcW w:w="2360" w:type="dxa"/>
            <w:vAlign w:val="bottom"/>
            <w:shd w:val="clear" w:color="auto" w:fill="0E2A35"/>
          </w:tcPr>
          <w:p>
            <w:pPr>
              <w:spacing w:after="0"/>
              <w:rPr>
                <w:sz w:val="24"/>
                <w:szCs w:val="24"/>
                <w:color w:val="auto"/>
              </w:rPr>
            </w:pPr>
          </w:p>
        </w:tc>
        <w:tc>
          <w:tcPr>
            <w:tcW w:w="2260" w:type="dxa"/>
            <w:vAlign w:val="bottom"/>
            <w:shd w:val="clear" w:color="auto" w:fill="0E2A35"/>
          </w:tcPr>
          <w:p>
            <w:pPr>
              <w:jc w:val="center"/>
              <w:spacing w:after="0"/>
              <w:rPr>
                <w:sz w:val="20"/>
                <w:szCs w:val="20"/>
                <w:color w:val="auto"/>
              </w:rPr>
            </w:pPr>
            <w:r>
              <w:rPr>
                <w:rFonts w:ascii="Arial" w:cs="Arial" w:eastAsia="Arial" w:hAnsi="Arial"/>
                <w:sz w:val="20"/>
                <w:szCs w:val="20"/>
                <w:b w:val="1"/>
                <w:bCs w:val="1"/>
                <w:color w:val="C7D265"/>
                <w:w w:val="99"/>
              </w:rPr>
              <w:t>Nominating &amp;</w:t>
            </w:r>
          </w:p>
        </w:tc>
        <w:tc>
          <w:tcPr>
            <w:tcW w:w="2340" w:type="dxa"/>
            <w:vAlign w:val="bottom"/>
            <w:shd w:val="clear" w:color="auto" w:fill="0E2A35"/>
          </w:tcPr>
          <w:p>
            <w:pPr>
              <w:spacing w:after="0"/>
              <w:rPr>
                <w:sz w:val="24"/>
                <w:szCs w:val="24"/>
                <w:color w:val="auto"/>
              </w:rPr>
            </w:pPr>
          </w:p>
        </w:tc>
        <w:tc>
          <w:tcPr>
            <w:tcW w:w="2320" w:type="dxa"/>
            <w:vAlign w:val="bottom"/>
            <w:shd w:val="clear" w:color="auto" w:fill="0E2A35"/>
          </w:tcPr>
          <w:p>
            <w:pPr>
              <w:spacing w:after="0"/>
              <w:rPr>
                <w:sz w:val="24"/>
                <w:szCs w:val="24"/>
                <w:color w:val="auto"/>
              </w:rPr>
            </w:pPr>
          </w:p>
        </w:tc>
      </w:tr>
      <w:tr>
        <w:trPr>
          <w:trHeight w:val="216"/>
        </w:trPr>
        <w:tc>
          <w:tcPr>
            <w:tcW w:w="2360" w:type="dxa"/>
            <w:vAlign w:val="bottom"/>
            <w:shd w:val="clear" w:color="auto" w:fill="0E2A35"/>
          </w:tcPr>
          <w:p>
            <w:pPr>
              <w:ind w:left="840"/>
              <w:spacing w:after="0" w:line="216" w:lineRule="exact"/>
              <w:rPr>
                <w:sz w:val="20"/>
                <w:szCs w:val="20"/>
                <w:color w:val="auto"/>
              </w:rPr>
            </w:pPr>
            <w:r>
              <w:rPr>
                <w:rFonts w:ascii="Arial" w:cs="Arial" w:eastAsia="Arial" w:hAnsi="Arial"/>
                <w:sz w:val="20"/>
                <w:szCs w:val="20"/>
                <w:b w:val="1"/>
                <w:bCs w:val="1"/>
                <w:color w:val="C7D265"/>
              </w:rPr>
              <w:t>Audit</w:t>
            </w:r>
          </w:p>
        </w:tc>
        <w:tc>
          <w:tcPr>
            <w:tcW w:w="2260" w:type="dxa"/>
            <w:vAlign w:val="bottom"/>
            <w:shd w:val="clear" w:color="auto" w:fill="0E2A35"/>
          </w:tcPr>
          <w:p>
            <w:pPr>
              <w:jc w:val="center"/>
              <w:spacing w:after="0" w:line="216" w:lineRule="exact"/>
              <w:rPr>
                <w:sz w:val="20"/>
                <w:szCs w:val="20"/>
                <w:color w:val="auto"/>
              </w:rPr>
            </w:pPr>
            <w:r>
              <w:rPr>
                <w:rFonts w:ascii="Arial" w:cs="Arial" w:eastAsia="Arial" w:hAnsi="Arial"/>
                <w:sz w:val="20"/>
                <w:szCs w:val="20"/>
                <w:b w:val="1"/>
                <w:bCs w:val="1"/>
                <w:color w:val="C7D265"/>
                <w:w w:val="98"/>
              </w:rPr>
              <w:t>Governance</w:t>
            </w:r>
          </w:p>
        </w:tc>
        <w:tc>
          <w:tcPr>
            <w:tcW w:w="2340" w:type="dxa"/>
            <w:vAlign w:val="bottom"/>
            <w:shd w:val="clear" w:color="auto" w:fill="0E2A35"/>
          </w:tcPr>
          <w:p>
            <w:pPr>
              <w:jc w:val="center"/>
              <w:spacing w:after="0" w:line="216" w:lineRule="exact"/>
              <w:rPr>
                <w:sz w:val="20"/>
                <w:szCs w:val="20"/>
                <w:color w:val="auto"/>
              </w:rPr>
            </w:pPr>
            <w:r>
              <w:rPr>
                <w:rFonts w:ascii="Arial" w:cs="Arial" w:eastAsia="Arial" w:hAnsi="Arial"/>
                <w:sz w:val="20"/>
                <w:szCs w:val="20"/>
                <w:b w:val="1"/>
                <w:bCs w:val="1"/>
                <w:color w:val="C7D265"/>
              </w:rPr>
              <w:t>Finance</w:t>
            </w:r>
          </w:p>
        </w:tc>
        <w:tc>
          <w:tcPr>
            <w:tcW w:w="2320" w:type="dxa"/>
            <w:vAlign w:val="bottom"/>
            <w:shd w:val="clear" w:color="auto" w:fill="0E2A35"/>
          </w:tcPr>
          <w:p>
            <w:pPr>
              <w:jc w:val="center"/>
              <w:ind w:left="24"/>
              <w:spacing w:after="0" w:line="216" w:lineRule="exact"/>
              <w:rPr>
                <w:sz w:val="20"/>
                <w:szCs w:val="20"/>
                <w:color w:val="auto"/>
              </w:rPr>
            </w:pPr>
            <w:r>
              <w:rPr>
                <w:rFonts w:ascii="Arial" w:cs="Arial" w:eastAsia="Arial" w:hAnsi="Arial"/>
                <w:sz w:val="20"/>
                <w:szCs w:val="20"/>
                <w:b w:val="1"/>
                <w:bCs w:val="1"/>
                <w:color w:val="C7D265"/>
                <w:w w:val="99"/>
              </w:rPr>
              <w:t>Human Resources</w:t>
            </w:r>
          </w:p>
        </w:tc>
      </w:tr>
      <w:tr>
        <w:trPr>
          <w:trHeight w:val="261"/>
        </w:trPr>
        <w:tc>
          <w:tcPr>
            <w:tcW w:w="2360" w:type="dxa"/>
            <w:vAlign w:val="bottom"/>
            <w:shd w:val="clear" w:color="auto" w:fill="0E2A35"/>
          </w:tcPr>
          <w:p>
            <w:pPr>
              <w:ind w:left="600"/>
              <w:spacing w:after="0"/>
              <w:rPr>
                <w:sz w:val="20"/>
                <w:szCs w:val="20"/>
                <w:color w:val="auto"/>
              </w:rPr>
            </w:pPr>
            <w:r>
              <w:rPr>
                <w:rFonts w:ascii="Arial" w:cs="Arial" w:eastAsia="Arial" w:hAnsi="Arial"/>
                <w:sz w:val="20"/>
                <w:szCs w:val="20"/>
                <w:b w:val="1"/>
                <w:bCs w:val="1"/>
                <w:color w:val="C7D265"/>
              </w:rPr>
              <w:t>Committee</w:t>
            </w:r>
          </w:p>
        </w:tc>
        <w:tc>
          <w:tcPr>
            <w:tcW w:w="2260" w:type="dxa"/>
            <w:vAlign w:val="bottom"/>
            <w:shd w:val="clear" w:color="auto" w:fill="0E2A35"/>
          </w:tcPr>
          <w:p>
            <w:pPr>
              <w:jc w:val="center"/>
              <w:spacing w:after="0"/>
              <w:rPr>
                <w:sz w:val="20"/>
                <w:szCs w:val="20"/>
                <w:color w:val="auto"/>
              </w:rPr>
            </w:pPr>
            <w:r>
              <w:rPr>
                <w:rFonts w:ascii="Arial" w:cs="Arial" w:eastAsia="Arial" w:hAnsi="Arial"/>
                <w:sz w:val="20"/>
                <w:szCs w:val="20"/>
                <w:b w:val="1"/>
                <w:bCs w:val="1"/>
                <w:color w:val="C7D265"/>
                <w:w w:val="98"/>
              </w:rPr>
              <w:t>Committee</w:t>
            </w:r>
          </w:p>
        </w:tc>
        <w:tc>
          <w:tcPr>
            <w:tcW w:w="2340" w:type="dxa"/>
            <w:vAlign w:val="bottom"/>
            <w:shd w:val="clear" w:color="auto" w:fill="0E2A35"/>
          </w:tcPr>
          <w:p>
            <w:pPr>
              <w:jc w:val="center"/>
              <w:spacing w:after="0"/>
              <w:rPr>
                <w:sz w:val="20"/>
                <w:szCs w:val="20"/>
                <w:color w:val="auto"/>
              </w:rPr>
            </w:pPr>
            <w:r>
              <w:rPr>
                <w:rFonts w:ascii="Arial" w:cs="Arial" w:eastAsia="Arial" w:hAnsi="Arial"/>
                <w:sz w:val="20"/>
                <w:szCs w:val="20"/>
                <w:b w:val="1"/>
                <w:bCs w:val="1"/>
                <w:color w:val="C7D265"/>
                <w:w w:val="98"/>
              </w:rPr>
              <w:t>Committee</w:t>
            </w:r>
          </w:p>
        </w:tc>
        <w:tc>
          <w:tcPr>
            <w:tcW w:w="2320" w:type="dxa"/>
            <w:vAlign w:val="bottom"/>
            <w:shd w:val="clear" w:color="auto" w:fill="0E2A35"/>
          </w:tcPr>
          <w:p>
            <w:pPr>
              <w:jc w:val="center"/>
              <w:ind w:left="24"/>
              <w:spacing w:after="0"/>
              <w:rPr>
                <w:sz w:val="20"/>
                <w:szCs w:val="20"/>
                <w:color w:val="auto"/>
              </w:rPr>
            </w:pPr>
            <w:r>
              <w:rPr>
                <w:rFonts w:ascii="Arial" w:cs="Arial" w:eastAsia="Arial" w:hAnsi="Arial"/>
                <w:sz w:val="20"/>
                <w:szCs w:val="20"/>
                <w:b w:val="1"/>
                <w:bCs w:val="1"/>
                <w:color w:val="C7D265"/>
                <w:w w:val="98"/>
              </w:rPr>
              <w:t>Committee</w:t>
            </w:r>
          </w:p>
        </w:tc>
      </w:tr>
      <w:tr>
        <w:trPr>
          <w:trHeight w:val="322"/>
        </w:trPr>
        <w:tc>
          <w:tcPr>
            <w:tcW w:w="2360" w:type="dxa"/>
            <w:vAlign w:val="bottom"/>
            <w:shd w:val="clear" w:color="auto" w:fill="0E2A35"/>
          </w:tcPr>
          <w:p>
            <w:pPr>
              <w:ind w:left="380"/>
              <w:spacing w:after="0"/>
              <w:rPr>
                <w:sz w:val="20"/>
                <w:szCs w:val="20"/>
                <w:color w:val="auto"/>
              </w:rPr>
            </w:pPr>
            <w:r>
              <w:rPr>
                <w:rFonts w:ascii="Arial" w:cs="Arial" w:eastAsia="Arial" w:hAnsi="Arial"/>
                <w:sz w:val="14"/>
                <w:szCs w:val="14"/>
                <w:color w:val="FFFFFF"/>
              </w:rPr>
              <w:t>Primary Risk Oversight</w:t>
            </w:r>
          </w:p>
        </w:tc>
        <w:tc>
          <w:tcPr>
            <w:tcW w:w="2260" w:type="dxa"/>
            <w:vAlign w:val="bottom"/>
            <w:shd w:val="clear" w:color="auto" w:fill="0E2A35"/>
          </w:tcPr>
          <w:p>
            <w:pPr>
              <w:jc w:val="center"/>
              <w:spacing w:after="0"/>
              <w:rPr>
                <w:sz w:val="20"/>
                <w:szCs w:val="20"/>
                <w:color w:val="auto"/>
              </w:rPr>
            </w:pPr>
            <w:r>
              <w:rPr>
                <w:rFonts w:ascii="Arial" w:cs="Arial" w:eastAsia="Arial" w:hAnsi="Arial"/>
                <w:sz w:val="14"/>
                <w:szCs w:val="14"/>
                <w:color w:val="FFFFFF"/>
              </w:rPr>
              <w:t>Primary Risk Oversight</w:t>
            </w:r>
          </w:p>
        </w:tc>
        <w:tc>
          <w:tcPr>
            <w:tcW w:w="2340" w:type="dxa"/>
            <w:vAlign w:val="bottom"/>
            <w:shd w:val="clear" w:color="auto" w:fill="0E2A35"/>
          </w:tcPr>
          <w:p>
            <w:pPr>
              <w:jc w:val="center"/>
              <w:spacing w:after="0"/>
              <w:rPr>
                <w:sz w:val="20"/>
                <w:szCs w:val="20"/>
                <w:color w:val="auto"/>
              </w:rPr>
            </w:pPr>
            <w:r>
              <w:rPr>
                <w:rFonts w:ascii="Arial" w:cs="Arial" w:eastAsia="Arial" w:hAnsi="Arial"/>
                <w:sz w:val="14"/>
                <w:szCs w:val="14"/>
                <w:color w:val="FFFFFF"/>
              </w:rPr>
              <w:t>Primary Risk Oversight</w:t>
            </w:r>
          </w:p>
        </w:tc>
        <w:tc>
          <w:tcPr>
            <w:tcW w:w="2320" w:type="dxa"/>
            <w:vAlign w:val="bottom"/>
            <w:shd w:val="clear" w:color="auto" w:fill="0E2A35"/>
          </w:tcPr>
          <w:p>
            <w:pPr>
              <w:jc w:val="center"/>
              <w:ind w:left="24"/>
              <w:spacing w:after="0"/>
              <w:rPr>
                <w:sz w:val="20"/>
                <w:szCs w:val="20"/>
                <w:color w:val="auto"/>
              </w:rPr>
            </w:pPr>
            <w:r>
              <w:rPr>
                <w:rFonts w:ascii="Arial" w:cs="Arial" w:eastAsia="Arial" w:hAnsi="Arial"/>
                <w:sz w:val="14"/>
                <w:szCs w:val="14"/>
                <w:color w:val="FFFFFF"/>
              </w:rPr>
              <w:t>Primary Risk Oversight</w:t>
            </w:r>
          </w:p>
        </w:tc>
      </w:tr>
      <w:tr>
        <w:trPr>
          <w:trHeight w:val="719"/>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Oversees the</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Oversees the management</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Oversees the management</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Oversees the management</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management of risks</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of risks related to our</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of risks related to the</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of risks related to the</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related to financial</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corporate governance</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Company’s financial</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Company’s compensation</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statement integrity and</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structure; the Board’s</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condition and capital</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policies and practices;</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reporting, internal control</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succession plans; and ESG</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structure; its financing,</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executive compensation</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over financial reporting</w:t>
            </w:r>
          </w:p>
        </w:tc>
        <w:tc>
          <w:tcPr>
            <w:tcW w:w="2260" w:type="dxa"/>
            <w:vAlign w:val="bottom"/>
            <w:shd w:val="clear" w:color="auto" w:fill="0E2A35"/>
          </w:tcPr>
          <w:p>
            <w:pPr>
              <w:ind w:left="200"/>
              <w:spacing w:after="0"/>
              <w:rPr>
                <w:sz w:val="20"/>
                <w:szCs w:val="20"/>
                <w:color w:val="auto"/>
              </w:rPr>
            </w:pPr>
            <w:r>
              <w:rPr>
                <w:rFonts w:ascii="Arial" w:cs="Arial" w:eastAsia="Arial" w:hAnsi="Arial"/>
                <w:sz w:val="14"/>
                <w:szCs w:val="14"/>
                <w:color w:val="FFFFFF"/>
              </w:rPr>
              <w:t>matters</w:t>
            </w: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acquisition, divestiture and</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program; management</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and the internal audit</w:t>
            </w:r>
          </w:p>
        </w:tc>
        <w:tc>
          <w:tcPr>
            <w:tcW w:w="2260" w:type="dxa"/>
            <w:vAlign w:val="bottom"/>
            <w:shd w:val="clear" w:color="auto" w:fill="0E2A35"/>
          </w:tcPr>
          <w:p>
            <w:pPr>
              <w:spacing w:after="0"/>
              <w:rPr>
                <w:sz w:val="14"/>
                <w:szCs w:val="14"/>
                <w:color w:val="auto"/>
              </w:rPr>
            </w:pP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investment transactions;</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succession and</w:t>
            </w:r>
          </w:p>
        </w:tc>
      </w:tr>
      <w:tr>
        <w:trPr>
          <w:trHeight w:val="16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function; and information</w:t>
            </w:r>
          </w:p>
        </w:tc>
        <w:tc>
          <w:tcPr>
            <w:tcW w:w="2260" w:type="dxa"/>
            <w:vAlign w:val="bottom"/>
            <w:shd w:val="clear" w:color="auto" w:fill="0E2A35"/>
          </w:tcPr>
          <w:p>
            <w:pPr>
              <w:spacing w:after="0"/>
              <w:rPr>
                <w:sz w:val="14"/>
                <w:szCs w:val="14"/>
                <w:color w:val="auto"/>
              </w:rPr>
            </w:pPr>
          </w:p>
        </w:tc>
        <w:tc>
          <w:tcPr>
            <w:tcW w:w="234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and related matters</w:t>
            </w: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development; and human</w:t>
            </w:r>
          </w:p>
        </w:tc>
      </w:tr>
      <w:tr>
        <w:trPr>
          <w:trHeight w:val="172"/>
        </w:trPr>
        <w:tc>
          <w:tcPr>
            <w:tcW w:w="23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security</w:t>
            </w:r>
          </w:p>
        </w:tc>
        <w:tc>
          <w:tcPr>
            <w:tcW w:w="2260" w:type="dxa"/>
            <w:vAlign w:val="bottom"/>
            <w:shd w:val="clear" w:color="auto" w:fill="0E2A35"/>
          </w:tcPr>
          <w:p>
            <w:pPr>
              <w:spacing w:after="0"/>
              <w:rPr>
                <w:sz w:val="14"/>
                <w:szCs w:val="14"/>
                <w:color w:val="auto"/>
              </w:rPr>
            </w:pPr>
          </w:p>
        </w:tc>
        <w:tc>
          <w:tcPr>
            <w:tcW w:w="2340" w:type="dxa"/>
            <w:vAlign w:val="bottom"/>
            <w:shd w:val="clear" w:color="auto" w:fill="0E2A35"/>
          </w:tcPr>
          <w:p>
            <w:pPr>
              <w:spacing w:after="0"/>
              <w:rPr>
                <w:sz w:val="14"/>
                <w:szCs w:val="14"/>
                <w:color w:val="auto"/>
              </w:rPr>
            </w:pPr>
          </w:p>
        </w:tc>
        <w:tc>
          <w:tcPr>
            <w:tcW w:w="232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capital management</w:t>
            </w:r>
          </w:p>
        </w:tc>
      </w:tr>
      <w:tr>
        <w:trPr>
          <w:trHeight w:val="147"/>
        </w:trPr>
        <w:tc>
          <w:tcPr>
            <w:tcW w:w="2360" w:type="dxa"/>
            <w:vAlign w:val="bottom"/>
            <w:shd w:val="clear" w:color="auto" w:fill="0E2A35"/>
          </w:tcPr>
          <w:p>
            <w:pPr>
              <w:spacing w:after="0"/>
              <w:rPr>
                <w:sz w:val="12"/>
                <w:szCs w:val="12"/>
                <w:color w:val="auto"/>
              </w:rPr>
            </w:pPr>
          </w:p>
        </w:tc>
        <w:tc>
          <w:tcPr>
            <w:tcW w:w="2260" w:type="dxa"/>
            <w:vAlign w:val="bottom"/>
            <w:shd w:val="clear" w:color="auto" w:fill="0E2A35"/>
          </w:tcPr>
          <w:p>
            <w:pPr>
              <w:spacing w:after="0"/>
              <w:rPr>
                <w:sz w:val="12"/>
                <w:szCs w:val="12"/>
                <w:color w:val="auto"/>
              </w:rPr>
            </w:pPr>
          </w:p>
        </w:tc>
        <w:tc>
          <w:tcPr>
            <w:tcW w:w="2340" w:type="dxa"/>
            <w:vAlign w:val="bottom"/>
            <w:shd w:val="clear" w:color="auto" w:fill="0E2A35"/>
          </w:tcPr>
          <w:p>
            <w:pPr>
              <w:spacing w:after="0"/>
              <w:rPr>
                <w:sz w:val="12"/>
                <w:szCs w:val="12"/>
                <w:color w:val="auto"/>
              </w:rPr>
            </w:pPr>
          </w:p>
        </w:tc>
        <w:tc>
          <w:tcPr>
            <w:tcW w:w="2320" w:type="dxa"/>
            <w:vAlign w:val="bottom"/>
            <w:shd w:val="clear" w:color="auto" w:fill="0E2A35"/>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-1268095</wp:posOffset>
            </wp:positionV>
            <wp:extent cx="6858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-1268095</wp:posOffset>
            </wp:positionV>
            <wp:extent cx="6858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-1268095</wp:posOffset>
            </wp:positionV>
            <wp:extent cx="6858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-1268095</wp:posOffset>
            </wp:positionV>
            <wp:extent cx="6858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15</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0" w:name="page21"/>
    <w:bookmarkEnd w:id="2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Board Refreshment</w:t>
      </w:r>
    </w:p>
    <w:p>
      <w:pPr>
        <w:spacing w:after="0" w:line="213" w:lineRule="exact"/>
        <w:rPr>
          <w:sz w:val="20"/>
          <w:szCs w:val="20"/>
          <w:color w:val="auto"/>
        </w:rPr>
      </w:pPr>
    </w:p>
    <w:p>
      <w:pPr>
        <w:ind w:left="860" w:right="1140"/>
        <w:spacing w:after="0" w:line="250" w:lineRule="auto"/>
        <w:rPr>
          <w:sz w:val="20"/>
          <w:szCs w:val="20"/>
          <w:color w:val="auto"/>
        </w:rPr>
      </w:pPr>
      <w:r>
        <w:rPr>
          <w:rFonts w:ascii="Arial" w:cs="Arial" w:eastAsia="Arial" w:hAnsi="Arial"/>
          <w:sz w:val="16"/>
          <w:szCs w:val="16"/>
          <w:color w:val="0E2A35"/>
        </w:rPr>
        <w:t>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 shareholders. The committee retains third-party search firms from time to time to assist in identifying potential Board members who have expertise and experience that would complement the current Board.</w:t>
      </w:r>
    </w:p>
    <w:p>
      <w:pPr>
        <w:spacing w:after="0" w:line="162" w:lineRule="exact"/>
        <w:rPr>
          <w:sz w:val="20"/>
          <w:szCs w:val="20"/>
          <w:color w:val="auto"/>
        </w:rPr>
      </w:pPr>
    </w:p>
    <w:p>
      <w:pPr>
        <w:ind w:left="860" w:right="980"/>
        <w:spacing w:after="0" w:line="248" w:lineRule="auto"/>
        <w:rPr>
          <w:sz w:val="20"/>
          <w:szCs w:val="20"/>
          <w:color w:val="auto"/>
        </w:rPr>
      </w:pPr>
      <w:r>
        <w:rPr>
          <w:rFonts w:ascii="Arial" w:cs="Arial" w:eastAsia="Arial" w:hAnsi="Arial"/>
          <w:sz w:val="16"/>
          <w:szCs w:val="16"/>
          <w:color w:val="0E2A35"/>
        </w:rPr>
        <w:t>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understands and fully appreciates the value of diversity and inclusion and has added four independent, diverse directors to the Board in the last four years.</w:t>
      </w:r>
    </w:p>
    <w:p>
      <w:pPr>
        <w:spacing w:after="0" w:line="168" w:lineRule="exact"/>
        <w:rPr>
          <w:sz w:val="20"/>
          <w:szCs w:val="20"/>
          <w:color w:val="auto"/>
        </w:rPr>
      </w:pPr>
    </w:p>
    <w:p>
      <w:pPr>
        <w:ind w:left="860" w:right="1080"/>
        <w:spacing w:after="0" w:line="249" w:lineRule="auto"/>
        <w:rPr>
          <w:sz w:val="20"/>
          <w:szCs w:val="20"/>
          <w:color w:val="auto"/>
        </w:rPr>
      </w:pPr>
      <w:r>
        <w:rPr>
          <w:rFonts w:ascii="Arial" w:cs="Arial" w:eastAsia="Arial" w:hAnsi="Arial"/>
          <w:sz w:val="16"/>
          <w:szCs w:val="16"/>
          <w:color w:val="0E2A35"/>
        </w:rPr>
        <w:t>Jacqueline D. Woods and Kevin E. Bryant were appointed to the Board effective March 17, 2021. The Nominating and Governance Committee led the process for selecting the director nominees and recommending the selected nominees to the Board. A third-party search firm, Russell Reynolds Associates, assisted the committee with its recruitment efforts and identified Ms. Woods and Mr. Bryant as candidates. Ms. Woods was identified and recommended as a candidate due to a number of factors, including her substantial experience in strategy, branding, and technology. Mr. Bryant was identified and recommended as a candidate because he brings significant experience in operations, strategy, and financial leadership to the Board.</w:t>
      </w:r>
    </w:p>
    <w:p>
      <w:pPr>
        <w:spacing w:after="0" w:line="178" w:lineRule="exact"/>
        <w:rPr>
          <w:sz w:val="20"/>
          <w:szCs w:val="20"/>
          <w:color w:val="auto"/>
        </w:rPr>
      </w:pPr>
    </w:p>
    <w:p>
      <w:pPr>
        <w:ind w:left="860" w:right="1080"/>
        <w:spacing w:after="0" w:line="251" w:lineRule="auto"/>
        <w:rPr>
          <w:sz w:val="20"/>
          <w:szCs w:val="20"/>
          <w:color w:val="auto"/>
        </w:rPr>
      </w:pPr>
      <w:r>
        <w:rPr>
          <w:rFonts w:ascii="Arial" w:cs="Arial" w:eastAsia="Arial" w:hAnsi="Arial"/>
          <w:sz w:val="16"/>
          <w:szCs w:val="16"/>
          <w:color w:val="0E2A35"/>
        </w:rPr>
        <w:t>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Code of Conduct and Corporate Governance Documents</w:t>
      </w:r>
    </w:p>
    <w:p>
      <w:pPr>
        <w:spacing w:after="0" w:line="200" w:lineRule="exact"/>
        <w:rPr>
          <w:sz w:val="20"/>
          <w:szCs w:val="20"/>
          <w:color w:val="auto"/>
        </w:rPr>
      </w:pPr>
    </w:p>
    <w:p>
      <w:pPr>
        <w:ind w:left="860" w:right="1060"/>
        <w:spacing w:after="0" w:line="260" w:lineRule="auto"/>
        <w:rPr>
          <w:sz w:val="20"/>
          <w:szCs w:val="20"/>
          <w:color w:val="auto"/>
        </w:rPr>
      </w:pPr>
      <w:r>
        <w:rPr>
          <w:rFonts w:ascii="Arial" w:cs="Arial" w:eastAsia="Arial" w:hAnsi="Arial"/>
          <w:sz w:val="16"/>
          <w:szCs w:val="16"/>
          <w:color w:val="0E2A35"/>
        </w:rPr>
        <w:t>We have adopted a Code of Conduct applicable to all of our directors, officers, employees and business partners. A copy of the Code of Conduct is available on our website.</w:t>
      </w:r>
    </w:p>
    <w:p>
      <w:pPr>
        <w:spacing w:after="0" w:line="155"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In April 2020, we published our inaugural human rights policy. This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w:t>
      </w:r>
    </w:p>
    <w:p>
      <w:pPr>
        <w:spacing w:after="0" w:line="174"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 xml:space="preserve">Our Code of Conduct, human rights policy, committee charters, and other governance documents are available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This website and the materials available through it are not incorporated by reference into this proxy statement.</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Policy on Transactions with Related Persons</w:t>
      </w:r>
    </w:p>
    <w:p>
      <w:pPr>
        <w:spacing w:after="0" w:line="200"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We have adopted a written policy for review of transactions involving more than $120,000 in any calendar year in which Winnebago Industries is a participant and in which any executive officer, director, nominee for director, greater than 5% shareholder or any immediate family member of any of these persons has a direct or indirect material interest. Our Nominating and Governance Committee must review and approve any such transaction before it is entered into, except that the Human Resources Committee reviews and approves the compensation of any 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w:t>
      </w:r>
    </w:p>
    <w:p>
      <w:pPr>
        <w:spacing w:after="0" w:line="167"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In determining whether to approve or ratify any potential related-party transaction, the Nominating and Governance Committee considers the relevant facts and circumstances, including (if applicable) but not limited to:</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16</w:t>
            </w:r>
          </w:p>
        </w:tc>
      </w:tr>
      <w:tr>
        <w:trPr>
          <w:trHeight w:val="252"/>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1" w:name="page22"/>
    <w:bookmarkEnd w:id="2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860" w:right="960"/>
        <w:spacing w:after="0" w:line="246" w:lineRule="auto"/>
        <w:rPr>
          <w:sz w:val="20"/>
          <w:szCs w:val="20"/>
          <w:color w:val="auto"/>
        </w:rPr>
      </w:pPr>
      <w:r>
        <w:rPr>
          <w:rFonts w:ascii="Arial" w:cs="Arial" w:eastAsia="Arial" w:hAnsi="Arial"/>
          <w:sz w:val="16"/>
          <w:szCs w:val="16"/>
          <w:color w:val="0E2A35"/>
        </w:rPr>
        <w:t>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w:t>
      </w:r>
    </w:p>
    <w:p>
      <w:pPr>
        <w:spacing w:after="0" w:line="1" w:lineRule="exact"/>
        <w:rPr>
          <w:sz w:val="20"/>
          <w:szCs w:val="20"/>
          <w:color w:val="auto"/>
        </w:rPr>
      </w:pPr>
    </w:p>
    <w:p>
      <w:pPr>
        <w:ind w:left="860" w:right="1340"/>
        <w:spacing w:after="0" w:line="260" w:lineRule="auto"/>
        <w:rPr>
          <w:sz w:val="20"/>
          <w:szCs w:val="20"/>
          <w:color w:val="auto"/>
        </w:rPr>
      </w:pPr>
      <w:r>
        <w:rPr>
          <w:rFonts w:ascii="Arial" w:cs="Arial" w:eastAsia="Arial" w:hAnsi="Arial"/>
          <w:sz w:val="16"/>
          <w:szCs w:val="16"/>
          <w:color w:val="0E2A35"/>
        </w:rPr>
        <w:t>The committee will not approve any related person transaction that is inconsistent with the interests of the Company and its shareholders.</w:t>
      </w:r>
    </w:p>
    <w:p>
      <w:pPr>
        <w:spacing w:after="0" w:line="27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During fiscal 2021, the only related party transactions involved Donald Clark, one of our executive officers, and the brother-in-law</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of Matthew Miller, who served as an executive officer during fiscal 2021. Mr. Clark has a 20% ownership interest in Three Oaks,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LLC (Three Oaks), an entity which owns certain land and buildings that Grand Design RV, LLC (Grand Design) leases in order to</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operate its business. Grand Design paid $900,000 to Three Oaks under its existing lease with Three Oaks, which was entered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into on October 2, 2016 and amended on October 4, 2019. In addition, Mr. Clark held equity interests in Barletta Boat Company,</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LLC and Three Limes, LLC (together, Barletta), which the Company acquired in August 2021. The Company paid approximately</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$255,000,000 as an upfront payment for Barletta, consisting of $230,000,000 of cash and $25,000,000 of the Company's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common stock. The purchase agreement also provides for contingent consideration of up to $50,000,000 in cash and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$15,000,000 in the Company's common stock based on achievement of certain financial performance metrics over the next few</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years. Mr. Clark also entered into a lock-up letter agreement pursuant to which he has agreed that for one year from closing, he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will not transfer his shares of the Company's common stock, and he entered into a standstill agreement that prohibits him from</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taking any hostile actions with respect to the Company. Mr. Clark is entitled to approximately 24% of the total net proceeds from</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sale of Barletta, except that Mr. Clark is not entitled to any portion of the $50,000,000 contingent cash consideration. Although</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Mr. Clark is a member of the Company's executive leadership team, he was excluded from the Company's initial consideration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and proposal to acquire Barletta and did not participate in negotiation of the purchase agreement. Mr. Miller’s brother-in-law owns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John Mast Construction, a construction business that provided services to Newmar during fiscal 2021. The construction services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provided by John Mast Construction were for a construction project that was underway at the time of our acquisition of Newmar.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 fiscal 2021, the Company paid a total of $524,378 to John Mast Construction for these construction services. Each of these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transactions with Three Oaks, Barletta and John Mast Construction was approved or ratified by the Nominating and Governance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Committee.</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Communications with Directors</w:t>
      </w:r>
    </w:p>
    <w:p>
      <w:pPr>
        <w:spacing w:after="0" w:line="200" w:lineRule="exact"/>
        <w:rPr>
          <w:sz w:val="20"/>
          <w:szCs w:val="20"/>
          <w:color w:val="auto"/>
        </w:rPr>
      </w:pPr>
    </w:p>
    <w:p>
      <w:pPr>
        <w:ind w:left="860" w:right="880"/>
        <w:spacing w:after="0" w:line="247" w:lineRule="auto"/>
        <w:rPr>
          <w:sz w:val="20"/>
          <w:szCs w:val="20"/>
          <w:color w:val="auto"/>
        </w:rPr>
      </w:pPr>
      <w:r>
        <w:rPr>
          <w:rFonts w:ascii="Arial" w:cs="Arial" w:eastAsia="Arial" w:hAnsi="Arial"/>
          <w:sz w:val="16"/>
          <w:szCs w:val="16"/>
          <w:color w:val="0E2A35"/>
        </w:rPr>
        <w:t>Shareholders and other interested parties seeking to communicate with our directors or a particular director may write to: Winnebago Industries, Inc., Attn: Senior Vice President, General Counsel, Secretary and Corporate Responsibility, 13200 Pioneer Trail, Suite 150, Eden Prairie, MN 55347 or email: SLBogart@winnebagoind.com. All communications must be accompanied by the following information: (a) if the person submitting the communication is a shareholder, a statement of the number of shares of common stock that the person holds; (ii) if the person submitting the communication is not a shareholder and is submitting the communication to the non-employee directors as an interested party, the nature of the person’s interest in the Company; (iii) any special interest, meaning an interest not in the capacity of a shareholder, of the person in the subject matter of the communication; and (iv) the address, telephone number and e-mail address, if any, of the person submitting the communication. All communications received from shareholders and other interested parties will be reviewed by the Senior Vice President, General Counsel, Secretary and Corporate Responsibility, or such other person designated by all non-employee directors of the Board, and if they are relevant and appropriate, they will be forwarded to the Board Chair or applicable Board member or members as soon as reasonably practicable.</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Anti-Hedging and Anti-Pledging Policy</w:t>
      </w:r>
    </w:p>
    <w:p>
      <w:pPr>
        <w:spacing w:after="0" w:line="200"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We adopted a policy that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These restrictions also apply to family members of employees and directors and anyone designated to engage in securities transactions on their behalf.</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17</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2" w:name="page23"/>
    <w:bookmarkEnd w:id="2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Proposal 1 – Election of Directors</w:t>
      </w:r>
    </w:p>
    <w:p>
      <w:pPr>
        <w:spacing w:after="0" w:line="224" w:lineRule="exact"/>
        <w:rPr>
          <w:sz w:val="20"/>
          <w:szCs w:val="20"/>
          <w:color w:val="auto"/>
        </w:rPr>
      </w:pPr>
    </w:p>
    <w:p>
      <w:pPr>
        <w:jc w:val="both"/>
        <w:ind w:left="860" w:right="920"/>
        <w:spacing w:after="0" w:line="253" w:lineRule="auto"/>
        <w:rPr>
          <w:sz w:val="20"/>
          <w:szCs w:val="20"/>
          <w:color w:val="auto"/>
        </w:rPr>
      </w:pPr>
      <w:r>
        <w:rPr>
          <w:rFonts w:ascii="Arial" w:cs="Arial" w:eastAsia="Arial" w:hAnsi="Arial"/>
          <w:sz w:val="16"/>
          <w:szCs w:val="16"/>
          <w:color w:val="0E2A35"/>
        </w:rPr>
        <w:t>Our bylaws provide that our Board is comprised of between three and fifteen directors. Ms. Jacqueline D. Woods was elected as a Class I director and Mr. Kevin E. Bryant was elected as a Class II director at a regular meeting of the Board on March 17, 2021, at which time the size of the Board was increased to eleven.</w:t>
      </w:r>
    </w:p>
    <w:p>
      <w:pPr>
        <w:spacing w:after="0" w:line="161"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w:t>
      </w:r>
    </w:p>
    <w:p>
      <w:pPr>
        <w:spacing w:after="0" w:line="181"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Based on the recommendation of the Nominating and Governance Committee, our Board has nominated Ms. Maria F. Blase, Mr. Christopher J. Braun, Mr. David W. Miles and Ms. Woods for election to serve as Class I directors for three-year terms expiring at the annual meeting following fiscal 2024 and Mr. Bryant for election to serve as a Class II director for a one-year term expiring at the annual meeting following fiscal 2022 to coincide with the expiration of the term of the other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33020</wp:posOffset>
            </wp:positionV>
            <wp:extent cx="5074920" cy="565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74920" cy="565785"/>
                    </a:xfrm>
                    <a:prstGeom prst="rect">
                      <a:avLst/>
                    </a:prstGeom>
                    <a:noFill/>
                  </pic:spPr>
                </pic:pic>
              </a:graphicData>
            </a:graphic>
          </wp:anchor>
        </w:drawing>
      </w:r>
    </w:p>
    <w:p>
      <w:pPr>
        <w:spacing w:after="0" w:line="288" w:lineRule="exact"/>
        <w:rPr>
          <w:sz w:val="20"/>
          <w:szCs w:val="20"/>
          <w:color w:val="auto"/>
        </w:rPr>
      </w:pPr>
    </w:p>
    <w:p>
      <w:pPr>
        <w:ind w:left="2340" w:right="1720" w:hanging="616"/>
        <w:spacing w:after="0" w:line="182" w:lineRule="auto"/>
        <w:tabs>
          <w:tab w:leader="none" w:pos="2340" w:val="left"/>
        </w:tabs>
        <w:numPr>
          <w:ilvl w:val="0"/>
          <w:numId w:val="12"/>
        </w:numPr>
        <w:rPr>
          <w:rFonts w:ascii="MS PGothic" w:cs="MS PGothic" w:eastAsia="MS PGothic" w:hAnsi="MS PGothic"/>
          <w:sz w:val="42"/>
          <w:szCs w:val="42"/>
          <w:color w:val="FFFFFF"/>
        </w:rPr>
      </w:pPr>
      <w:r>
        <w:rPr>
          <w:rFonts w:ascii="Arial" w:cs="Arial" w:eastAsia="Arial" w:hAnsi="Arial"/>
          <w:sz w:val="18"/>
          <w:szCs w:val="18"/>
          <w:b w:val="1"/>
          <w:bCs w:val="1"/>
          <w:color w:val="FFFFFF"/>
        </w:rPr>
        <w:t>YOUR BOARD OF DIRECTORS UNANIMOUSLY RECOMMENDS THAT YOU VOTE FOR THE ELECTION OF THE DIRECTOR NOMINEES.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3" w:name="page24"/>
    <w:bookmarkEnd w:id="2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 Nominees - Class I (Term Ending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158750</wp:posOffset>
            </wp:positionV>
            <wp:extent cx="5897880" cy="28460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97880" cy="28460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Maria F. Blase</w:t>
      </w:r>
    </w:p>
    <w:p>
      <w:pPr>
        <w:spacing w:after="0" w:line="10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54</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FFFFFF"/>
        </w:rPr>
        <w:t xml:space="preserve">Director since </w:t>
      </w:r>
      <w:r>
        <w:rPr>
          <w:rFonts w:ascii="Arial" w:cs="Arial" w:eastAsia="Arial" w:hAnsi="Arial"/>
          <w:sz w:val="12"/>
          <w:szCs w:val="12"/>
          <w:color w:val="FFFFFF"/>
        </w:rPr>
        <w:t>2018</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w:t>
      </w:r>
    </w:p>
    <w:p>
      <w:pPr>
        <w:ind w:left="1180"/>
        <w:spacing w:after="0"/>
        <w:rPr>
          <w:sz w:val="20"/>
          <w:szCs w:val="20"/>
          <w:color w:val="auto"/>
        </w:rPr>
      </w:pPr>
      <w:r>
        <w:rPr>
          <w:rFonts w:ascii="Arial" w:cs="Arial" w:eastAsia="Arial" w:hAnsi="Arial"/>
          <w:sz w:val="13"/>
          <w:szCs w:val="13"/>
          <w:color w:val="FFFFFF"/>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4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74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1740" w:type="dxa"/>
            <w:vAlign w:val="bottom"/>
          </w:tcPr>
          <w:p>
            <w:pPr>
              <w:ind w:left="180"/>
              <w:spacing w:after="0"/>
              <w:rPr>
                <w:sz w:val="20"/>
                <w:szCs w:val="20"/>
                <w:color w:val="auto"/>
              </w:rPr>
            </w:pPr>
            <w:r>
              <w:rPr>
                <w:rFonts w:ascii="Arial" w:cs="Arial" w:eastAsia="Arial" w:hAnsi="Arial"/>
                <w:sz w:val="16"/>
                <w:szCs w:val="16"/>
                <w:color w:val="0E2A35"/>
              </w:rPr>
              <w:t>Executive Leadership</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740" w:type="dxa"/>
            <w:vAlign w:val="bottom"/>
          </w:tcPr>
          <w:p>
            <w:pPr>
              <w:ind w:left="180"/>
              <w:spacing w:after="0"/>
              <w:rPr>
                <w:sz w:val="20"/>
                <w:szCs w:val="20"/>
                <w:color w:val="auto"/>
              </w:rPr>
            </w:pPr>
            <w:r>
              <w:rPr>
                <w:rFonts w:ascii="Arial" w:cs="Arial" w:eastAsia="Arial" w:hAnsi="Arial"/>
                <w:sz w:val="16"/>
                <w:szCs w:val="16"/>
                <w:color w:val="0E2A35"/>
              </w:rPr>
              <w:t>Financial/Capital Allocation</w:t>
            </w:r>
          </w:p>
        </w:tc>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1740" w:type="dxa"/>
            <w:vAlign w:val="bottom"/>
          </w:tcPr>
          <w:p>
            <w:pPr>
              <w:ind w:left="180"/>
              <w:spacing w:after="0"/>
              <w:rPr>
                <w:sz w:val="20"/>
                <w:szCs w:val="20"/>
                <w:color w:val="auto"/>
              </w:rPr>
            </w:pPr>
            <w:r>
              <w:rPr>
                <w:rFonts w:ascii="Arial" w:cs="Arial" w:eastAsia="Arial" w:hAnsi="Arial"/>
                <w:sz w:val="16"/>
                <w:szCs w:val="16"/>
                <w:color w:val="0E2A35"/>
              </w:rPr>
              <w:t>Risk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740" w:type="dxa"/>
            <w:vAlign w:val="bottom"/>
          </w:tcPr>
          <w:p>
            <w:pPr>
              <w:ind w:left="180"/>
              <w:spacing w:after="0"/>
              <w:rPr>
                <w:sz w:val="20"/>
                <w:szCs w:val="20"/>
                <w:color w:val="auto"/>
              </w:rPr>
            </w:pPr>
            <w:r>
              <w:rPr>
                <w:rFonts w:ascii="Arial" w:cs="Arial" w:eastAsia="Arial" w:hAnsi="Arial"/>
                <w:sz w:val="16"/>
                <w:szCs w:val="16"/>
                <w:color w:val="0E2A35"/>
              </w:rPr>
              <w:t>Diversity and Inclusion Strategy</w:t>
            </w:r>
          </w:p>
        </w:tc>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1740" w:type="dxa"/>
            <w:vAlign w:val="bottom"/>
          </w:tcPr>
          <w:p>
            <w:pPr>
              <w:ind w:left="180"/>
              <w:spacing w:after="0"/>
              <w:rPr>
                <w:sz w:val="20"/>
                <w:szCs w:val="20"/>
                <w:color w:val="auto"/>
              </w:rPr>
            </w:pPr>
            <w:r>
              <w:rPr>
                <w:rFonts w:ascii="Arial" w:cs="Arial" w:eastAsia="Arial" w:hAnsi="Arial"/>
                <w:sz w:val="16"/>
                <w:szCs w:val="16"/>
                <w:color w:val="0E2A35"/>
              </w:rPr>
              <w:t>Global Experience</w:t>
            </w:r>
          </w:p>
        </w:tc>
      </w:tr>
    </w:tbl>
    <w:p>
      <w:pPr>
        <w:spacing w:after="0" w:line="129" w:lineRule="exact"/>
        <w:rPr>
          <w:sz w:val="20"/>
          <w:szCs w:val="20"/>
          <w:color w:val="auto"/>
        </w:rPr>
      </w:pPr>
    </w:p>
    <w:p>
      <w:pPr>
        <w:ind w:left="680" w:hanging="404"/>
        <w:spacing w:after="0"/>
        <w:tabs>
          <w:tab w:leader="none" w:pos="680" w:val="left"/>
        </w:tabs>
        <w:numPr>
          <w:ilvl w:val="0"/>
          <w:numId w:val="13"/>
        </w:numPr>
        <w:rPr>
          <w:rFonts w:ascii="Arial" w:cs="Arial" w:eastAsia="Arial" w:hAnsi="Arial"/>
          <w:sz w:val="16"/>
          <w:szCs w:val="16"/>
          <w:color w:val="0E2A35"/>
        </w:rPr>
      </w:pPr>
      <w:r>
        <w:rPr>
          <w:rFonts w:ascii="Arial" w:cs="Arial" w:eastAsia="Arial" w:hAnsi="Arial"/>
          <w:sz w:val="16"/>
          <w:szCs w:val="16"/>
          <w:color w:val="0E2A35"/>
        </w:rPr>
        <w:t>Business Operations</w:t>
      </w:r>
    </w:p>
    <w:p>
      <w:pPr>
        <w:spacing w:after="0" w:line="316" w:lineRule="exact"/>
        <w:rPr>
          <w:sz w:val="20"/>
          <w:szCs w:val="20"/>
          <w:color w:val="auto"/>
        </w:rPr>
      </w:pPr>
    </w:p>
    <w:p>
      <w:pPr>
        <w:ind w:right="980"/>
        <w:spacing w:after="0" w:line="248" w:lineRule="auto"/>
        <w:rPr>
          <w:sz w:val="20"/>
          <w:szCs w:val="20"/>
          <w:color w:val="auto"/>
        </w:rPr>
      </w:pPr>
      <w:r>
        <w:rPr>
          <w:rFonts w:ascii="Arial" w:cs="Arial" w:eastAsia="Arial" w:hAnsi="Arial"/>
          <w:sz w:val="16"/>
          <w:szCs w:val="16"/>
          <w:color w:val="0E2A35"/>
        </w:rPr>
        <w:t>Ms. Blase has more than 28 years of experience with diverse industries, including transport, buildings, services, manufacturing, pharmaceuticals and mining. Most recently, Ms. Blase served as President of the Power Tools and Lifting businesses of Ingersoll Rand, a global industrial manufacturing company, from 2017 until her retirement in February 2021. After joining Ingersoll Rand in 1999, she was promoted to global financial roles of increasing importance, including Chief Financial Officer of the $8 billion Climate Solutions sector. In 2012, she was named President of the HVAC and Transport Latin America business of Ingersoll Rand.</w:t>
      </w:r>
    </w:p>
    <w:p>
      <w:pPr>
        <w:spacing w:after="0" w:line="181" w:lineRule="exact"/>
        <w:rPr>
          <w:sz w:val="20"/>
          <w:szCs w:val="20"/>
          <w:color w:val="auto"/>
        </w:rPr>
      </w:pPr>
    </w:p>
    <w:p>
      <w:pPr>
        <w:ind w:right="920"/>
        <w:spacing w:after="0" w:line="251" w:lineRule="auto"/>
        <w:rPr>
          <w:sz w:val="20"/>
          <w:szCs w:val="20"/>
          <w:color w:val="auto"/>
        </w:rPr>
      </w:pPr>
      <w:r>
        <w:rPr>
          <w:rFonts w:ascii="Arial" w:cs="Arial" w:eastAsia="Arial" w:hAnsi="Arial"/>
          <w:sz w:val="16"/>
          <w:szCs w:val="16"/>
          <w:color w:val="0E2A35"/>
        </w:rPr>
        <w:t>Ms. Blase is a CPA and her previous experience includes various positions at KPMG LLP from 1993 to 1999 in increasing scope and complexity. Ms. Blase brings to the Board extensive experience in international, strategic planning, acquisitions and driving business growth. The Board believes her financial and business expertise add valuable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178435</wp:posOffset>
            </wp:positionV>
            <wp:extent cx="5897880" cy="2486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97880" cy="24860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66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Christopher J.</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Braun</w:t>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61</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spacing w:after="0" w:line="259" w:lineRule="auto"/>
        <w:rPr>
          <w:sz w:val="20"/>
          <w:szCs w:val="20"/>
          <w:color w:val="auto"/>
        </w:rPr>
      </w:pPr>
      <w:r>
        <w:rPr>
          <w:rFonts w:ascii="Arial" w:cs="Arial" w:eastAsia="Arial" w:hAnsi="Arial"/>
          <w:sz w:val="12"/>
          <w:szCs w:val="12"/>
          <w:color w:val="FFFFFF"/>
        </w:rPr>
        <w:t>Human Resources Nominating and Governance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w w:val="99"/>
              </w:rPr>
              <w:t>Brand/Product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Business Operations</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Industry Expertise</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Dealer Channel Management</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Talent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Sales and Marketing</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Strategy</w:t>
            </w:r>
          </w:p>
        </w:tc>
      </w:tr>
    </w:tbl>
    <w:p>
      <w:pPr>
        <w:spacing w:after="0" w:line="305" w:lineRule="exact"/>
        <w:rPr>
          <w:sz w:val="20"/>
          <w:szCs w:val="20"/>
          <w:color w:val="auto"/>
        </w:rPr>
      </w:pPr>
    </w:p>
    <w:p>
      <w:pPr>
        <w:ind w:right="1000"/>
        <w:spacing w:after="0" w:line="248" w:lineRule="auto"/>
        <w:rPr>
          <w:sz w:val="20"/>
          <w:szCs w:val="20"/>
          <w:color w:val="auto"/>
        </w:rPr>
      </w:pPr>
      <w:r>
        <w:rPr>
          <w:rFonts w:ascii="Arial" w:cs="Arial" w:eastAsia="Arial" w:hAnsi="Arial"/>
          <w:sz w:val="16"/>
          <w:szCs w:val="16"/>
          <w:color w:val="0E2A35"/>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Corporation,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19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4" w:name="page25"/>
    <w:bookmarkEnd w:id="2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143510</wp:posOffset>
            </wp:positionV>
            <wp:extent cx="5897880" cy="3086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97880" cy="308610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David W. Miles</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64</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Business Ethics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Technology</w:t>
            </w:r>
          </w:p>
        </w:tc>
      </w:tr>
    </w:tbl>
    <w:p>
      <w:pPr>
        <w:spacing w:after="0" w:line="129" w:lineRule="exact"/>
        <w:rPr>
          <w:sz w:val="20"/>
          <w:szCs w:val="20"/>
          <w:color w:val="auto"/>
        </w:rPr>
      </w:pPr>
    </w:p>
    <w:p>
      <w:pPr>
        <w:ind w:left="680" w:hanging="404"/>
        <w:spacing w:after="0"/>
        <w:tabs>
          <w:tab w:leader="none" w:pos="680" w:val="left"/>
        </w:tabs>
        <w:numPr>
          <w:ilvl w:val="0"/>
          <w:numId w:val="14"/>
        </w:numPr>
        <w:rPr>
          <w:rFonts w:ascii="Arial" w:cs="Arial" w:eastAsia="Arial" w:hAnsi="Arial"/>
          <w:sz w:val="16"/>
          <w:szCs w:val="16"/>
          <w:color w:val="0E2A35"/>
        </w:rPr>
      </w:pPr>
      <w:r>
        <w:rPr>
          <w:rFonts w:ascii="Arial" w:cs="Arial" w:eastAsia="Arial" w:hAnsi="Arial"/>
          <w:sz w:val="16"/>
          <w:szCs w:val="16"/>
          <w:color w:val="0E2A35"/>
        </w:rPr>
        <w:t>Financial/Capital Allocation</w:t>
      </w:r>
    </w:p>
    <w:p>
      <w:pPr>
        <w:spacing w:after="0" w:line="316" w:lineRule="exact"/>
        <w:rPr>
          <w:sz w:val="20"/>
          <w:szCs w:val="20"/>
          <w:color w:val="auto"/>
        </w:rPr>
      </w:pPr>
    </w:p>
    <w:p>
      <w:pPr>
        <w:ind w:right="940"/>
        <w:spacing w:after="0" w:line="247" w:lineRule="auto"/>
        <w:rPr>
          <w:sz w:val="20"/>
          <w:szCs w:val="20"/>
          <w:color w:val="auto"/>
        </w:rPr>
      </w:pPr>
      <w:r>
        <w:rPr>
          <w:rFonts w:ascii="Arial" w:cs="Arial" w:eastAsia="Arial" w:hAnsi="Arial"/>
          <w:sz w:val="16"/>
          <w:szCs w:val="16"/>
          <w:color w:val="0E2A35"/>
        </w:rPr>
        <w:t>David W. Miles, a financial adviser, entrepreneur and investor, was elected as Chairman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&amp; endowments, and high net worth investors, where he worked for over twenty-three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 $30 billion. Mr. Miles brings legal and investment transaction experience to the Board. He also brings significant expertise in financial reporting and capital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493395</wp:posOffset>
            </wp:positionV>
            <wp:extent cx="5897880" cy="3480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97880" cy="3480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62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Jacqueline D.</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Woods</w:t>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59</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spacing w:after="0" w:line="259" w:lineRule="auto"/>
        <w:rPr>
          <w:sz w:val="20"/>
          <w:szCs w:val="20"/>
          <w:color w:val="auto"/>
        </w:rPr>
      </w:pPr>
      <w:r>
        <w:rPr>
          <w:rFonts w:ascii="Arial" w:cs="Arial" w:eastAsia="Arial" w:hAnsi="Arial"/>
          <w:sz w:val="12"/>
          <w:szCs w:val="12"/>
          <w:color w:val="FFFFFF"/>
        </w:rPr>
        <w:t>Human Resources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2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Brand/Product Management</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1500" w:type="dxa"/>
            <w:vAlign w:val="bottom"/>
          </w:tcPr>
          <w:p>
            <w:pPr>
              <w:ind w:left="180"/>
              <w:spacing w:after="0"/>
              <w:rPr>
                <w:sz w:val="20"/>
                <w:szCs w:val="20"/>
                <w:color w:val="auto"/>
              </w:rPr>
            </w:pPr>
            <w:r>
              <w:rPr>
                <w:rFonts w:ascii="Arial" w:cs="Arial" w:eastAsia="Arial" w:hAnsi="Arial"/>
                <w:sz w:val="16"/>
                <w:szCs w:val="16"/>
                <w:color w:val="0E2A35"/>
              </w:rPr>
              <w:t>Strategy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1500" w:type="dxa"/>
            <w:vAlign w:val="bottom"/>
          </w:tcPr>
          <w:p>
            <w:pPr>
              <w:ind w:left="180"/>
              <w:spacing w:after="0"/>
              <w:rPr>
                <w:sz w:val="20"/>
                <w:szCs w:val="20"/>
                <w:color w:val="auto"/>
              </w:rPr>
            </w:pPr>
            <w:r>
              <w:rPr>
                <w:rFonts w:ascii="Arial" w:cs="Arial" w:eastAsia="Arial" w:hAnsi="Arial"/>
                <w:sz w:val="16"/>
                <w:szCs w:val="16"/>
                <w:color w:val="0E2A35"/>
              </w:rPr>
              <w:t>Technology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1500" w:type="dxa"/>
            <w:vAlign w:val="bottom"/>
          </w:tcPr>
          <w:p>
            <w:pPr>
              <w:ind w:left="180"/>
              <w:spacing w:after="0"/>
              <w:rPr>
                <w:sz w:val="20"/>
                <w:szCs w:val="20"/>
                <w:color w:val="auto"/>
              </w:rPr>
            </w:pPr>
            <w:r>
              <w:rPr>
                <w:rFonts w:ascii="Arial" w:cs="Arial" w:eastAsia="Arial" w:hAnsi="Arial"/>
                <w:sz w:val="16"/>
                <w:szCs w:val="16"/>
                <w:color w:val="0E2A35"/>
                <w:w w:val="99"/>
              </w:rPr>
              <w:t>Global Experience</w:t>
            </w:r>
          </w:p>
        </w:tc>
      </w:tr>
    </w:tbl>
    <w:p>
      <w:pPr>
        <w:spacing w:after="0" w:line="305" w:lineRule="exact"/>
        <w:rPr>
          <w:sz w:val="20"/>
          <w:szCs w:val="20"/>
          <w:color w:val="auto"/>
        </w:rPr>
      </w:pPr>
    </w:p>
    <w:p>
      <w:pPr>
        <w:ind w:right="960"/>
        <w:spacing w:after="0" w:line="251" w:lineRule="auto"/>
        <w:rPr>
          <w:sz w:val="20"/>
          <w:szCs w:val="20"/>
          <w:color w:val="auto"/>
        </w:rPr>
      </w:pPr>
      <w:r>
        <w:rPr>
          <w:rFonts w:ascii="Arial" w:cs="Arial" w:eastAsia="Arial" w:hAnsi="Arial"/>
          <w:sz w:val="16"/>
          <w:szCs w:val="16"/>
          <w:color w:val="0E2A35"/>
        </w:rPr>
        <w:t>Jacqueline D. Woods is the Chief Marketing and Communications Officer at NielsenIQ, an industry leader in global measurement and data analytics, where she is leading the effort to help accelerate its transformation and extend its leadership position in consumer intelligence, market share measurement, e-commerce and omnichannel, a position she has held since November 2019.</w:t>
      </w:r>
    </w:p>
    <w:p>
      <w:pPr>
        <w:spacing w:after="0" w:line="175" w:lineRule="exact"/>
        <w:rPr>
          <w:sz w:val="20"/>
          <w:szCs w:val="20"/>
          <w:color w:val="auto"/>
        </w:rPr>
      </w:pPr>
    </w:p>
    <w:p>
      <w:pPr>
        <w:ind w:right="1180"/>
        <w:spacing w:after="0" w:line="250" w:lineRule="auto"/>
        <w:rPr>
          <w:sz w:val="20"/>
          <w:szCs w:val="20"/>
          <w:color w:val="auto"/>
        </w:rPr>
      </w:pPr>
      <w:r>
        <w:rPr>
          <w:rFonts w:ascii="Arial" w:cs="Arial" w:eastAsia="Arial" w:hAnsi="Arial"/>
          <w:sz w:val="16"/>
          <w:szCs w:val="16"/>
          <w:color w:val="0E2A35"/>
        </w:rPr>
        <w:t>Ms. Woods joined NielsenIQ from IBM, a multi-national technology corporation, where she held Chief Marketing Officer roles from 2010 to 2019, most recently as Chief Marketing Officer of the IBM Global Partner Ecosystem Division where she focused on cloud, data, AI, and SaaS technology strategies. Previously, she led strategy, marketing, communications, and offering management as the Chief Marketing Officer of IBM Global Financing.</w:t>
      </w:r>
    </w:p>
    <w:p>
      <w:pPr>
        <w:spacing w:after="0" w:line="176" w:lineRule="exact"/>
        <w:rPr>
          <w:sz w:val="20"/>
          <w:szCs w:val="20"/>
          <w:color w:val="auto"/>
        </w:rPr>
      </w:pPr>
    </w:p>
    <w:p>
      <w:pPr>
        <w:ind w:right="1240"/>
        <w:spacing w:after="0" w:line="253" w:lineRule="auto"/>
        <w:rPr>
          <w:sz w:val="20"/>
          <w:szCs w:val="20"/>
          <w:color w:val="auto"/>
        </w:rPr>
      </w:pPr>
      <w:r>
        <w:rPr>
          <w:rFonts w:ascii="Arial" w:cs="Arial" w:eastAsia="Arial" w:hAnsi="Arial"/>
          <w:sz w:val="16"/>
          <w:szCs w:val="16"/>
          <w:color w:val="0E2A35"/>
        </w:rPr>
        <w:t>As Global Vice President of IBM's Server Technology Division, Ms. Woods headed the “Infrastructure Matters” turnaround campaign. As Global Vice President of Oracle, she led their digital transformation, significantly increasing efficiencies and savings.</w:t>
      </w:r>
    </w:p>
    <w:p>
      <w:pPr>
        <w:spacing w:after="0" w:line="174" w:lineRule="exact"/>
        <w:rPr>
          <w:sz w:val="20"/>
          <w:szCs w:val="20"/>
          <w:color w:val="auto"/>
        </w:rPr>
      </w:pPr>
    </w:p>
    <w:p>
      <w:pPr>
        <w:ind w:right="1020"/>
        <w:spacing w:after="0" w:line="251" w:lineRule="auto"/>
        <w:rPr>
          <w:sz w:val="20"/>
          <w:szCs w:val="20"/>
          <w:color w:val="auto"/>
        </w:rPr>
      </w:pPr>
      <w:r>
        <w:rPr>
          <w:rFonts w:ascii="Arial" w:cs="Arial" w:eastAsia="Arial" w:hAnsi="Arial"/>
          <w:sz w:val="16"/>
          <w:szCs w:val="16"/>
          <w:color w:val="0E2A35"/>
        </w:rPr>
        <w:t>Ms. Woods serves on the Board of Trustees for Community Reinvestment Fund USA, a not-for-profit organization dedicated to improving communities through innovative financial solutions. She also serves on board of the Greater Fairfield County Foundation, Inc., a not-for-profit organization helping under-served communities in southern Connecticut.</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20</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5" w:name="page26"/>
    <w:bookmarkEnd w:id="2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 Nominee - Class II (Term Ending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193040</wp:posOffset>
            </wp:positionV>
            <wp:extent cx="5897880" cy="31203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97880" cy="31203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Kevin E. Bryant</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46</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w:t>
      </w:r>
    </w:p>
    <w:p>
      <w:pPr>
        <w:ind w:left="1180"/>
        <w:spacing w:after="0"/>
        <w:rPr>
          <w:sz w:val="20"/>
          <w:szCs w:val="20"/>
          <w:color w:val="auto"/>
        </w:rPr>
      </w:pPr>
      <w:r>
        <w:rPr>
          <w:rFonts w:ascii="Arial" w:cs="Arial" w:eastAsia="Arial" w:hAnsi="Arial"/>
          <w:sz w:val="13"/>
          <w:szCs w:val="13"/>
          <w:color w:val="FFFFFF"/>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4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9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4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900" w:type="dxa"/>
            <w:vAlign w:val="bottom"/>
          </w:tcPr>
          <w:p>
            <w:pPr>
              <w:ind w:left="680"/>
              <w:spacing w:after="0"/>
              <w:rPr>
                <w:sz w:val="20"/>
                <w:szCs w:val="20"/>
                <w:color w:val="auto"/>
              </w:rPr>
            </w:pPr>
            <w:r>
              <w:rPr>
                <w:rFonts w:ascii="Arial" w:cs="Arial" w:eastAsia="Arial" w:hAnsi="Arial"/>
                <w:sz w:val="16"/>
                <w:szCs w:val="16"/>
                <w:color w:val="0E2A35"/>
              </w:rPr>
              <w:t>•</w:t>
            </w:r>
          </w:p>
        </w:tc>
        <w:tc>
          <w:tcPr>
            <w:tcW w:w="216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40" w:type="dxa"/>
            <w:vAlign w:val="bottom"/>
          </w:tcPr>
          <w:p>
            <w:pPr>
              <w:ind w:left="180"/>
              <w:spacing w:after="0"/>
              <w:rPr>
                <w:sz w:val="20"/>
                <w:szCs w:val="20"/>
                <w:color w:val="auto"/>
              </w:rPr>
            </w:pPr>
            <w:r>
              <w:rPr>
                <w:rFonts w:ascii="Arial" w:cs="Arial" w:eastAsia="Arial" w:hAnsi="Arial"/>
                <w:sz w:val="16"/>
                <w:szCs w:val="16"/>
                <w:color w:val="0E2A35"/>
              </w:rPr>
              <w:t>Business Operations</w:t>
            </w:r>
          </w:p>
        </w:tc>
        <w:tc>
          <w:tcPr>
            <w:tcW w:w="900" w:type="dxa"/>
            <w:vAlign w:val="bottom"/>
          </w:tcPr>
          <w:p>
            <w:pPr>
              <w:ind w:left="680"/>
              <w:spacing w:after="0"/>
              <w:rPr>
                <w:sz w:val="20"/>
                <w:szCs w:val="20"/>
                <w:color w:val="auto"/>
              </w:rPr>
            </w:pPr>
            <w:r>
              <w:rPr>
                <w:rFonts w:ascii="Arial" w:cs="Arial" w:eastAsia="Arial" w:hAnsi="Arial"/>
                <w:sz w:val="16"/>
                <w:szCs w:val="16"/>
                <w:color w:val="0E2A35"/>
              </w:rPr>
              <w:t>•</w:t>
            </w:r>
          </w:p>
        </w:tc>
        <w:tc>
          <w:tcPr>
            <w:tcW w:w="2160" w:type="dxa"/>
            <w:vAlign w:val="bottom"/>
          </w:tcPr>
          <w:p>
            <w:pPr>
              <w:ind w:left="180"/>
              <w:spacing w:after="0"/>
              <w:rPr>
                <w:sz w:val="20"/>
                <w:szCs w:val="20"/>
                <w:color w:val="auto"/>
              </w:rPr>
            </w:pPr>
            <w:r>
              <w:rPr>
                <w:rFonts w:ascii="Arial" w:cs="Arial" w:eastAsia="Arial" w:hAnsi="Arial"/>
                <w:sz w:val="16"/>
                <w:szCs w:val="16"/>
                <w:color w:val="0E2A35"/>
              </w:rPr>
              <w:t>Quality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40" w:type="dxa"/>
            <w:vAlign w:val="bottom"/>
          </w:tcPr>
          <w:p>
            <w:pPr>
              <w:ind w:left="180"/>
              <w:spacing w:after="0"/>
              <w:rPr>
                <w:sz w:val="20"/>
                <w:szCs w:val="20"/>
                <w:color w:val="auto"/>
              </w:rPr>
            </w:pPr>
            <w:r>
              <w:rPr>
                <w:rFonts w:ascii="Arial" w:cs="Arial" w:eastAsia="Arial" w:hAnsi="Arial"/>
                <w:sz w:val="16"/>
                <w:szCs w:val="16"/>
                <w:color w:val="0E2A35"/>
              </w:rPr>
              <w:t>Lean</w:t>
            </w:r>
          </w:p>
        </w:tc>
        <w:tc>
          <w:tcPr>
            <w:tcW w:w="900" w:type="dxa"/>
            <w:vAlign w:val="bottom"/>
          </w:tcPr>
          <w:p>
            <w:pPr>
              <w:ind w:left="680"/>
              <w:spacing w:after="0"/>
              <w:rPr>
                <w:sz w:val="20"/>
                <w:szCs w:val="20"/>
                <w:color w:val="auto"/>
              </w:rPr>
            </w:pPr>
            <w:r>
              <w:rPr>
                <w:rFonts w:ascii="Arial" w:cs="Arial" w:eastAsia="Arial" w:hAnsi="Arial"/>
                <w:sz w:val="16"/>
                <w:szCs w:val="16"/>
                <w:color w:val="0E2A35"/>
              </w:rPr>
              <w:t>•</w:t>
            </w:r>
          </w:p>
        </w:tc>
        <w:tc>
          <w:tcPr>
            <w:tcW w:w="216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r>
    </w:tbl>
    <w:p>
      <w:pPr>
        <w:spacing w:after="0" w:line="305" w:lineRule="exact"/>
        <w:rPr>
          <w:sz w:val="20"/>
          <w:szCs w:val="20"/>
          <w:color w:val="auto"/>
        </w:rPr>
      </w:pPr>
    </w:p>
    <w:p>
      <w:pPr>
        <w:ind w:right="1360"/>
        <w:spacing w:after="0" w:line="250" w:lineRule="auto"/>
        <w:rPr>
          <w:sz w:val="20"/>
          <w:szCs w:val="20"/>
          <w:color w:val="auto"/>
        </w:rPr>
      </w:pPr>
      <w:r>
        <w:rPr>
          <w:rFonts w:ascii="Arial" w:cs="Arial" w:eastAsia="Arial" w:hAnsi="Arial"/>
          <w:sz w:val="16"/>
          <w:szCs w:val="16"/>
          <w:color w:val="0E2A35"/>
        </w:rPr>
        <w:t>Kevin E. Bryant is Executive Vice President and Chief Operating Officer of Evergy, a utility company, a position he has held since June 2018. In this role, Mr. Bryant has management responsibility for utility operations, including generation operations and generation services, transmission operations, transmission and delivery services, distribution operations, resource planning, safety and training.</w:t>
      </w:r>
    </w:p>
    <w:p>
      <w:pPr>
        <w:spacing w:after="0" w:line="176" w:lineRule="exact"/>
        <w:rPr>
          <w:sz w:val="20"/>
          <w:szCs w:val="20"/>
          <w:color w:val="auto"/>
        </w:rPr>
      </w:pPr>
    </w:p>
    <w:p>
      <w:pPr>
        <w:ind w:right="960"/>
        <w:spacing w:after="0" w:line="249" w:lineRule="auto"/>
        <w:rPr>
          <w:sz w:val="20"/>
          <w:szCs w:val="20"/>
          <w:color w:val="auto"/>
        </w:rPr>
      </w:pPr>
      <w:r>
        <w:rPr>
          <w:rFonts w:ascii="Arial" w:cs="Arial" w:eastAsia="Arial" w:hAnsi="Arial"/>
          <w:sz w:val="16"/>
          <w:szCs w:val="16"/>
          <w:color w:val="0E2A35"/>
        </w:rPr>
        <w:t>Since joining Kansas City Power &amp; Light (KCPL), an operating subsidiary of Evergy, in 2003, Mr. Bryant has held several positions that have drawn on his strategic insight and finance/marketing experience. Prior to his current position, Mr. Bryant served as Vice President of Strategic Planning, President of KLT, a subsidiary of Evergy, and Vice President of Investor Relations and Treasurer. He was named Executive Vice President Finance &amp; Strategy and Chief Financial Officer in 2015. Before joining KCPL, Mr. Bryant held roles at THQ, Inc., UBS and Hallmark Cards, Inc.</w:t>
      </w:r>
    </w:p>
    <w:p>
      <w:pPr>
        <w:spacing w:after="0" w:line="178" w:lineRule="exact"/>
        <w:rPr>
          <w:sz w:val="20"/>
          <w:szCs w:val="20"/>
          <w:color w:val="auto"/>
        </w:rPr>
      </w:pPr>
    </w:p>
    <w:p>
      <w:pPr>
        <w:ind w:right="920"/>
        <w:spacing w:after="0" w:line="253" w:lineRule="auto"/>
        <w:rPr>
          <w:sz w:val="20"/>
          <w:szCs w:val="20"/>
          <w:color w:val="auto"/>
        </w:rPr>
      </w:pPr>
      <w:r>
        <w:rPr>
          <w:rFonts w:ascii="Arial" w:cs="Arial" w:eastAsia="Arial" w:hAnsi="Arial"/>
          <w:sz w:val="16"/>
          <w:szCs w:val="16"/>
          <w:color w:val="0E2A35"/>
        </w:rPr>
        <w:t>Mr. Bryant also serves on the board of directors of the Boys &amp; Girls Club of Greater Kansas City. Mr. Bryant brings financial, operational, business development and energy platform expertise to the Company.</w:t>
      </w:r>
    </w:p>
    <w:p>
      <w:pPr>
        <w:spacing w:after="0" w:line="200" w:lineRule="exact"/>
        <w:rPr>
          <w:sz w:val="20"/>
          <w:szCs w:val="20"/>
          <w:color w:val="auto"/>
        </w:rPr>
      </w:pPr>
    </w:p>
    <w:p>
      <w:pPr>
        <w:sectPr>
          <w:pgSz w:w="11900" w:h="16838" w:orient="portrait"/>
          <w:cols w:equalWidth="0" w:num="2">
            <w:col w:w="2440" w:space="560"/>
            <w:col w:w="8020"/>
          </w:cols>
          <w:pgMar w:left="440" w:top="265" w:right="439" w:bottom="1440" w:gutter="0" w:footer="0" w:header="0"/>
          <w:type w:val="continuous"/>
        </w:sectPr>
      </w:pPr>
    </w:p>
    <w:p>
      <w:pPr>
        <w:spacing w:after="0" w:line="169"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Directors Continuing in Office - Class II (Term Ending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193040</wp:posOffset>
            </wp:positionV>
            <wp:extent cx="5897880" cy="28460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97880" cy="28460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Robert M. Chiusano</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70</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2008</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right="20"/>
        <w:spacing w:after="0" w:line="259" w:lineRule="auto"/>
        <w:rPr>
          <w:sz w:val="20"/>
          <w:szCs w:val="20"/>
          <w:color w:val="auto"/>
        </w:rPr>
      </w:pPr>
      <w:r>
        <w:rPr>
          <w:rFonts w:ascii="Arial" w:cs="Arial" w:eastAsia="Arial" w:hAnsi="Arial"/>
          <w:sz w:val="12"/>
          <w:szCs w:val="12"/>
          <w:color w:val="FFFFFF"/>
        </w:rPr>
        <w:t>Human Resources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2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Finance/Capital Allocation</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Talent Management</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Strategy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Business Operations</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Business Ethics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20" w:type="dxa"/>
            <w:vAlign w:val="bottom"/>
          </w:tcPr>
          <w:p>
            <w:pPr>
              <w:ind w:left="180"/>
              <w:spacing w:after="0"/>
              <w:rPr>
                <w:sz w:val="20"/>
                <w:szCs w:val="20"/>
                <w:color w:val="auto"/>
              </w:rPr>
            </w:pPr>
            <w:r>
              <w:rPr>
                <w:rFonts w:ascii="Arial" w:cs="Arial" w:eastAsia="Arial" w:hAnsi="Arial"/>
                <w:sz w:val="16"/>
                <w:szCs w:val="16"/>
                <w:color w:val="0E2A35"/>
              </w:rPr>
              <w:t>Brand/Product Management</w:t>
            </w:r>
          </w:p>
        </w:tc>
        <w:tc>
          <w:tcPr>
            <w:tcW w:w="620" w:type="dxa"/>
            <w:vAlign w:val="bottom"/>
          </w:tcPr>
          <w:p>
            <w:pPr>
              <w:ind w:left="400"/>
              <w:spacing w:after="0"/>
              <w:rPr>
                <w:sz w:val="20"/>
                <w:szCs w:val="20"/>
                <w:color w:val="auto"/>
              </w:rPr>
            </w:pPr>
            <w:r>
              <w:rPr>
                <w:rFonts w:ascii="Arial" w:cs="Arial" w:eastAsia="Arial" w:hAnsi="Arial"/>
                <w:sz w:val="16"/>
                <w:szCs w:val="16"/>
                <w:color w:val="0E2A35"/>
              </w:rPr>
              <w:t>•</w:t>
            </w:r>
          </w:p>
        </w:tc>
        <w:tc>
          <w:tcPr>
            <w:tcW w:w="2060" w:type="dxa"/>
            <w:vAlign w:val="bottom"/>
          </w:tcPr>
          <w:p>
            <w:pPr>
              <w:ind w:left="180"/>
              <w:spacing w:after="0"/>
              <w:rPr>
                <w:sz w:val="20"/>
                <w:szCs w:val="20"/>
                <w:color w:val="auto"/>
              </w:rPr>
            </w:pPr>
            <w:r>
              <w:rPr>
                <w:rFonts w:ascii="Arial" w:cs="Arial" w:eastAsia="Arial" w:hAnsi="Arial"/>
                <w:sz w:val="16"/>
                <w:szCs w:val="16"/>
                <w:color w:val="0E2A35"/>
              </w:rPr>
              <w:t>Academia/Education</w:t>
            </w:r>
          </w:p>
        </w:tc>
      </w:tr>
    </w:tbl>
    <w:p>
      <w:pPr>
        <w:spacing w:after="0" w:line="305" w:lineRule="exact"/>
        <w:rPr>
          <w:sz w:val="20"/>
          <w:szCs w:val="20"/>
          <w:color w:val="auto"/>
        </w:rPr>
      </w:pPr>
    </w:p>
    <w:p>
      <w:pPr>
        <w:ind w:right="980"/>
        <w:spacing w:after="0" w:line="247" w:lineRule="auto"/>
        <w:rPr>
          <w:sz w:val="20"/>
          <w:szCs w:val="20"/>
          <w:color w:val="auto"/>
        </w:rPr>
      </w:pPr>
      <w:r>
        <w:rPr>
          <w:rFonts w:ascii="Arial" w:cs="Arial" w:eastAsia="Arial" w:hAnsi="Arial"/>
          <w:sz w:val="16"/>
          <w:szCs w:val="16"/>
          <w:color w:val="0E2A35"/>
        </w:rPr>
        <w:t>Robert M. Chiusano has served as a principal in RMC Consulting, LLC, a company focused on leadership development and operational excellence, since 2007. Mr. Chiusano previously served as Executive Vice President and Special Assistant to the Chief Executive Officer and a former Executive Vice President and Chief Operating Officer of both the Government and Commercial Systems business segments of Rockwell Collins, Inc. Mr. Chiusano also served as an adjunct professor in the University of Iowa College of Engineering where he served from 2001 until 2018. Mr. Chiusano is a member of the Coe College Board of Trustees. As the former Chief Operating Officer of both Government and Commercial Systems of Rockwell Collins, Inc., Mr. Chiusano brings senior level business leadership and strategic planning skills and a strong operating background to the Board. As principal of RMC Consulting, LLC, he also brings leadership development and operational excellence skills to the Board. Mr. Chiusano served as our Chairman of the Board from 2016 to June 2019.</w:t>
      </w:r>
    </w:p>
    <w:p>
      <w:pPr>
        <w:spacing w:after="0" w:line="200" w:lineRule="exact"/>
        <w:rPr>
          <w:sz w:val="20"/>
          <w:szCs w:val="20"/>
          <w:color w:val="auto"/>
        </w:rPr>
      </w:pPr>
    </w:p>
    <w:p>
      <w:pPr>
        <w:sectPr>
          <w:pgSz w:w="11900" w:h="16838" w:orient="portrait"/>
          <w:cols w:equalWidth="0" w:num="2">
            <w:col w:w="2800" w:space="200"/>
            <w:col w:w="8020"/>
          </w:cols>
          <w:pgMar w:left="440" w:top="265" w:right="4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21</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6" w:name="page27"/>
    <w:bookmarkEnd w:id="2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9660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97880" cy="296608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Richard (Rick) D.</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Moss</w:t>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63</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 (Chair)</w:t>
      </w:r>
    </w:p>
    <w:p>
      <w:pPr>
        <w:ind w:left="1180"/>
        <w:spacing w:after="0"/>
        <w:rPr>
          <w:sz w:val="20"/>
          <w:szCs w:val="20"/>
          <w:color w:val="auto"/>
        </w:rPr>
      </w:pPr>
      <w:r>
        <w:rPr>
          <w:rFonts w:ascii="Arial" w:cs="Arial" w:eastAsia="Arial" w:hAnsi="Arial"/>
          <w:sz w:val="13"/>
          <w:szCs w:val="13"/>
          <w:color w:val="FFFFFF"/>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Financial Expertise/Literacy</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rPr>
              <w:t>Risk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Financial/Capital Allocation</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w w:val="99"/>
              </w:rPr>
              <w:t>Regulatory/Compliance</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rPr>
              <w:t>Technology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58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660" w:type="dxa"/>
            <w:vAlign w:val="bottom"/>
          </w:tcPr>
          <w:p>
            <w:pPr>
              <w:ind w:left="440"/>
              <w:spacing w:after="0"/>
              <w:rPr>
                <w:sz w:val="20"/>
                <w:szCs w:val="20"/>
                <w:color w:val="auto"/>
              </w:rPr>
            </w:pPr>
            <w:r>
              <w:rPr>
                <w:rFonts w:ascii="Arial" w:cs="Arial" w:eastAsia="Arial" w:hAnsi="Arial"/>
                <w:sz w:val="16"/>
                <w:szCs w:val="16"/>
                <w:color w:val="0E2A35"/>
              </w:rPr>
              <w:t>•</w:t>
            </w:r>
          </w:p>
        </w:tc>
        <w:tc>
          <w:tcPr>
            <w:tcW w:w="1860" w:type="dxa"/>
            <w:vAlign w:val="bottom"/>
          </w:tcPr>
          <w:p>
            <w:pPr>
              <w:ind w:left="180"/>
              <w:spacing w:after="0"/>
              <w:rPr>
                <w:sz w:val="20"/>
                <w:szCs w:val="20"/>
                <w:color w:val="auto"/>
              </w:rPr>
            </w:pPr>
            <w:r>
              <w:rPr>
                <w:rFonts w:ascii="Arial" w:cs="Arial" w:eastAsia="Arial" w:hAnsi="Arial"/>
                <w:sz w:val="16"/>
                <w:szCs w:val="16"/>
                <w:color w:val="0E2A35"/>
              </w:rPr>
              <w:t>Cyber Security</w:t>
            </w:r>
          </w:p>
        </w:tc>
      </w:tr>
    </w:tbl>
    <w:p>
      <w:pPr>
        <w:spacing w:after="0" w:line="305" w:lineRule="exact"/>
        <w:rPr>
          <w:sz w:val="20"/>
          <w:szCs w:val="20"/>
          <w:color w:val="auto"/>
        </w:rPr>
      </w:pPr>
    </w:p>
    <w:p>
      <w:pPr>
        <w:ind w:right="920"/>
        <w:spacing w:after="0" w:line="247" w:lineRule="auto"/>
        <w:rPr>
          <w:sz w:val="20"/>
          <w:szCs w:val="20"/>
          <w:color w:val="auto"/>
        </w:rPr>
      </w:pPr>
      <w:r>
        <w:rPr>
          <w:rFonts w:ascii="Arial" w:cs="Arial" w:eastAsia="Arial" w:hAnsi="Arial"/>
          <w:sz w:val="16"/>
          <w:szCs w:val="16"/>
          <w:color w:val="0E2A35"/>
        </w:rPr>
        <w:t>Richard (Rick) D. Moss most recently served as the Chief Financial Officer of Hanesbrands, Inc., a leading global basic apparel manufacturer, from 2011 until his retirement in December 2017. Mr. Moss joined Hanesbrands as Senior Vice President - Finance and Treasurer and had several roles increasing in scope and complexity prior to becoming Chief Financial Officer. Prior to his roles at Hanesbrands, Mr. Moss served as Chief Financial Officer of Chattem Inc., a consumer products company. Mr. Moss has been a director of Nature’s Sunshine Products, Inc. since May 2018 and Hydrofarm Holdings Group, Inc. since November 2020. Mr. Moss also serves on the board of two not-for-profit organizations, as a director for the Center for Creative Economy and as Chairman of the Board of Trustees of The Arts Council of Winston-Salem/Forsyth County. 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184785</wp:posOffset>
            </wp:positionV>
            <wp:extent cx="5897880" cy="3480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97880" cy="3480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44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John M. Murabito</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62</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spacing w:after="0" w:line="2" w:lineRule="exact"/>
        <w:rPr>
          <w:sz w:val="20"/>
          <w:szCs w:val="20"/>
          <w:color w:val="auto"/>
        </w:rPr>
      </w:pPr>
    </w:p>
    <w:p>
      <w:pPr>
        <w:ind w:left="1180"/>
        <w:spacing w:after="0" w:line="259" w:lineRule="auto"/>
        <w:rPr>
          <w:sz w:val="20"/>
          <w:szCs w:val="20"/>
          <w:color w:val="auto"/>
        </w:rPr>
      </w:pPr>
      <w:r>
        <w:rPr>
          <w:rFonts w:ascii="Arial" w:cs="Arial" w:eastAsia="Arial" w:hAnsi="Arial"/>
          <w:sz w:val="12"/>
          <w:szCs w:val="12"/>
          <w:color w:val="FFFFFF"/>
        </w:rPr>
        <w:t>Human Resources (Chair) Nominating and Governance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92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8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42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820" w:type="dxa"/>
            <w:vAlign w:val="bottom"/>
          </w:tcPr>
          <w:p>
            <w:pPr>
              <w:ind w:left="600"/>
              <w:spacing w:after="0"/>
              <w:rPr>
                <w:sz w:val="20"/>
                <w:szCs w:val="20"/>
                <w:color w:val="auto"/>
              </w:rPr>
            </w:pPr>
            <w:r>
              <w:rPr>
                <w:rFonts w:ascii="Arial" w:cs="Arial" w:eastAsia="Arial" w:hAnsi="Arial"/>
                <w:sz w:val="16"/>
                <w:szCs w:val="16"/>
                <w:color w:val="0E2A35"/>
              </w:rPr>
              <w:t>•</w:t>
            </w:r>
          </w:p>
        </w:tc>
        <w:tc>
          <w:tcPr>
            <w:tcW w:w="2460" w:type="dxa"/>
            <w:vAlign w:val="bottom"/>
          </w:tcPr>
          <w:p>
            <w:pPr>
              <w:ind w:left="180"/>
              <w:spacing w:after="0"/>
              <w:rPr>
                <w:sz w:val="20"/>
                <w:szCs w:val="20"/>
                <w:color w:val="auto"/>
              </w:rPr>
            </w:pPr>
            <w:r>
              <w:rPr>
                <w:rFonts w:ascii="Arial" w:cs="Arial" w:eastAsia="Arial" w:hAnsi="Arial"/>
                <w:sz w:val="16"/>
                <w:szCs w:val="16"/>
                <w:color w:val="0E2A35"/>
              </w:rPr>
              <w:t>Talent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420" w:type="dxa"/>
            <w:vAlign w:val="bottom"/>
          </w:tcPr>
          <w:p>
            <w:pPr>
              <w:ind w:left="180"/>
              <w:spacing w:after="0"/>
              <w:rPr>
                <w:sz w:val="20"/>
                <w:szCs w:val="20"/>
                <w:color w:val="auto"/>
              </w:rPr>
            </w:pPr>
            <w:r>
              <w:rPr>
                <w:rFonts w:ascii="Arial" w:cs="Arial" w:eastAsia="Arial" w:hAnsi="Arial"/>
                <w:sz w:val="16"/>
                <w:szCs w:val="16"/>
                <w:color w:val="0E2A35"/>
              </w:rPr>
              <w:t>Global Experience</w:t>
            </w:r>
          </w:p>
        </w:tc>
        <w:tc>
          <w:tcPr>
            <w:tcW w:w="820" w:type="dxa"/>
            <w:vAlign w:val="bottom"/>
          </w:tcPr>
          <w:p>
            <w:pPr>
              <w:ind w:left="600"/>
              <w:spacing w:after="0"/>
              <w:rPr>
                <w:sz w:val="20"/>
                <w:szCs w:val="20"/>
                <w:color w:val="auto"/>
              </w:rPr>
            </w:pPr>
            <w:r>
              <w:rPr>
                <w:rFonts w:ascii="Arial" w:cs="Arial" w:eastAsia="Arial" w:hAnsi="Arial"/>
                <w:sz w:val="16"/>
                <w:szCs w:val="16"/>
                <w:color w:val="0E2A35"/>
              </w:rPr>
              <w:t>•</w:t>
            </w:r>
          </w:p>
        </w:tc>
        <w:tc>
          <w:tcPr>
            <w:tcW w:w="2460" w:type="dxa"/>
            <w:vAlign w:val="bottom"/>
          </w:tcPr>
          <w:p>
            <w:pPr>
              <w:ind w:left="180"/>
              <w:spacing w:after="0"/>
              <w:rPr>
                <w:sz w:val="20"/>
                <w:szCs w:val="20"/>
                <w:color w:val="auto"/>
              </w:rPr>
            </w:pPr>
            <w:r>
              <w:rPr>
                <w:rFonts w:ascii="Arial" w:cs="Arial" w:eastAsia="Arial" w:hAnsi="Arial"/>
                <w:sz w:val="16"/>
                <w:szCs w:val="16"/>
                <w:color w:val="0E2A35"/>
              </w:rPr>
              <w:t>Business Ethics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42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c>
          <w:tcPr>
            <w:tcW w:w="820" w:type="dxa"/>
            <w:vAlign w:val="bottom"/>
          </w:tcPr>
          <w:p>
            <w:pPr>
              <w:ind w:left="600"/>
              <w:spacing w:after="0"/>
              <w:rPr>
                <w:sz w:val="20"/>
                <w:szCs w:val="20"/>
                <w:color w:val="auto"/>
              </w:rPr>
            </w:pPr>
            <w:r>
              <w:rPr>
                <w:rFonts w:ascii="Arial" w:cs="Arial" w:eastAsia="Arial" w:hAnsi="Arial"/>
                <w:sz w:val="16"/>
                <w:szCs w:val="16"/>
                <w:color w:val="0E2A35"/>
              </w:rPr>
              <w:t>•</w:t>
            </w:r>
          </w:p>
        </w:tc>
        <w:tc>
          <w:tcPr>
            <w:tcW w:w="2460" w:type="dxa"/>
            <w:vAlign w:val="bottom"/>
          </w:tcPr>
          <w:p>
            <w:pPr>
              <w:ind w:left="180"/>
              <w:spacing w:after="0"/>
              <w:rPr>
                <w:sz w:val="20"/>
                <w:szCs w:val="20"/>
                <w:color w:val="auto"/>
              </w:rPr>
            </w:pPr>
            <w:r>
              <w:rPr>
                <w:rFonts w:ascii="Arial" w:cs="Arial" w:eastAsia="Arial" w:hAnsi="Arial"/>
                <w:sz w:val="16"/>
                <w:szCs w:val="16"/>
                <w:color w:val="0E2A35"/>
              </w:rPr>
              <w:t>Diversity and Inclusion Strategy</w:t>
            </w:r>
          </w:p>
        </w:tc>
      </w:tr>
    </w:tbl>
    <w:p>
      <w:pPr>
        <w:spacing w:after="0" w:line="305" w:lineRule="exact"/>
        <w:rPr>
          <w:sz w:val="20"/>
          <w:szCs w:val="20"/>
          <w:color w:val="auto"/>
        </w:rPr>
      </w:pPr>
    </w:p>
    <w:p>
      <w:pPr>
        <w:ind w:right="960"/>
        <w:spacing w:after="0" w:line="246" w:lineRule="auto"/>
        <w:rPr>
          <w:sz w:val="20"/>
          <w:szCs w:val="20"/>
          <w:color w:val="auto"/>
        </w:rPr>
      </w:pPr>
      <w:r>
        <w:rPr>
          <w:rFonts w:ascii="Arial" w:cs="Arial" w:eastAsia="Arial" w:hAnsi="Arial"/>
          <w:sz w:val="16"/>
          <w:szCs w:val="16"/>
          <w:color w:val="0E2A35"/>
        </w:rPr>
        <w:t>John M. Murabito has served as Executive Vice President at Cigna Corporation, a global healthcare and insurance company, since joining the company in 2003. In his role as Chief Administrative Officer, he has oversight of Human Resources, Enterprise Marketing, Security and Aviation, and Diversity, Equity &amp; Inclusion, Civic Affairs, and the Cigna Foundation, of which he is the president. As the longest tenured member of the Enterprise Leadership Team, Mr. Murabito is particularly focused on senior leader talent development, strong succession processes, the increasingly important role DEI plays for colleagues, customers, and clients, alike, and ensuring a strategic connection between the Enterprise and Business Marketing teams. Prior to becoming Chief Administrative Officer, Mr. Murabito served as Cigna’s Chief Human Resources Officer for 18 years. Earlier in his career, he served as Senior Vice President of Human Resources and Corporate Services at Monsanto. His background includes nearly 40 years of extensive related experience with the Frito-Lay division of PepsiCo, Symbion, Inc., and The Trane Company. Mr. Murabito serves on the boards of the Human Resources Policy Association and the American Health Policy Institute and is Chair of the Board and a Fellow of the National Academy of Human Resources. He also chairs the Board of Trustees for his alma mater, Augustana College.</w:t>
      </w:r>
    </w:p>
    <w:p>
      <w:pPr>
        <w:spacing w:after="0" w:line="6" w:lineRule="exact"/>
        <w:rPr>
          <w:sz w:val="20"/>
          <w:szCs w:val="20"/>
          <w:color w:val="auto"/>
        </w:rPr>
      </w:pPr>
    </w:p>
    <w:p>
      <w:pPr>
        <w:ind w:right="1020"/>
        <w:spacing w:after="0" w:line="251" w:lineRule="auto"/>
        <w:rPr>
          <w:sz w:val="20"/>
          <w:szCs w:val="20"/>
          <w:color w:val="auto"/>
        </w:rPr>
      </w:pPr>
      <w:r>
        <w:rPr>
          <w:rFonts w:ascii="Arial" w:cs="Arial" w:eastAsia="Arial" w:hAnsi="Arial"/>
          <w:sz w:val="16"/>
          <w:szCs w:val="16"/>
          <w:color w:val="0E2A35"/>
        </w:rPr>
        <w:t>Mr. Murabito brings strong executive business leadership and talent management expertise to our Board as a senior executive of a Fortune 20 public company. He provides valuable insights on human capital, executive compensation, leadership development and succession planning to the Board.</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22</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7" w:name="page28"/>
    <w:bookmarkEnd w:id="2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284752"/>
        </w:rPr>
        <w:t>Directors Continuing in Office - Class III (Term Ending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158750</wp:posOffset>
            </wp:positionV>
            <wp:extent cx="5897880" cy="3000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97880" cy="300037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Sara E. Armbruster</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2019</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50</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Finance</w:t>
      </w:r>
    </w:p>
    <w:p>
      <w:pPr>
        <w:ind w:left="1180"/>
        <w:spacing w:after="0"/>
        <w:rPr>
          <w:sz w:val="20"/>
          <w:szCs w:val="20"/>
          <w:color w:val="auto"/>
        </w:rPr>
      </w:pPr>
      <w:r>
        <w:rPr>
          <w:rFonts w:ascii="Arial" w:cs="Arial" w:eastAsia="Arial" w:hAnsi="Arial"/>
          <w:sz w:val="13"/>
          <w:szCs w:val="13"/>
          <w:color w:val="FFFFFF"/>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Digital Transformation</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Technology</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w w:val="99"/>
              </w:rPr>
              <w:t>Brand/Product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Executive Leadership</w:t>
            </w:r>
          </w:p>
        </w:tc>
      </w:tr>
    </w:tbl>
    <w:p>
      <w:pPr>
        <w:spacing w:after="0" w:line="305" w:lineRule="exact"/>
        <w:rPr>
          <w:sz w:val="20"/>
          <w:szCs w:val="20"/>
          <w:color w:val="auto"/>
        </w:rPr>
      </w:pPr>
    </w:p>
    <w:p>
      <w:pPr>
        <w:ind w:right="960"/>
        <w:spacing w:after="0" w:line="247" w:lineRule="auto"/>
        <w:rPr>
          <w:sz w:val="20"/>
          <w:szCs w:val="20"/>
          <w:color w:val="auto"/>
        </w:rPr>
      </w:pPr>
      <w:r>
        <w:rPr>
          <w:rFonts w:ascii="Arial" w:cs="Arial" w:eastAsia="Arial" w:hAnsi="Arial"/>
          <w:sz w:val="16"/>
          <w:szCs w:val="16"/>
          <w:color w:val="0E2A35"/>
        </w:rPr>
        <w:t>Sara E. Armbruster is President and Chief Executive Officer of Steelcase Inc., a global office furniture manufacturer, and serves on the board of directors of Steelcase. Ms. Armbruster has held several leadership positions since joining Steelcase in 2007 as Vice President of Corporate Strategy, including as Vice President, Strategy, Research and Digital Transformation and most recently as Executive Vice President, a role she assumed in April 2021. In her roles, Ms. Armbruster oversaw Steelcase’s technology efforts and was responsible for advancing the embrace of digital technologies and for digital transformation of Steelcase. Ms. Armbruster also has had responsibility for a range of innovation activities, including global design research, the design and implementation of new business models, and the development of external growth opportunities, including acquisitions and partnerships.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184150</wp:posOffset>
            </wp:positionV>
            <wp:extent cx="5897880" cy="32918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97880" cy="32918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260"/>
            <w:col w:w="802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FFFFFF"/>
        </w:rPr>
        <w:t>William C. Fisher</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67</w:t>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FFFFFF"/>
        </w:rPr>
        <w:t>Committees:</w:t>
      </w:r>
    </w:p>
    <w:p>
      <w:pPr>
        <w:ind w:left="1180"/>
        <w:spacing w:after="0" w:line="219" w:lineRule="auto"/>
        <w:rPr>
          <w:sz w:val="20"/>
          <w:szCs w:val="20"/>
          <w:color w:val="auto"/>
        </w:rPr>
      </w:pPr>
      <w:r>
        <w:rPr>
          <w:rFonts w:ascii="Arial" w:cs="Arial" w:eastAsia="Arial" w:hAnsi="Arial"/>
          <w:sz w:val="13"/>
          <w:szCs w:val="13"/>
          <w:color w:val="FFFFFF"/>
        </w:rPr>
        <w:t>Audit</w:t>
      </w:r>
    </w:p>
    <w:p>
      <w:pPr>
        <w:ind w:left="1180"/>
        <w:spacing w:after="0" w:line="230" w:lineRule="auto"/>
        <w:rPr>
          <w:sz w:val="20"/>
          <w:szCs w:val="20"/>
          <w:color w:val="auto"/>
        </w:rPr>
      </w:pPr>
      <w:r>
        <w:rPr>
          <w:rFonts w:ascii="Arial" w:cs="Arial" w:eastAsia="Arial" w:hAnsi="Arial"/>
          <w:sz w:val="13"/>
          <w:szCs w:val="13"/>
          <w:color w:val="FFFFFF"/>
        </w:rPr>
        <w:t>Nominating and Governance (Chair)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Cyber Security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Corporate Governance</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Technology</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Dealer Channel Management</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660" w:type="dxa"/>
            <w:vAlign w:val="bottom"/>
          </w:tcPr>
          <w:p>
            <w:pPr>
              <w:ind w:left="180"/>
              <w:spacing w:after="0"/>
              <w:rPr>
                <w:sz w:val="20"/>
                <w:szCs w:val="20"/>
                <w:color w:val="auto"/>
              </w:rPr>
            </w:pPr>
            <w:r>
              <w:rPr>
                <w:rFonts w:ascii="Arial" w:cs="Arial" w:eastAsia="Arial" w:hAnsi="Arial"/>
                <w:sz w:val="16"/>
                <w:szCs w:val="16"/>
                <w:color w:val="0E2A35"/>
              </w:rPr>
              <w:t>Digital Transformation</w:t>
            </w:r>
          </w:p>
        </w:tc>
        <w:tc>
          <w:tcPr>
            <w:tcW w:w="580" w:type="dxa"/>
            <w:vAlign w:val="bottom"/>
          </w:tcPr>
          <w:p>
            <w:pPr>
              <w:ind w:left="360"/>
              <w:spacing w:after="0"/>
              <w:rPr>
                <w:sz w:val="20"/>
                <w:szCs w:val="20"/>
                <w:color w:val="auto"/>
              </w:rPr>
            </w:pPr>
            <w:r>
              <w:rPr>
                <w:rFonts w:ascii="Arial" w:cs="Arial" w:eastAsia="Arial" w:hAnsi="Arial"/>
                <w:sz w:val="16"/>
                <w:szCs w:val="16"/>
                <w:color w:val="0E2A35"/>
              </w:rPr>
              <w:t>•</w:t>
            </w:r>
          </w:p>
        </w:tc>
        <w:tc>
          <w:tcPr>
            <w:tcW w:w="1680" w:type="dxa"/>
            <w:vAlign w:val="bottom"/>
          </w:tcPr>
          <w:p>
            <w:pPr>
              <w:ind w:left="180"/>
              <w:spacing w:after="0"/>
              <w:rPr>
                <w:sz w:val="20"/>
                <w:szCs w:val="20"/>
                <w:color w:val="auto"/>
              </w:rPr>
            </w:pPr>
            <w:r>
              <w:rPr>
                <w:rFonts w:ascii="Arial" w:cs="Arial" w:eastAsia="Arial" w:hAnsi="Arial"/>
                <w:sz w:val="16"/>
                <w:szCs w:val="16"/>
                <w:color w:val="0E2A35"/>
              </w:rPr>
              <w:t>Customer Service</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920"/>
        <w:spacing w:after="0" w:line="247" w:lineRule="auto"/>
        <w:rPr>
          <w:sz w:val="20"/>
          <w:szCs w:val="20"/>
          <w:color w:val="auto"/>
        </w:rPr>
      </w:pPr>
      <w:r>
        <w:rPr>
          <w:rFonts w:ascii="Arial" w:cs="Arial" w:eastAsia="Arial" w:hAnsi="Arial"/>
          <w:sz w:val="16"/>
          <w:szCs w:val="16"/>
          <w:color w:val="0E2A35"/>
        </w:rPr>
        <w:t>William C. Fisher was the Chief Information Officer from 1999 until 2007 of Polaris Industries Inc., a manufacturer of power sports products. He was Vice President and Chief Information Officer from November 2007 until his retirement in February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Chief Information Officer at Polaris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200" w:lineRule="exact"/>
        <w:rPr>
          <w:sz w:val="20"/>
          <w:szCs w:val="20"/>
          <w:color w:val="auto"/>
        </w:rPr>
      </w:pPr>
    </w:p>
    <w:p>
      <w:pPr>
        <w:sectPr>
          <w:pgSz w:w="11900" w:h="16838" w:orient="portrait"/>
          <w:cols w:equalWidth="0" w:num="2">
            <w:col w:w="2780" w:space="220"/>
            <w:col w:w="8020"/>
          </w:cols>
          <w:pgMar w:left="440" w:top="265" w:right="43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3446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97880" cy="3446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Michael J. Happe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1914525</wp:posOffset>
            </wp:positionV>
            <wp:extent cx="146558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spacing w:after="0"/>
              <w:rPr>
                <w:sz w:val="20"/>
                <w:szCs w:val="20"/>
                <w:color w:val="auto"/>
              </w:rPr>
            </w:pPr>
            <w:r>
              <w:rPr>
                <w:rFonts w:ascii="Arial" w:cs="Arial" w:eastAsia="Arial" w:hAnsi="Arial"/>
                <w:sz w:val="16"/>
                <w:szCs w:val="16"/>
                <w:b w:val="1"/>
                <w:bCs w:val="1"/>
                <w:color w:val="0E2A35"/>
              </w:rPr>
              <w:t>Skills and Qualifications:</w:t>
            </w: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Executive Leadership</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Business Operations</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Strategy</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w w:val="99"/>
              </w:rPr>
              <w:t>Brand/Product Management</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Talent Management</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Sales and Marketing</w:t>
            </w:r>
          </w:p>
        </w:tc>
      </w:tr>
      <w:tr>
        <w:trPr>
          <w:trHeight w:val="324"/>
        </w:trPr>
        <w:tc>
          <w:tcPr>
            <w:tcW w:w="500" w:type="dxa"/>
            <w:vAlign w:val="bottom"/>
          </w:tcPr>
          <w:p>
            <w:pPr>
              <w:ind w:left="280"/>
              <w:spacing w:after="0"/>
              <w:rPr>
                <w:sz w:val="20"/>
                <w:szCs w:val="20"/>
                <w:color w:val="auto"/>
              </w:rPr>
            </w:pPr>
            <w:r>
              <w:rPr>
                <w:rFonts w:ascii="Arial" w:cs="Arial" w:eastAsia="Arial" w:hAnsi="Arial"/>
                <w:sz w:val="16"/>
                <w:szCs w:val="16"/>
                <w:color w:val="0E2A35"/>
              </w:rPr>
              <w:t>•</w:t>
            </w:r>
          </w:p>
        </w:tc>
        <w:tc>
          <w:tcPr>
            <w:tcW w:w="2380" w:type="dxa"/>
            <w:vAlign w:val="bottom"/>
          </w:tcPr>
          <w:p>
            <w:pPr>
              <w:ind w:left="180"/>
              <w:spacing w:after="0"/>
              <w:rPr>
                <w:sz w:val="20"/>
                <w:szCs w:val="20"/>
                <w:color w:val="auto"/>
              </w:rPr>
            </w:pPr>
            <w:r>
              <w:rPr>
                <w:rFonts w:ascii="Arial" w:cs="Arial" w:eastAsia="Arial" w:hAnsi="Arial"/>
                <w:sz w:val="16"/>
                <w:szCs w:val="16"/>
                <w:color w:val="0E2A35"/>
              </w:rPr>
              <w:t>Business Ethics</w:t>
            </w:r>
          </w:p>
        </w:tc>
        <w:tc>
          <w:tcPr>
            <w:tcW w:w="860" w:type="dxa"/>
            <w:vAlign w:val="bottom"/>
          </w:tcPr>
          <w:p>
            <w:pPr>
              <w:ind w:left="640"/>
              <w:spacing w:after="0"/>
              <w:rPr>
                <w:sz w:val="20"/>
                <w:szCs w:val="20"/>
                <w:color w:val="auto"/>
              </w:rPr>
            </w:pPr>
            <w:r>
              <w:rPr>
                <w:rFonts w:ascii="Arial" w:cs="Arial" w:eastAsia="Arial" w:hAnsi="Arial"/>
                <w:sz w:val="16"/>
                <w:szCs w:val="16"/>
                <w:color w:val="0E2A35"/>
              </w:rPr>
              <w:t>•</w:t>
            </w:r>
          </w:p>
        </w:tc>
        <w:tc>
          <w:tcPr>
            <w:tcW w:w="2200" w:type="dxa"/>
            <w:vAlign w:val="bottom"/>
          </w:tcPr>
          <w:p>
            <w:pPr>
              <w:ind w:left="180"/>
              <w:spacing w:after="0"/>
              <w:rPr>
                <w:sz w:val="20"/>
                <w:szCs w:val="20"/>
                <w:color w:val="auto"/>
              </w:rPr>
            </w:pPr>
            <w:r>
              <w:rPr>
                <w:rFonts w:ascii="Arial" w:cs="Arial" w:eastAsia="Arial" w:hAnsi="Arial"/>
                <w:sz w:val="16"/>
                <w:szCs w:val="16"/>
                <w:color w:val="0E2A35"/>
              </w:rPr>
              <w:t>Mergers &amp; Acquisitions</w:t>
            </w:r>
          </w:p>
        </w:tc>
      </w:tr>
    </w:tbl>
    <w:p>
      <w:pPr>
        <w:spacing w:after="0" w:line="30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0E2A35"/>
        </w:rPr>
        <w:t>Michael J. Happe joined Winnebago Industries in January 2016, as the President, Chief Executive Officer and a director. Mr. Happe has led a transformation of the Company into an outdoor recreation / lifestyle enterprise. Under his leadership, Winnebago Industries has grown both organically and inorganically, completed four major acquisitions, including Grand Design RV, Chris-Craft, Newmar, and Barletta Boats, and expanded its industry and geographic footprint. Winnebago Industries’ net sales, net income, RV market share, and total shareholder returns have all grown significantly under Mr. Happe’s leadership, as has the Company’s commitment to corporate responsibility. He worked previously at The Toro Company, a global manufacturer of turf and landscape maintenance and development solutions, where he most recently served as an Executive Officer and Group Vice President of Toro’s Residential and Contractor business until 2015. A 19-year veteran of The Toro Company, Mr. Happe held a series of senior leadership positions throughout his career across a variety of the company’s domestic and international divisions. Mr. Happe also serves as a director for H.B. Fuller. His knowledge of all aspects of the Winnebago Industries business positions him well to serve on the Board. Mr. Happe’s extensive experience and positions rising in complexity and breadth at Toro, including global business affairs, as well as his director position at H.B. Fuller, brings further expertise in corporate leadership and development and execution of profitable business growth strategy.</w:t>
      </w:r>
    </w:p>
    <w:p>
      <w:pPr>
        <w:spacing w:after="0" w:line="200" w:lineRule="exact"/>
        <w:rPr>
          <w:sz w:val="20"/>
          <w:szCs w:val="20"/>
          <w:color w:val="auto"/>
        </w:rPr>
      </w:pPr>
    </w:p>
    <w:p>
      <w:pPr>
        <w:spacing w:after="0" w:line="270" w:lineRule="exact"/>
        <w:rPr>
          <w:sz w:val="20"/>
          <w:szCs w:val="20"/>
          <w:color w:val="auto"/>
        </w:rPr>
      </w:pPr>
    </w:p>
    <w:tbl>
      <w:tblPr>
        <w:tblLayout w:type="fixed"/>
        <w:tblInd w:w="4420" w:type="dxa"/>
        <w:tblCellMar>
          <w:top w:w="0" w:type="dxa"/>
          <w:left w:w="0" w:type="dxa"/>
          <w:bottom w:w="0" w:type="dxa"/>
          <w:right w:w="0" w:type="dxa"/>
        </w:tblCellMar>
      </w:tblPr>
      <w:tr>
        <w:trPr>
          <w:trHeight w:val="168"/>
        </w:trPr>
        <w:tc>
          <w:tcPr>
            <w:tcW w:w="2460" w:type="dxa"/>
            <w:vAlign w:val="bottom"/>
          </w:tcPr>
          <w:p>
            <w:pPr>
              <w:spacing w:after="0"/>
              <w:rPr>
                <w:sz w:val="20"/>
                <w:szCs w:val="20"/>
                <w:color w:val="auto"/>
              </w:rPr>
            </w:pPr>
            <w:r>
              <w:rPr>
                <w:rFonts w:ascii="Arial" w:cs="Arial" w:eastAsia="Arial" w:hAnsi="Arial"/>
                <w:sz w:val="13"/>
                <w:szCs w:val="13"/>
                <w:color w:val="0E2A35"/>
              </w:rPr>
              <w:t>Proxy Statement for 2021 Annual Meeting</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0E2A35"/>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147320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720" w:space="420"/>
            <w:col w:w="7140"/>
          </w:cols>
          <w:pgMar w:left="1300" w:top="265" w:right="131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309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0" w:name="page31"/>
    <w:bookmarkEnd w:id="3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Director Compensation</w:t>
      </w:r>
    </w:p>
    <w:p>
      <w:pPr>
        <w:spacing w:after="0" w:line="224" w:lineRule="exact"/>
        <w:rPr>
          <w:sz w:val="20"/>
          <w:szCs w:val="20"/>
          <w:color w:val="auto"/>
        </w:rPr>
      </w:pPr>
    </w:p>
    <w:p>
      <w:pPr>
        <w:ind w:left="860" w:right="960"/>
        <w:spacing w:after="0" w:line="249" w:lineRule="auto"/>
        <w:rPr>
          <w:sz w:val="20"/>
          <w:szCs w:val="20"/>
          <w:color w:val="auto"/>
        </w:rPr>
      </w:pPr>
      <w:r>
        <w:rPr>
          <w:rFonts w:ascii="Arial" w:cs="Arial" w:eastAsia="Arial" w:hAnsi="Arial"/>
          <w:sz w:val="16"/>
          <w:szCs w:val="16"/>
          <w:color w:val="0E2A35"/>
        </w:rPr>
        <w:t>The Board approves non-employee director compensation based on recommendations of the Human Resources Committee. Beginning in fiscal 2018 and continuing through fiscal 2021,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 Based on the committee's review of our director compensation program with Semler Brossy, the committee recommended and the Board approved, an increase to the non-employee directors’ compensation, effective September 1, 2021, as described below.</w:t>
      </w:r>
    </w:p>
    <w:p>
      <w:pPr>
        <w:spacing w:after="0" w:line="164" w:lineRule="exact"/>
        <w:rPr>
          <w:sz w:val="20"/>
          <w:szCs w:val="20"/>
          <w:color w:val="auto"/>
        </w:rPr>
      </w:pPr>
    </w:p>
    <w:p>
      <w:pPr>
        <w:ind w:left="860" w:right="1340"/>
        <w:spacing w:after="0" w:line="260" w:lineRule="auto"/>
        <w:rPr>
          <w:sz w:val="20"/>
          <w:szCs w:val="20"/>
          <w:color w:val="auto"/>
        </w:rPr>
      </w:pPr>
      <w:r>
        <w:rPr>
          <w:rFonts w:ascii="Arial" w:cs="Arial" w:eastAsia="Arial" w:hAnsi="Arial"/>
          <w:sz w:val="16"/>
          <w:szCs w:val="16"/>
          <w:color w:val="0E2A35"/>
        </w:rPr>
        <w:t>Employee directors receive no additional compensation for serving on the Board or its committees. Non-employee directors receive the following for their service on the Board:</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Board Cash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$90,000 (increased from $75,000), payable in quarterly installments</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6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Board/New Board Member Equity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$125,000 value (increased from $110,000) in restricted stock units</w:t>
            </w:r>
          </w:p>
        </w:tc>
      </w:tr>
      <w:tr>
        <w:trPr>
          <w:trHeight w:val="172"/>
        </w:trPr>
        <w:tc>
          <w:tcPr>
            <w:tcW w:w="4140" w:type="dxa"/>
            <w:vAlign w:val="bottom"/>
          </w:tcPr>
          <w:p>
            <w:pPr>
              <w:spacing w:after="0"/>
              <w:rPr>
                <w:sz w:val="14"/>
                <w:szCs w:val="14"/>
                <w:color w:val="auto"/>
              </w:rPr>
            </w:pPr>
          </w:p>
        </w:tc>
        <w:tc>
          <w:tcPr>
            <w:tcW w:w="5140" w:type="dxa"/>
            <w:vAlign w:val="bottom"/>
          </w:tcPr>
          <w:p>
            <w:pPr>
              <w:ind w:left="580"/>
              <w:spacing w:after="0"/>
              <w:rPr>
                <w:sz w:val="20"/>
                <w:szCs w:val="20"/>
                <w:color w:val="auto"/>
              </w:rPr>
            </w:pPr>
            <w:r>
              <w:rPr>
                <w:rFonts w:ascii="Arial" w:cs="Arial" w:eastAsia="Arial" w:hAnsi="Arial"/>
                <w:sz w:val="14"/>
                <w:szCs w:val="14"/>
                <w:color w:val="0E2A35"/>
              </w:rPr>
              <w:t>granted prospectively for the upcoming year</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7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Board Chair Cash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$80,000 (increased from $45,000), payable in quarterly installments</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6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Annual Committee Chair Cash Retainer</w:t>
            </w:r>
          </w:p>
        </w:tc>
        <w:tc>
          <w:tcPr>
            <w:tcW w:w="5140" w:type="dxa"/>
            <w:vAlign w:val="bottom"/>
          </w:tcPr>
          <w:p>
            <w:pPr>
              <w:ind w:left="580"/>
              <w:spacing w:after="0"/>
              <w:rPr>
                <w:sz w:val="20"/>
                <w:szCs w:val="20"/>
                <w:color w:val="auto"/>
              </w:rPr>
            </w:pPr>
            <w:r>
              <w:rPr>
                <w:rFonts w:ascii="Arial" w:cs="Arial" w:eastAsia="Arial" w:hAnsi="Arial"/>
                <w:sz w:val="14"/>
                <w:szCs w:val="14"/>
                <w:color w:val="0E2A35"/>
              </w:rPr>
              <w:t>$10,000, except $15,000 for the Audit Committee Chair, payable in</w:t>
            </w:r>
          </w:p>
        </w:tc>
      </w:tr>
      <w:tr>
        <w:trPr>
          <w:trHeight w:val="172"/>
        </w:trPr>
        <w:tc>
          <w:tcPr>
            <w:tcW w:w="4140" w:type="dxa"/>
            <w:vAlign w:val="bottom"/>
          </w:tcPr>
          <w:p>
            <w:pPr>
              <w:spacing w:after="0"/>
              <w:rPr>
                <w:sz w:val="14"/>
                <w:szCs w:val="14"/>
                <w:color w:val="auto"/>
              </w:rPr>
            </w:pPr>
          </w:p>
        </w:tc>
        <w:tc>
          <w:tcPr>
            <w:tcW w:w="5140" w:type="dxa"/>
            <w:vAlign w:val="bottom"/>
          </w:tcPr>
          <w:p>
            <w:pPr>
              <w:ind w:left="580"/>
              <w:spacing w:after="0"/>
              <w:rPr>
                <w:sz w:val="20"/>
                <w:szCs w:val="20"/>
                <w:color w:val="auto"/>
              </w:rPr>
            </w:pPr>
            <w:r>
              <w:rPr>
                <w:rFonts w:ascii="Arial" w:cs="Arial" w:eastAsia="Arial" w:hAnsi="Arial"/>
                <w:sz w:val="14"/>
                <w:szCs w:val="14"/>
                <w:color w:val="0E2A35"/>
              </w:rPr>
              <w:t>quarterly installments</w:t>
            </w:r>
          </w:p>
        </w:tc>
      </w:tr>
      <w:tr>
        <w:trPr>
          <w:trHeight w:val="93"/>
        </w:trPr>
        <w:tc>
          <w:tcPr>
            <w:tcW w:w="4140" w:type="dxa"/>
            <w:vAlign w:val="bottom"/>
            <w:tcBorders>
              <w:bottom w:val="single" w:sz="8" w:color="0E2A35"/>
            </w:tcBorders>
          </w:tcPr>
          <w:p>
            <w:pPr>
              <w:spacing w:after="0"/>
              <w:rPr>
                <w:sz w:val="8"/>
                <w:szCs w:val="8"/>
                <w:color w:val="auto"/>
              </w:rPr>
            </w:pPr>
          </w:p>
        </w:tc>
        <w:tc>
          <w:tcPr>
            <w:tcW w:w="5140" w:type="dxa"/>
            <w:vAlign w:val="bottom"/>
            <w:tcBorders>
              <w:bottom w:val="single" w:sz="8" w:color="0E2A35"/>
            </w:tcBorders>
          </w:tcPr>
          <w:p>
            <w:pPr>
              <w:spacing w:after="0"/>
              <w:rPr>
                <w:sz w:val="8"/>
                <w:szCs w:val="8"/>
                <w:color w:val="auto"/>
              </w:rPr>
            </w:pPr>
          </w:p>
        </w:tc>
      </w:tr>
      <w:tr>
        <w:trPr>
          <w:trHeight w:val="268"/>
        </w:trPr>
        <w:tc>
          <w:tcPr>
            <w:tcW w:w="4140" w:type="dxa"/>
            <w:vAlign w:val="bottom"/>
          </w:tcPr>
          <w:p>
            <w:pPr>
              <w:ind w:left="140"/>
              <w:spacing w:after="0"/>
              <w:rPr>
                <w:sz w:val="20"/>
                <w:szCs w:val="20"/>
                <w:color w:val="auto"/>
              </w:rPr>
            </w:pPr>
            <w:r>
              <w:rPr>
                <w:rFonts w:ascii="Arial" w:cs="Arial" w:eastAsia="Arial" w:hAnsi="Arial"/>
                <w:sz w:val="14"/>
                <w:szCs w:val="14"/>
                <w:b w:val="1"/>
                <w:bCs w:val="1"/>
                <w:color w:val="0E2A35"/>
              </w:rPr>
              <w:t>Expense Reimbursements</w:t>
            </w:r>
          </w:p>
        </w:tc>
        <w:tc>
          <w:tcPr>
            <w:tcW w:w="5140" w:type="dxa"/>
            <w:vAlign w:val="bottom"/>
          </w:tcPr>
          <w:p>
            <w:pPr>
              <w:ind w:left="580"/>
              <w:spacing w:after="0"/>
              <w:rPr>
                <w:sz w:val="20"/>
                <w:szCs w:val="20"/>
                <w:color w:val="auto"/>
              </w:rPr>
            </w:pPr>
            <w:r>
              <w:rPr>
                <w:rFonts w:ascii="Arial" w:cs="Arial" w:eastAsia="Arial" w:hAnsi="Arial"/>
                <w:sz w:val="14"/>
                <w:szCs w:val="14"/>
                <w:color w:val="0E2A35"/>
              </w:rPr>
              <w:t>Reimbursement of reasonable expenses incurred in attending Board</w:t>
            </w:r>
          </w:p>
        </w:tc>
      </w:tr>
      <w:tr>
        <w:trPr>
          <w:trHeight w:val="172"/>
        </w:trPr>
        <w:tc>
          <w:tcPr>
            <w:tcW w:w="4140" w:type="dxa"/>
            <w:vAlign w:val="bottom"/>
          </w:tcPr>
          <w:p>
            <w:pPr>
              <w:spacing w:after="0"/>
              <w:rPr>
                <w:sz w:val="14"/>
                <w:szCs w:val="14"/>
                <w:color w:val="auto"/>
              </w:rPr>
            </w:pPr>
          </w:p>
        </w:tc>
        <w:tc>
          <w:tcPr>
            <w:tcW w:w="5140" w:type="dxa"/>
            <w:vAlign w:val="bottom"/>
          </w:tcPr>
          <w:p>
            <w:pPr>
              <w:ind w:left="580"/>
              <w:spacing w:after="0"/>
              <w:rPr>
                <w:sz w:val="20"/>
                <w:szCs w:val="20"/>
                <w:color w:val="auto"/>
              </w:rPr>
            </w:pPr>
            <w:r>
              <w:rPr>
                <w:rFonts w:ascii="Arial" w:cs="Arial" w:eastAsia="Arial" w:hAnsi="Arial"/>
                <w:sz w:val="14"/>
                <w:szCs w:val="14"/>
                <w:color w:val="0E2A35"/>
              </w:rPr>
              <w:t>and committee meetings</w:t>
            </w:r>
          </w:p>
        </w:tc>
      </w:tr>
      <w:tr>
        <w:trPr>
          <w:trHeight w:val="39"/>
        </w:trPr>
        <w:tc>
          <w:tcPr>
            <w:tcW w:w="4140" w:type="dxa"/>
            <w:vAlign w:val="bottom"/>
            <w:tcBorders>
              <w:bottom w:val="single" w:sz="8" w:color="0E2A35"/>
            </w:tcBorders>
          </w:tcPr>
          <w:p>
            <w:pPr>
              <w:spacing w:after="0"/>
              <w:rPr>
                <w:sz w:val="3"/>
                <w:szCs w:val="3"/>
                <w:color w:val="auto"/>
              </w:rPr>
            </w:pPr>
          </w:p>
        </w:tc>
        <w:tc>
          <w:tcPr>
            <w:tcW w:w="514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1" w:name="page32"/>
    <w:bookmarkEnd w:id="3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 Compensation Table</w:t>
      </w:r>
    </w:p>
    <w:p>
      <w:pPr>
        <w:spacing w:after="0" w:line="213" w:lineRule="exact"/>
        <w:rPr>
          <w:sz w:val="20"/>
          <w:szCs w:val="20"/>
          <w:color w:val="auto"/>
        </w:rPr>
      </w:pPr>
    </w:p>
    <w:p>
      <w:pPr>
        <w:ind w:left="860" w:right="1960"/>
        <w:spacing w:after="0" w:line="260" w:lineRule="auto"/>
        <w:rPr>
          <w:sz w:val="20"/>
          <w:szCs w:val="20"/>
          <w:color w:val="auto"/>
        </w:rPr>
      </w:pPr>
      <w:r>
        <w:rPr>
          <w:rFonts w:ascii="Arial" w:cs="Arial" w:eastAsia="Arial" w:hAnsi="Arial"/>
          <w:sz w:val="16"/>
          <w:szCs w:val="16"/>
          <w:color w:val="0E2A35"/>
        </w:rPr>
        <w:t>The following table sets forth the total compensation paid to each non-employee director for fiscal 2021, other than reimbursement for travel expenses:</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740" w:type="dxa"/>
            <w:vAlign w:val="bottom"/>
            <w:shd w:val="clear" w:color="auto" w:fill="0E2A35"/>
          </w:tcPr>
          <w:p>
            <w:pPr>
              <w:spacing w:after="0"/>
              <w:rPr>
                <w:sz w:val="19"/>
                <w:szCs w:val="19"/>
                <w:color w:val="auto"/>
              </w:rPr>
            </w:pPr>
          </w:p>
        </w:tc>
        <w:tc>
          <w:tcPr>
            <w:tcW w:w="2500" w:type="dxa"/>
            <w:vAlign w:val="bottom"/>
            <w:shd w:val="clear" w:color="auto" w:fill="0E2A35"/>
          </w:tcPr>
          <w:p>
            <w:pPr>
              <w:jc w:val="center"/>
              <w:ind w:left="632"/>
              <w:spacing w:after="0"/>
              <w:rPr>
                <w:sz w:val="20"/>
                <w:szCs w:val="20"/>
                <w:color w:val="auto"/>
              </w:rPr>
            </w:pPr>
            <w:r>
              <w:rPr>
                <w:rFonts w:ascii="Arial" w:cs="Arial" w:eastAsia="Arial" w:hAnsi="Arial"/>
                <w:sz w:val="13"/>
                <w:szCs w:val="13"/>
                <w:b w:val="1"/>
                <w:bCs w:val="1"/>
                <w:color w:val="FFFFFF"/>
                <w:w w:val="98"/>
              </w:rPr>
              <w:t>Fees Earned</w:t>
            </w:r>
          </w:p>
        </w:tc>
        <w:tc>
          <w:tcPr>
            <w:tcW w:w="1160" w:type="dxa"/>
            <w:vAlign w:val="bottom"/>
            <w:shd w:val="clear" w:color="auto" w:fill="0E2A35"/>
          </w:tcPr>
          <w:p>
            <w:pPr>
              <w:spacing w:after="0"/>
              <w:rPr>
                <w:sz w:val="19"/>
                <w:szCs w:val="19"/>
                <w:color w:val="auto"/>
              </w:rPr>
            </w:pPr>
          </w:p>
        </w:tc>
        <w:tc>
          <w:tcPr>
            <w:tcW w:w="1600" w:type="dxa"/>
            <w:vAlign w:val="bottom"/>
            <w:shd w:val="clear" w:color="auto" w:fill="0E2A35"/>
          </w:tcPr>
          <w:p>
            <w:pPr>
              <w:jc w:val="center"/>
              <w:ind w:right="91"/>
              <w:spacing w:after="0"/>
              <w:rPr>
                <w:sz w:val="20"/>
                <w:szCs w:val="20"/>
                <w:color w:val="auto"/>
              </w:rPr>
            </w:pPr>
            <w:r>
              <w:rPr>
                <w:rFonts w:ascii="Arial" w:cs="Arial" w:eastAsia="Arial" w:hAnsi="Arial"/>
                <w:sz w:val="13"/>
                <w:szCs w:val="13"/>
                <w:b w:val="1"/>
                <w:bCs w:val="1"/>
                <w:color w:val="FFFFFF"/>
                <w:w w:val="96"/>
              </w:rPr>
              <w:t>All</w:t>
            </w:r>
          </w:p>
        </w:tc>
        <w:tc>
          <w:tcPr>
            <w:tcW w:w="1280" w:type="dxa"/>
            <w:vAlign w:val="bottom"/>
            <w:shd w:val="clear" w:color="auto" w:fill="0E2A35"/>
          </w:tcPr>
          <w:p>
            <w:pPr>
              <w:spacing w:after="0"/>
              <w:rPr>
                <w:sz w:val="19"/>
                <w:szCs w:val="19"/>
                <w:color w:val="auto"/>
              </w:rPr>
            </w:pPr>
          </w:p>
        </w:tc>
      </w:tr>
      <w:tr>
        <w:trPr>
          <w:trHeight w:val="131"/>
        </w:trPr>
        <w:tc>
          <w:tcPr>
            <w:tcW w:w="2740" w:type="dxa"/>
            <w:vAlign w:val="bottom"/>
            <w:shd w:val="clear" w:color="auto" w:fill="0E2A35"/>
          </w:tcPr>
          <w:p>
            <w:pPr>
              <w:spacing w:after="0"/>
              <w:rPr>
                <w:sz w:val="11"/>
                <w:szCs w:val="11"/>
                <w:color w:val="auto"/>
              </w:rPr>
            </w:pPr>
          </w:p>
        </w:tc>
        <w:tc>
          <w:tcPr>
            <w:tcW w:w="2500" w:type="dxa"/>
            <w:vAlign w:val="bottom"/>
            <w:shd w:val="clear" w:color="auto" w:fill="0E2A35"/>
          </w:tcPr>
          <w:p>
            <w:pPr>
              <w:jc w:val="center"/>
              <w:ind w:left="612"/>
              <w:spacing w:after="0" w:line="131" w:lineRule="exact"/>
              <w:rPr>
                <w:sz w:val="20"/>
                <w:szCs w:val="20"/>
                <w:color w:val="auto"/>
              </w:rPr>
            </w:pPr>
            <w:r>
              <w:rPr>
                <w:rFonts w:ascii="Arial" w:cs="Arial" w:eastAsia="Arial" w:hAnsi="Arial"/>
                <w:sz w:val="13"/>
                <w:szCs w:val="13"/>
                <w:b w:val="1"/>
                <w:bCs w:val="1"/>
                <w:color w:val="FFFFFF"/>
                <w:w w:val="97"/>
              </w:rPr>
              <w:t>or Paid in</w:t>
            </w:r>
          </w:p>
        </w:tc>
        <w:tc>
          <w:tcPr>
            <w:tcW w:w="1160" w:type="dxa"/>
            <w:vAlign w:val="bottom"/>
            <w:shd w:val="clear" w:color="auto" w:fill="0E2A35"/>
          </w:tcPr>
          <w:p>
            <w:pPr>
              <w:jc w:val="center"/>
              <w:ind w:right="111"/>
              <w:spacing w:after="0" w:line="131" w:lineRule="exact"/>
              <w:rPr>
                <w:sz w:val="20"/>
                <w:szCs w:val="20"/>
                <w:color w:val="auto"/>
              </w:rPr>
            </w:pPr>
            <w:r>
              <w:rPr>
                <w:rFonts w:ascii="Arial" w:cs="Arial" w:eastAsia="Arial" w:hAnsi="Arial"/>
                <w:sz w:val="13"/>
                <w:szCs w:val="13"/>
                <w:b w:val="1"/>
                <w:bCs w:val="1"/>
                <w:color w:val="FFFFFF"/>
                <w:w w:val="95"/>
              </w:rPr>
              <w:t>Stock</w:t>
            </w:r>
          </w:p>
        </w:tc>
        <w:tc>
          <w:tcPr>
            <w:tcW w:w="1600" w:type="dxa"/>
            <w:vAlign w:val="bottom"/>
            <w:shd w:val="clear" w:color="auto" w:fill="0E2A35"/>
          </w:tcPr>
          <w:p>
            <w:pPr>
              <w:jc w:val="center"/>
              <w:ind w:right="111"/>
              <w:spacing w:after="0" w:line="131" w:lineRule="exact"/>
              <w:rPr>
                <w:sz w:val="20"/>
                <w:szCs w:val="20"/>
                <w:color w:val="auto"/>
              </w:rPr>
            </w:pPr>
            <w:r>
              <w:rPr>
                <w:rFonts w:ascii="Arial" w:cs="Arial" w:eastAsia="Arial" w:hAnsi="Arial"/>
                <w:sz w:val="13"/>
                <w:szCs w:val="13"/>
                <w:b w:val="1"/>
                <w:bCs w:val="1"/>
                <w:color w:val="FFFFFF"/>
                <w:w w:val="97"/>
              </w:rPr>
              <w:t>Other</w:t>
            </w:r>
          </w:p>
        </w:tc>
        <w:tc>
          <w:tcPr>
            <w:tcW w:w="1280" w:type="dxa"/>
            <w:vAlign w:val="bottom"/>
            <w:shd w:val="clear" w:color="auto" w:fill="0E2A35"/>
          </w:tcPr>
          <w:p>
            <w:pPr>
              <w:spacing w:after="0"/>
              <w:rPr>
                <w:sz w:val="11"/>
                <w:szCs w:val="11"/>
                <w:color w:val="auto"/>
              </w:rPr>
            </w:pPr>
          </w:p>
        </w:tc>
      </w:tr>
      <w:tr>
        <w:trPr>
          <w:trHeight w:val="139"/>
        </w:trPr>
        <w:tc>
          <w:tcPr>
            <w:tcW w:w="2740" w:type="dxa"/>
            <w:vAlign w:val="bottom"/>
            <w:shd w:val="clear" w:color="auto" w:fill="0E2A35"/>
          </w:tcPr>
          <w:p>
            <w:pPr>
              <w:spacing w:after="0"/>
              <w:rPr>
                <w:sz w:val="12"/>
                <w:szCs w:val="12"/>
                <w:color w:val="auto"/>
              </w:rPr>
            </w:pPr>
          </w:p>
        </w:tc>
        <w:tc>
          <w:tcPr>
            <w:tcW w:w="2500" w:type="dxa"/>
            <w:vAlign w:val="bottom"/>
            <w:shd w:val="clear" w:color="auto" w:fill="0E2A35"/>
          </w:tcPr>
          <w:p>
            <w:pPr>
              <w:jc w:val="center"/>
              <w:ind w:left="672"/>
              <w:spacing w:after="0" w:line="139" w:lineRule="exact"/>
              <w:rPr>
                <w:sz w:val="20"/>
                <w:szCs w:val="20"/>
                <w:color w:val="auto"/>
              </w:rPr>
            </w:pPr>
            <w:r>
              <w:rPr>
                <w:rFonts w:ascii="Arial" w:cs="Arial" w:eastAsia="Arial" w:hAnsi="Arial"/>
                <w:sz w:val="16"/>
                <w:szCs w:val="16"/>
                <w:b w:val="1"/>
                <w:bCs w:val="1"/>
                <w:color w:val="FFFFFF"/>
                <w:vertAlign w:val="subscript"/>
              </w:rPr>
              <w:t>Cash</w:t>
            </w:r>
            <w:r>
              <w:rPr>
                <w:rFonts w:ascii="Arial" w:cs="Arial" w:eastAsia="Arial" w:hAnsi="Arial"/>
                <w:sz w:val="8"/>
                <w:szCs w:val="8"/>
                <w:b w:val="1"/>
                <w:bCs w:val="1"/>
                <w:color w:val="FFFFFF"/>
              </w:rPr>
              <w:t>(1)(2)</w:t>
            </w:r>
          </w:p>
        </w:tc>
        <w:tc>
          <w:tcPr>
            <w:tcW w:w="1160" w:type="dxa"/>
            <w:vAlign w:val="bottom"/>
            <w:shd w:val="clear" w:color="auto" w:fill="0E2A35"/>
          </w:tcPr>
          <w:p>
            <w:pPr>
              <w:jc w:val="center"/>
              <w:ind w:right="71"/>
              <w:spacing w:after="0" w:line="139"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(3)</w:t>
            </w:r>
          </w:p>
        </w:tc>
        <w:tc>
          <w:tcPr>
            <w:tcW w:w="1600" w:type="dxa"/>
            <w:vAlign w:val="bottom"/>
            <w:shd w:val="clear" w:color="auto" w:fill="0E2A35"/>
          </w:tcPr>
          <w:p>
            <w:pPr>
              <w:jc w:val="center"/>
              <w:ind w:right="51"/>
              <w:spacing w:after="0" w:line="139"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1280" w:type="dxa"/>
            <w:vAlign w:val="bottom"/>
            <w:shd w:val="clear" w:color="auto" w:fill="0E2A35"/>
          </w:tcPr>
          <w:p>
            <w:pPr>
              <w:jc w:val="right"/>
              <w:ind w:right="530"/>
              <w:spacing w:after="0" w:line="139" w:lineRule="exact"/>
              <w:rPr>
                <w:sz w:val="20"/>
                <w:szCs w:val="20"/>
                <w:color w:val="auto"/>
              </w:rPr>
            </w:pPr>
            <w:r>
              <w:rPr>
                <w:rFonts w:ascii="Arial" w:cs="Arial" w:eastAsia="Arial" w:hAnsi="Arial"/>
                <w:sz w:val="13"/>
                <w:szCs w:val="13"/>
                <w:b w:val="1"/>
                <w:bCs w:val="1"/>
                <w:color w:val="FFFFFF"/>
              </w:rPr>
              <w:t>Total</w:t>
            </w:r>
          </w:p>
        </w:tc>
      </w:tr>
      <w:tr>
        <w:trPr>
          <w:trHeight w:val="168"/>
        </w:trPr>
        <w:tc>
          <w:tcPr>
            <w:tcW w:w="274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Director</w:t>
            </w:r>
          </w:p>
        </w:tc>
        <w:tc>
          <w:tcPr>
            <w:tcW w:w="2500" w:type="dxa"/>
            <w:vAlign w:val="bottom"/>
            <w:shd w:val="clear" w:color="auto" w:fill="0E2A35"/>
          </w:tcPr>
          <w:p>
            <w:pPr>
              <w:jc w:val="center"/>
              <w:ind w:left="672"/>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ind w:right="91"/>
              <w:spacing w:after="0"/>
              <w:rPr>
                <w:sz w:val="20"/>
                <w:szCs w:val="20"/>
                <w:color w:val="auto"/>
              </w:rPr>
            </w:pPr>
            <w:r>
              <w:rPr>
                <w:rFonts w:ascii="Arial" w:cs="Arial" w:eastAsia="Arial" w:hAnsi="Arial"/>
                <w:sz w:val="13"/>
                <w:szCs w:val="13"/>
                <w:b w:val="1"/>
                <w:bCs w:val="1"/>
                <w:color w:val="FFFFFF"/>
              </w:rPr>
              <w:t>($)</w:t>
            </w:r>
          </w:p>
        </w:tc>
        <w:tc>
          <w:tcPr>
            <w:tcW w:w="1600" w:type="dxa"/>
            <w:vAlign w:val="bottom"/>
            <w:shd w:val="clear" w:color="auto" w:fill="0E2A35"/>
          </w:tcPr>
          <w:p>
            <w:pPr>
              <w:ind w:left="660"/>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E2A35"/>
          </w:tcPr>
          <w:p>
            <w:pPr>
              <w:jc w:val="right"/>
              <w:ind w:right="610"/>
              <w:spacing w:after="0"/>
              <w:rPr>
                <w:sz w:val="20"/>
                <w:szCs w:val="20"/>
                <w:color w:val="auto"/>
              </w:rPr>
            </w:pPr>
            <w:r>
              <w:rPr>
                <w:rFonts w:ascii="Arial" w:cs="Arial" w:eastAsia="Arial" w:hAnsi="Arial"/>
                <w:sz w:val="13"/>
                <w:szCs w:val="13"/>
                <w:b w:val="1"/>
                <w:bCs w:val="1"/>
                <w:color w:val="FFFFFF"/>
              </w:rPr>
              <w:t>($)</w:t>
            </w:r>
          </w:p>
        </w:tc>
      </w:tr>
      <w:tr>
        <w:trPr>
          <w:trHeight w:val="97"/>
        </w:trPr>
        <w:tc>
          <w:tcPr>
            <w:tcW w:w="2740" w:type="dxa"/>
            <w:vAlign w:val="bottom"/>
            <w:shd w:val="clear" w:color="auto" w:fill="0E2A35"/>
          </w:tcPr>
          <w:p>
            <w:pPr>
              <w:spacing w:after="0"/>
              <w:rPr>
                <w:sz w:val="8"/>
                <w:szCs w:val="8"/>
                <w:color w:val="auto"/>
              </w:rPr>
            </w:pPr>
          </w:p>
        </w:tc>
        <w:tc>
          <w:tcPr>
            <w:tcW w:w="2500" w:type="dxa"/>
            <w:vAlign w:val="bottom"/>
            <w:shd w:val="clear" w:color="auto" w:fill="0E2A35"/>
          </w:tcPr>
          <w:p>
            <w:pPr>
              <w:spacing w:after="0"/>
              <w:rPr>
                <w:sz w:val="8"/>
                <w:szCs w:val="8"/>
                <w:color w:val="auto"/>
              </w:rPr>
            </w:pPr>
          </w:p>
        </w:tc>
        <w:tc>
          <w:tcPr>
            <w:tcW w:w="1160" w:type="dxa"/>
            <w:vAlign w:val="bottom"/>
            <w:shd w:val="clear" w:color="auto" w:fill="0E2A35"/>
          </w:tcPr>
          <w:p>
            <w:pPr>
              <w:spacing w:after="0"/>
              <w:rPr>
                <w:sz w:val="8"/>
                <w:szCs w:val="8"/>
                <w:color w:val="auto"/>
              </w:rPr>
            </w:pPr>
          </w:p>
        </w:tc>
        <w:tc>
          <w:tcPr>
            <w:tcW w:w="1600" w:type="dxa"/>
            <w:vAlign w:val="bottom"/>
            <w:shd w:val="clear" w:color="auto" w:fill="0E2A35"/>
          </w:tcPr>
          <w:p>
            <w:pPr>
              <w:spacing w:after="0"/>
              <w:rPr>
                <w:sz w:val="8"/>
                <w:szCs w:val="8"/>
                <w:color w:val="auto"/>
              </w:rPr>
            </w:pPr>
          </w:p>
        </w:tc>
        <w:tc>
          <w:tcPr>
            <w:tcW w:w="1280" w:type="dxa"/>
            <w:vAlign w:val="bottom"/>
            <w:shd w:val="clear" w:color="auto" w:fill="0E2A35"/>
          </w:tcPr>
          <w:p>
            <w:pPr>
              <w:spacing w:after="0"/>
              <w:rPr>
                <w:sz w:val="8"/>
                <w:szCs w:val="8"/>
                <w:color w:val="auto"/>
              </w:rPr>
            </w:pPr>
          </w:p>
        </w:tc>
      </w:tr>
      <w:tr>
        <w:trPr>
          <w:trHeight w:val="285"/>
        </w:trPr>
        <w:tc>
          <w:tcPr>
            <w:tcW w:w="2740" w:type="dxa"/>
            <w:vAlign w:val="bottom"/>
          </w:tcPr>
          <w:p>
            <w:pPr>
              <w:ind w:left="140"/>
              <w:spacing w:after="0"/>
              <w:rPr>
                <w:sz w:val="20"/>
                <w:szCs w:val="20"/>
                <w:color w:val="auto"/>
              </w:rPr>
            </w:pPr>
            <w:r>
              <w:rPr>
                <w:rFonts w:ascii="Arial" w:cs="Arial" w:eastAsia="Arial" w:hAnsi="Arial"/>
                <w:sz w:val="14"/>
                <w:szCs w:val="14"/>
                <w:color w:val="0E2A35"/>
              </w:rPr>
              <w:t>Sara E. Armbruster</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75,000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185,000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Maria F. Blase</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85,000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195,000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Christopher J. Braun</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75,000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185,000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371"/>
        </w:trPr>
        <w:tc>
          <w:tcPr>
            <w:tcW w:w="274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Kevin E. Bryant</w:t>
            </w:r>
          </w:p>
        </w:tc>
        <w:tc>
          <w:tcPr>
            <w:tcW w:w="2500" w:type="dxa"/>
            <w:vAlign w:val="bottom"/>
            <w:tcBorders>
              <w:bottom w:val="single" w:sz="8" w:color="0E2A35"/>
            </w:tcBorders>
          </w:tcPr>
          <w:p>
            <w:pPr>
              <w:jc w:val="right"/>
              <w:ind w:right="172"/>
              <w:spacing w:after="0"/>
              <w:rPr>
                <w:sz w:val="20"/>
                <w:szCs w:val="20"/>
                <w:color w:val="auto"/>
              </w:rPr>
            </w:pPr>
            <w:r>
              <w:rPr>
                <w:rFonts w:ascii="Arial" w:cs="Arial" w:eastAsia="Arial" w:hAnsi="Arial"/>
                <w:sz w:val="14"/>
                <w:szCs w:val="14"/>
                <w:color w:val="0E2A35"/>
              </w:rPr>
              <w:t>34,340</w:t>
            </w:r>
          </w:p>
        </w:tc>
        <w:tc>
          <w:tcPr>
            <w:tcW w:w="116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49,717</w:t>
            </w:r>
            <w:r>
              <w:rPr>
                <w:rFonts w:ascii="Arial" w:cs="Arial" w:eastAsia="Arial" w:hAnsi="Arial"/>
                <w:sz w:val="23"/>
                <w:szCs w:val="23"/>
                <w:color w:val="0E2A35"/>
                <w:vertAlign w:val="superscript"/>
              </w:rPr>
              <w:t>(5)</w:t>
            </w:r>
          </w:p>
        </w:tc>
        <w:tc>
          <w:tcPr>
            <w:tcW w:w="1600" w:type="dxa"/>
            <w:vAlign w:val="bottom"/>
            <w:tcBorders>
              <w:bottom w:val="single" w:sz="8" w:color="0E2A35"/>
            </w:tcBorders>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Borders>
              <w:bottom w:val="single" w:sz="8" w:color="0E2A35"/>
            </w:tcBorders>
          </w:tcPr>
          <w:p>
            <w:pPr>
              <w:jc w:val="right"/>
              <w:ind w:right="30"/>
              <w:spacing w:after="0"/>
              <w:rPr>
                <w:sz w:val="20"/>
                <w:szCs w:val="20"/>
                <w:color w:val="auto"/>
              </w:rPr>
            </w:pPr>
            <w:r>
              <w:rPr>
                <w:rFonts w:ascii="Arial" w:cs="Arial" w:eastAsia="Arial" w:hAnsi="Arial"/>
                <w:sz w:val="14"/>
                <w:szCs w:val="14"/>
                <w:color w:val="0E2A35"/>
              </w:rPr>
              <w:t>84,057</w:t>
            </w: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Robert M. Chiusano</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75,000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185,000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William C. Fisher</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85,000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195,000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David W. Miles</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120,000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230,000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Richard D. Moss</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90,000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200,000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278"/>
        </w:trPr>
        <w:tc>
          <w:tcPr>
            <w:tcW w:w="2740" w:type="dxa"/>
            <w:vAlign w:val="bottom"/>
          </w:tcPr>
          <w:p>
            <w:pPr>
              <w:ind w:left="140"/>
              <w:spacing w:after="0"/>
              <w:rPr>
                <w:sz w:val="20"/>
                <w:szCs w:val="20"/>
                <w:color w:val="auto"/>
              </w:rPr>
            </w:pPr>
            <w:r>
              <w:rPr>
                <w:rFonts w:ascii="Arial" w:cs="Arial" w:eastAsia="Arial" w:hAnsi="Arial"/>
                <w:sz w:val="14"/>
                <w:szCs w:val="14"/>
                <w:color w:val="0E2A35"/>
              </w:rPr>
              <w:t>John M. Murabito</w:t>
            </w:r>
          </w:p>
        </w:tc>
        <w:tc>
          <w:tcPr>
            <w:tcW w:w="2500" w:type="dxa"/>
            <w:vAlign w:val="bottom"/>
          </w:tcPr>
          <w:p>
            <w:pPr>
              <w:jc w:val="right"/>
              <w:ind w:right="172"/>
              <w:spacing w:after="0"/>
              <w:rPr>
                <w:sz w:val="20"/>
                <w:szCs w:val="20"/>
                <w:color w:val="auto"/>
              </w:rPr>
            </w:pPr>
            <w:r>
              <w:rPr>
                <w:rFonts w:ascii="Arial" w:cs="Arial" w:eastAsia="Arial" w:hAnsi="Arial"/>
                <w:sz w:val="14"/>
                <w:szCs w:val="14"/>
                <w:color w:val="0E2A35"/>
              </w:rPr>
              <w:t>85,000</w:t>
            </w:r>
          </w:p>
        </w:tc>
        <w:tc>
          <w:tcPr>
            <w:tcW w:w="1160" w:type="dxa"/>
            <w:vAlign w:val="bottom"/>
          </w:tcPr>
          <w:p>
            <w:pPr>
              <w:jc w:val="right"/>
              <w:ind w:right="331"/>
              <w:spacing w:after="0"/>
              <w:rPr>
                <w:sz w:val="20"/>
                <w:szCs w:val="20"/>
                <w:color w:val="auto"/>
              </w:rPr>
            </w:pPr>
            <w:r>
              <w:rPr>
                <w:rFonts w:ascii="Arial" w:cs="Arial" w:eastAsia="Arial" w:hAnsi="Arial"/>
                <w:sz w:val="14"/>
                <w:szCs w:val="14"/>
                <w:color w:val="0E2A35"/>
              </w:rPr>
              <w:t>110,000</w:t>
            </w:r>
          </w:p>
        </w:tc>
        <w:tc>
          <w:tcPr>
            <w:tcW w:w="1600" w:type="dxa"/>
            <w:vAlign w:val="bottom"/>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0E2A35"/>
              </w:rPr>
              <w:t>195,000</w:t>
            </w:r>
          </w:p>
        </w:tc>
      </w:tr>
      <w:tr>
        <w:trPr>
          <w:trHeight w:val="93"/>
        </w:trPr>
        <w:tc>
          <w:tcPr>
            <w:tcW w:w="27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r>
      <w:tr>
        <w:trPr>
          <w:trHeight w:val="318"/>
        </w:trPr>
        <w:tc>
          <w:tcPr>
            <w:tcW w:w="274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Jacqueline D. Woods</w:t>
            </w:r>
          </w:p>
        </w:tc>
        <w:tc>
          <w:tcPr>
            <w:tcW w:w="2500" w:type="dxa"/>
            <w:vAlign w:val="bottom"/>
            <w:tcBorders>
              <w:bottom w:val="single" w:sz="8" w:color="0E2A35"/>
            </w:tcBorders>
          </w:tcPr>
          <w:p>
            <w:pPr>
              <w:jc w:val="right"/>
              <w:ind w:right="172"/>
              <w:spacing w:after="0"/>
              <w:rPr>
                <w:sz w:val="20"/>
                <w:szCs w:val="20"/>
                <w:color w:val="auto"/>
              </w:rPr>
            </w:pPr>
            <w:r>
              <w:rPr>
                <w:rFonts w:ascii="Arial" w:cs="Arial" w:eastAsia="Arial" w:hAnsi="Arial"/>
                <w:sz w:val="14"/>
                <w:szCs w:val="14"/>
                <w:color w:val="0E2A35"/>
              </w:rPr>
              <w:t>34,340</w:t>
            </w:r>
          </w:p>
        </w:tc>
        <w:tc>
          <w:tcPr>
            <w:tcW w:w="116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49,717</w:t>
            </w:r>
            <w:r>
              <w:rPr>
                <w:rFonts w:ascii="Arial" w:cs="Arial" w:eastAsia="Arial" w:hAnsi="Arial"/>
                <w:sz w:val="23"/>
                <w:szCs w:val="23"/>
                <w:color w:val="0E2A35"/>
                <w:vertAlign w:val="superscript"/>
              </w:rPr>
              <w:t>(5)</w:t>
            </w:r>
          </w:p>
        </w:tc>
        <w:tc>
          <w:tcPr>
            <w:tcW w:w="1600" w:type="dxa"/>
            <w:vAlign w:val="bottom"/>
            <w:tcBorders>
              <w:bottom w:val="single" w:sz="8" w:color="0E2A35"/>
            </w:tcBorders>
          </w:tcPr>
          <w:p>
            <w:pPr>
              <w:ind w:left="660"/>
              <w:spacing w:after="0"/>
              <w:rPr>
                <w:sz w:val="20"/>
                <w:szCs w:val="20"/>
                <w:color w:val="auto"/>
              </w:rPr>
            </w:pPr>
            <w:r>
              <w:rPr>
                <w:rFonts w:ascii="Arial" w:cs="Arial" w:eastAsia="Arial" w:hAnsi="Arial"/>
                <w:sz w:val="14"/>
                <w:szCs w:val="14"/>
                <w:color w:val="0E2A35"/>
              </w:rPr>
              <w:t>—</w:t>
            </w:r>
          </w:p>
        </w:tc>
        <w:tc>
          <w:tcPr>
            <w:tcW w:w="1280" w:type="dxa"/>
            <w:vAlign w:val="bottom"/>
            <w:tcBorders>
              <w:bottom w:val="single" w:sz="8" w:color="0E2A35"/>
            </w:tcBorders>
          </w:tcPr>
          <w:p>
            <w:pPr>
              <w:jc w:val="right"/>
              <w:ind w:right="30"/>
              <w:spacing w:after="0"/>
              <w:rPr>
                <w:sz w:val="20"/>
                <w:szCs w:val="20"/>
                <w:color w:val="auto"/>
              </w:rPr>
            </w:pPr>
            <w:r>
              <w:rPr>
                <w:rFonts w:ascii="Arial" w:cs="Arial" w:eastAsia="Arial" w:hAnsi="Arial"/>
                <w:sz w:val="14"/>
                <w:szCs w:val="14"/>
                <w:color w:val="0E2A35"/>
              </w:rPr>
              <w:t>84,057</w:t>
            </w:r>
          </w:p>
        </w:tc>
      </w:tr>
    </w:tbl>
    <w:p>
      <w:pPr>
        <w:spacing w:after="0" w:line="102" w:lineRule="exact"/>
        <w:rPr>
          <w:sz w:val="20"/>
          <w:szCs w:val="20"/>
          <w:color w:val="auto"/>
        </w:rPr>
      </w:pPr>
    </w:p>
    <w:p>
      <w:pPr>
        <w:ind w:left="1220" w:hanging="360"/>
        <w:spacing w:after="0"/>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Our directors may elect to receive retainer fees in cash or may defer their retainer fees into the Directors’ Deferred Compensation Plan.</w:t>
      </w:r>
    </w:p>
    <w:p>
      <w:pPr>
        <w:spacing w:after="0" w:line="39" w:lineRule="exact"/>
        <w:rPr>
          <w:rFonts w:ascii="Arial" w:cs="Arial" w:eastAsia="Arial" w:hAnsi="Arial"/>
          <w:sz w:val="13"/>
          <w:szCs w:val="13"/>
          <w:color w:val="0E2A35"/>
        </w:rPr>
      </w:pPr>
    </w:p>
    <w:p>
      <w:pPr>
        <w:ind w:left="1220" w:right="1040" w:hanging="360"/>
        <w:spacing w:after="0" w:line="259" w:lineRule="auto"/>
        <w:tabs>
          <w:tab w:leader="none" w:pos="1220" w:val="left"/>
        </w:tabs>
        <w:numPr>
          <w:ilvl w:val="0"/>
          <w:numId w:val="15"/>
        </w:numPr>
        <w:rPr>
          <w:rFonts w:ascii="Arial" w:cs="Arial" w:eastAsia="Arial" w:hAnsi="Arial"/>
          <w:sz w:val="12"/>
          <w:szCs w:val="12"/>
          <w:color w:val="0E2A35"/>
        </w:rPr>
      </w:pPr>
      <w:r>
        <w:rPr>
          <w:rFonts w:ascii="Arial" w:cs="Arial" w:eastAsia="Arial" w:hAnsi="Arial"/>
          <w:sz w:val="12"/>
          <w:szCs w:val="12"/>
          <w:color w:val="0E2A35"/>
        </w:rPr>
        <w:t>During fiscal 2021, the Chair of the Board received an additional $45,000 retainer per year, the Audit Committee Chair received an additional $15,000 retainer per year, and the Chairs of the other Board committees received an additional $10,000 retainer per year, each of which are reflected in these figures.</w:t>
      </w:r>
    </w:p>
    <w:p>
      <w:pPr>
        <w:spacing w:after="0" w:line="26" w:lineRule="exact"/>
        <w:rPr>
          <w:rFonts w:ascii="Arial" w:cs="Arial" w:eastAsia="Arial" w:hAnsi="Arial"/>
          <w:sz w:val="12"/>
          <w:szCs w:val="12"/>
          <w:color w:val="0E2A35"/>
        </w:rPr>
      </w:pPr>
    </w:p>
    <w:p>
      <w:pPr>
        <w:jc w:val="both"/>
        <w:ind w:left="1220" w:right="920" w:hanging="360"/>
        <w:spacing w:after="0" w:line="225" w:lineRule="auto"/>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These awards, with the exception of Ms. Woods' and Mr. Bryant's awards, are valued at $54.49 per share, the closing stock price on October 13, 2020, the date of the restricted stock unit grant. Ms. Woods' and Mr. Bryant's awards are valued at $87.53 per share, the closing stock price on March 17, 2021, the date of the restricted stock unit grant.</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None of the directors received perquisites and other personal benefits in an aggregate amount of $10,000 or more.</w:t>
      </w:r>
    </w:p>
    <w:p>
      <w:pPr>
        <w:spacing w:after="0" w:line="39"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15"/>
        </w:numPr>
        <w:rPr>
          <w:rFonts w:ascii="Arial" w:cs="Arial" w:eastAsia="Arial" w:hAnsi="Arial"/>
          <w:sz w:val="13"/>
          <w:szCs w:val="13"/>
          <w:color w:val="0E2A35"/>
        </w:rPr>
      </w:pPr>
      <w:r>
        <w:rPr>
          <w:rFonts w:ascii="Arial" w:cs="Arial" w:eastAsia="Arial" w:hAnsi="Arial"/>
          <w:sz w:val="13"/>
          <w:szCs w:val="13"/>
          <w:color w:val="0E2A35"/>
        </w:rPr>
        <w:t>Ms. Woods and Mr. Bryant each received a prorated restricted stock unit grant upon their election as a director on March 17, 2021, reflecting the portion of fiscal 2021 that Ms. Woods and Mr. Bryant would serve as a director.</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27</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2" w:name="page33"/>
    <w:bookmarkEnd w:id="3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Non-Employee Director Equity Awards Outstanding as of August 28, 2021</w:t>
      </w:r>
    </w:p>
    <w:p>
      <w:pPr>
        <w:spacing w:after="0" w:line="213" w:lineRule="exact"/>
        <w:rPr>
          <w:sz w:val="20"/>
          <w:szCs w:val="20"/>
          <w:color w:val="auto"/>
        </w:rPr>
      </w:pPr>
    </w:p>
    <w:p>
      <w:pPr>
        <w:ind w:left="860" w:right="1180"/>
        <w:spacing w:after="0" w:line="260" w:lineRule="auto"/>
        <w:rPr>
          <w:sz w:val="20"/>
          <w:szCs w:val="20"/>
          <w:color w:val="auto"/>
        </w:rPr>
      </w:pPr>
      <w:r>
        <w:rPr>
          <w:rFonts w:ascii="Arial" w:cs="Arial" w:eastAsia="Arial" w:hAnsi="Arial"/>
          <w:sz w:val="16"/>
          <w:szCs w:val="16"/>
          <w:color w:val="0E2A35"/>
        </w:rPr>
        <w:t>As of August 28, 2021, our non-employee directors held the restricted stock awards and stock units set forth below. The stock units in the right column were granted under the Directors’ Deferred Compensation Plan described below.</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220" w:type="dxa"/>
            <w:vAlign w:val="bottom"/>
            <w:shd w:val="clear" w:color="auto" w:fill="0E2A35"/>
          </w:tcPr>
          <w:p>
            <w:pPr>
              <w:spacing w:after="0"/>
              <w:rPr>
                <w:sz w:val="19"/>
                <w:szCs w:val="19"/>
                <w:color w:val="auto"/>
              </w:rPr>
            </w:pPr>
          </w:p>
        </w:tc>
        <w:tc>
          <w:tcPr>
            <w:tcW w:w="4040" w:type="dxa"/>
            <w:vAlign w:val="bottom"/>
            <w:shd w:val="clear" w:color="auto" w:fill="0E2A35"/>
          </w:tcPr>
          <w:p>
            <w:pPr>
              <w:jc w:val="center"/>
              <w:ind w:left="2230"/>
              <w:spacing w:after="0"/>
              <w:rPr>
                <w:sz w:val="20"/>
                <w:szCs w:val="20"/>
                <w:color w:val="auto"/>
              </w:rPr>
            </w:pPr>
            <w:r>
              <w:rPr>
                <w:rFonts w:ascii="Arial" w:cs="Arial" w:eastAsia="Arial" w:hAnsi="Arial"/>
                <w:sz w:val="13"/>
                <w:szCs w:val="13"/>
                <w:b w:val="1"/>
                <w:bCs w:val="1"/>
                <w:color w:val="FFFFFF"/>
                <w:w w:val="97"/>
              </w:rPr>
              <w:t>Restricted</w:t>
            </w:r>
          </w:p>
        </w:tc>
        <w:tc>
          <w:tcPr>
            <w:tcW w:w="1020" w:type="dxa"/>
            <w:vAlign w:val="bottom"/>
            <w:shd w:val="clear" w:color="auto" w:fill="0E2A35"/>
          </w:tcPr>
          <w:p>
            <w:pPr>
              <w:jc w:val="center"/>
              <w:ind w:left="150"/>
              <w:spacing w:after="0"/>
              <w:rPr>
                <w:sz w:val="20"/>
                <w:szCs w:val="20"/>
                <w:color w:val="auto"/>
              </w:rPr>
            </w:pPr>
            <w:r>
              <w:rPr>
                <w:rFonts w:ascii="Arial" w:cs="Arial" w:eastAsia="Arial" w:hAnsi="Arial"/>
                <w:sz w:val="13"/>
                <w:szCs w:val="13"/>
                <w:b w:val="1"/>
                <w:bCs w:val="1"/>
                <w:color w:val="FFFFFF"/>
                <w:w w:val="97"/>
              </w:rPr>
              <w:t>Deferred</w:t>
            </w:r>
          </w:p>
        </w:tc>
      </w:tr>
      <w:tr>
        <w:trPr>
          <w:trHeight w:val="135"/>
        </w:trPr>
        <w:tc>
          <w:tcPr>
            <w:tcW w:w="4220" w:type="dxa"/>
            <w:vAlign w:val="bottom"/>
            <w:shd w:val="clear" w:color="auto" w:fill="0E2A35"/>
          </w:tcPr>
          <w:p>
            <w:pPr>
              <w:spacing w:after="0"/>
              <w:rPr>
                <w:sz w:val="11"/>
                <w:szCs w:val="11"/>
                <w:color w:val="auto"/>
              </w:rPr>
            </w:pPr>
          </w:p>
        </w:tc>
        <w:tc>
          <w:tcPr>
            <w:tcW w:w="4040" w:type="dxa"/>
            <w:vAlign w:val="bottom"/>
            <w:shd w:val="clear" w:color="auto" w:fill="0E2A35"/>
          </w:tcPr>
          <w:p>
            <w:pPr>
              <w:jc w:val="center"/>
              <w:ind w:left="2230"/>
              <w:spacing w:after="0" w:line="135" w:lineRule="exact"/>
              <w:rPr>
                <w:sz w:val="20"/>
                <w:szCs w:val="20"/>
                <w:color w:val="auto"/>
              </w:rPr>
            </w:pPr>
            <w:r>
              <w:rPr>
                <w:rFonts w:ascii="Arial" w:cs="Arial" w:eastAsia="Arial" w:hAnsi="Arial"/>
                <w:sz w:val="13"/>
                <w:szCs w:val="13"/>
                <w:b w:val="1"/>
                <w:bCs w:val="1"/>
                <w:color w:val="FFFFFF"/>
                <w:w w:val="96"/>
              </w:rPr>
              <w:t>Stock Awards /</w:t>
            </w:r>
          </w:p>
        </w:tc>
        <w:tc>
          <w:tcPr>
            <w:tcW w:w="1020" w:type="dxa"/>
            <w:vAlign w:val="bottom"/>
            <w:shd w:val="clear" w:color="auto" w:fill="0E2A35"/>
          </w:tcPr>
          <w:p>
            <w:pPr>
              <w:jc w:val="center"/>
              <w:ind w:left="170"/>
              <w:spacing w:after="0" w:line="135" w:lineRule="exact"/>
              <w:rPr>
                <w:sz w:val="20"/>
                <w:szCs w:val="20"/>
                <w:color w:val="auto"/>
              </w:rPr>
            </w:pPr>
            <w:r>
              <w:rPr>
                <w:rFonts w:ascii="Arial" w:cs="Arial" w:eastAsia="Arial" w:hAnsi="Arial"/>
                <w:sz w:val="13"/>
                <w:szCs w:val="13"/>
                <w:b w:val="1"/>
                <w:bCs w:val="1"/>
                <w:color w:val="FFFFFF"/>
                <w:w w:val="95"/>
              </w:rPr>
              <w:t>Stock</w:t>
            </w:r>
          </w:p>
        </w:tc>
      </w:tr>
      <w:tr>
        <w:trPr>
          <w:trHeight w:val="168"/>
        </w:trPr>
        <w:tc>
          <w:tcPr>
            <w:tcW w:w="422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Director</w:t>
            </w:r>
          </w:p>
        </w:tc>
        <w:tc>
          <w:tcPr>
            <w:tcW w:w="4040" w:type="dxa"/>
            <w:vAlign w:val="bottom"/>
            <w:shd w:val="clear" w:color="auto" w:fill="0E2A35"/>
          </w:tcPr>
          <w:p>
            <w:pPr>
              <w:jc w:val="center"/>
              <w:ind w:left="2250"/>
              <w:spacing w:after="0"/>
              <w:rPr>
                <w:sz w:val="20"/>
                <w:szCs w:val="20"/>
                <w:color w:val="auto"/>
              </w:rPr>
            </w:pPr>
            <w:r>
              <w:rPr>
                <w:rFonts w:ascii="Arial" w:cs="Arial" w:eastAsia="Arial" w:hAnsi="Arial"/>
                <w:sz w:val="13"/>
                <w:szCs w:val="13"/>
                <w:b w:val="1"/>
                <w:bCs w:val="1"/>
                <w:color w:val="FFFFFF"/>
                <w:w w:val="98"/>
              </w:rPr>
              <w:t>Units</w:t>
            </w:r>
          </w:p>
        </w:tc>
        <w:tc>
          <w:tcPr>
            <w:tcW w:w="1020" w:type="dxa"/>
            <w:vAlign w:val="bottom"/>
            <w:shd w:val="clear" w:color="auto" w:fill="0E2A35"/>
          </w:tcPr>
          <w:p>
            <w:pPr>
              <w:jc w:val="center"/>
              <w:ind w:left="190"/>
              <w:spacing w:after="0"/>
              <w:rPr>
                <w:sz w:val="20"/>
                <w:szCs w:val="20"/>
                <w:color w:val="auto"/>
              </w:rPr>
            </w:pPr>
            <w:r>
              <w:rPr>
                <w:rFonts w:ascii="Arial" w:cs="Arial" w:eastAsia="Arial" w:hAnsi="Arial"/>
                <w:sz w:val="13"/>
                <w:szCs w:val="13"/>
                <w:b w:val="1"/>
                <w:bCs w:val="1"/>
                <w:color w:val="FFFFFF"/>
                <w:w w:val="98"/>
              </w:rPr>
              <w:t>Units</w:t>
            </w:r>
          </w:p>
        </w:tc>
      </w:tr>
      <w:tr>
        <w:trPr>
          <w:trHeight w:val="97"/>
        </w:trPr>
        <w:tc>
          <w:tcPr>
            <w:tcW w:w="4220" w:type="dxa"/>
            <w:vAlign w:val="bottom"/>
            <w:shd w:val="clear" w:color="auto" w:fill="0E2A35"/>
          </w:tcPr>
          <w:p>
            <w:pPr>
              <w:spacing w:after="0"/>
              <w:rPr>
                <w:sz w:val="8"/>
                <w:szCs w:val="8"/>
                <w:color w:val="auto"/>
              </w:rPr>
            </w:pPr>
          </w:p>
        </w:tc>
        <w:tc>
          <w:tcPr>
            <w:tcW w:w="4040" w:type="dxa"/>
            <w:vAlign w:val="bottom"/>
            <w:shd w:val="clear" w:color="auto" w:fill="0E2A35"/>
          </w:tcPr>
          <w:p>
            <w:pPr>
              <w:spacing w:after="0"/>
              <w:rPr>
                <w:sz w:val="8"/>
                <w:szCs w:val="8"/>
                <w:color w:val="auto"/>
              </w:rPr>
            </w:pPr>
          </w:p>
        </w:tc>
        <w:tc>
          <w:tcPr>
            <w:tcW w:w="1020" w:type="dxa"/>
            <w:vAlign w:val="bottom"/>
            <w:shd w:val="clear" w:color="auto" w:fill="0E2A35"/>
          </w:tcPr>
          <w:p>
            <w:pPr>
              <w:spacing w:after="0"/>
              <w:rPr>
                <w:sz w:val="8"/>
                <w:szCs w:val="8"/>
                <w:color w:val="auto"/>
              </w:rPr>
            </w:pPr>
          </w:p>
        </w:tc>
      </w:tr>
      <w:tr>
        <w:trPr>
          <w:trHeight w:val="285"/>
        </w:trPr>
        <w:tc>
          <w:tcPr>
            <w:tcW w:w="4220" w:type="dxa"/>
            <w:vAlign w:val="bottom"/>
          </w:tcPr>
          <w:p>
            <w:pPr>
              <w:ind w:left="160"/>
              <w:spacing w:after="0"/>
              <w:rPr>
                <w:sz w:val="20"/>
                <w:szCs w:val="20"/>
                <w:color w:val="auto"/>
              </w:rPr>
            </w:pPr>
            <w:r>
              <w:rPr>
                <w:rFonts w:ascii="Arial" w:cs="Arial" w:eastAsia="Arial" w:hAnsi="Arial"/>
                <w:sz w:val="14"/>
                <w:szCs w:val="14"/>
                <w:color w:val="0E2A35"/>
              </w:rPr>
              <w:t>Sara E. Armbruster</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3,599</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Maria F. Blase</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7,963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Christopher J. Braun</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19,703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Kevin E. Bryant</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568</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Robert M. Chiusano</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32,663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27,290</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William C. Fisher</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21,756</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7,851</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David W. Miles</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14,703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2,858</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Richard D. Moss</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13,103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John M. Murabito</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11,803</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w:t>
            </w:r>
          </w:p>
        </w:tc>
      </w:tr>
      <w:tr>
        <w:trPr>
          <w:trHeight w:val="93"/>
        </w:trPr>
        <w:tc>
          <w:tcPr>
            <w:tcW w:w="4220" w:type="dxa"/>
            <w:vAlign w:val="bottom"/>
            <w:tcBorders>
              <w:bottom w:val="single" w:sz="8" w:color="0E2A35"/>
            </w:tcBorders>
          </w:tcPr>
          <w:p>
            <w:pPr>
              <w:spacing w:after="0"/>
              <w:rPr>
                <w:sz w:val="8"/>
                <w:szCs w:val="8"/>
                <w:color w:val="auto"/>
              </w:rPr>
            </w:pPr>
          </w:p>
        </w:tc>
        <w:tc>
          <w:tcPr>
            <w:tcW w:w="404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r>
      <w:tr>
        <w:trPr>
          <w:trHeight w:val="278"/>
        </w:trPr>
        <w:tc>
          <w:tcPr>
            <w:tcW w:w="4220" w:type="dxa"/>
            <w:vAlign w:val="bottom"/>
          </w:tcPr>
          <w:p>
            <w:pPr>
              <w:ind w:left="160"/>
              <w:spacing w:after="0"/>
              <w:rPr>
                <w:sz w:val="20"/>
                <w:szCs w:val="20"/>
                <w:color w:val="auto"/>
              </w:rPr>
            </w:pPr>
            <w:r>
              <w:rPr>
                <w:rFonts w:ascii="Arial" w:cs="Arial" w:eastAsia="Arial" w:hAnsi="Arial"/>
                <w:sz w:val="14"/>
                <w:szCs w:val="14"/>
                <w:color w:val="0E2A35"/>
              </w:rPr>
              <w:t>Jacqueline D. Woods</w:t>
            </w:r>
          </w:p>
        </w:tc>
        <w:tc>
          <w:tcPr>
            <w:tcW w:w="4040" w:type="dxa"/>
            <w:vAlign w:val="bottom"/>
          </w:tcPr>
          <w:p>
            <w:pPr>
              <w:jc w:val="right"/>
              <w:ind w:right="310"/>
              <w:spacing w:after="0"/>
              <w:rPr>
                <w:sz w:val="20"/>
                <w:szCs w:val="20"/>
                <w:color w:val="auto"/>
              </w:rPr>
            </w:pPr>
            <w:r>
              <w:rPr>
                <w:rFonts w:ascii="Arial" w:cs="Arial" w:eastAsia="Arial" w:hAnsi="Arial"/>
                <w:sz w:val="14"/>
                <w:szCs w:val="14"/>
                <w:color w:val="0E2A35"/>
              </w:rPr>
              <w:t>568</w:t>
            </w:r>
          </w:p>
        </w:tc>
        <w:tc>
          <w:tcPr>
            <w:tcW w:w="1020" w:type="dxa"/>
            <w:vAlign w:val="bottom"/>
          </w:tcPr>
          <w:p>
            <w:pPr>
              <w:jc w:val="right"/>
              <w:ind w:right="10"/>
              <w:spacing w:after="0"/>
              <w:rPr>
                <w:sz w:val="20"/>
                <w:szCs w:val="20"/>
                <w:color w:val="auto"/>
              </w:rPr>
            </w:pPr>
            <w:r>
              <w:rPr>
                <w:rFonts w:ascii="Arial" w:cs="Arial" w:eastAsia="Arial" w:hAnsi="Arial"/>
                <w:sz w:val="14"/>
                <w:szCs w:val="14"/>
                <w:color w:val="0E2A35"/>
              </w:rPr>
              <w:t>235</w:t>
            </w:r>
          </w:p>
        </w:tc>
      </w:tr>
      <w:tr>
        <w:trPr>
          <w:trHeight w:val="39"/>
        </w:trPr>
        <w:tc>
          <w:tcPr>
            <w:tcW w:w="4220" w:type="dxa"/>
            <w:vAlign w:val="bottom"/>
            <w:tcBorders>
              <w:bottom w:val="single" w:sz="8" w:color="0E2A35"/>
            </w:tcBorders>
          </w:tcPr>
          <w:p>
            <w:pPr>
              <w:spacing w:after="0"/>
              <w:rPr>
                <w:sz w:val="3"/>
                <w:szCs w:val="3"/>
                <w:color w:val="auto"/>
              </w:rPr>
            </w:pPr>
          </w:p>
        </w:tc>
        <w:tc>
          <w:tcPr>
            <w:tcW w:w="404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tcPr>
          <w:p>
            <w:pPr>
              <w:spacing w:after="0"/>
              <w:rPr>
                <w:sz w:val="3"/>
                <w:szCs w:val="3"/>
                <w:color w:val="auto"/>
              </w:rPr>
            </w:pPr>
          </w:p>
        </w:tc>
      </w:tr>
    </w:tbl>
    <w:p>
      <w:pPr>
        <w:spacing w:after="0" w:line="30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 Ownership Guidelines</w:t>
      </w:r>
    </w:p>
    <w:p>
      <w:pPr>
        <w:spacing w:after="0" w:line="200"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Directors’ Deferred Compensation Plan</w:t>
      </w:r>
    </w:p>
    <w:p>
      <w:pPr>
        <w:spacing w:after="0" w:line="200" w:lineRule="exact"/>
        <w:rPr>
          <w:sz w:val="20"/>
          <w:szCs w:val="20"/>
          <w:color w:val="auto"/>
        </w:rPr>
      </w:pPr>
    </w:p>
    <w:p>
      <w:pPr>
        <w:ind w:left="860" w:right="920"/>
        <w:spacing w:after="0" w:line="253" w:lineRule="auto"/>
        <w:rPr>
          <w:sz w:val="20"/>
          <w:szCs w:val="20"/>
          <w:color w:val="auto"/>
        </w:rPr>
      </w:pPr>
      <w:r>
        <w:rPr>
          <w:rFonts w:ascii="Arial" w:cs="Arial" w:eastAsia="Arial" w:hAnsi="Arial"/>
          <w:sz w:val="16"/>
          <w:szCs w:val="16"/>
          <w:color w:val="0E2A35"/>
        </w:rPr>
        <w:t>We maintain the Winnebago Industries, Inc. Directors’ Deferred Compensation Plan (the Directors’ Deferred Compensation Plan) for all non-employee directors. A non-employee director can defer all or a portion of the retainer and fee payments that would otherwise be paid to him or her in cash and can defer taxes on such compensation.</w:t>
      </w:r>
    </w:p>
    <w:p>
      <w:pPr>
        <w:spacing w:after="0" w:line="161" w:lineRule="exact"/>
        <w:rPr>
          <w:sz w:val="20"/>
          <w:szCs w:val="20"/>
          <w:color w:val="auto"/>
        </w:rPr>
      </w:pPr>
    </w:p>
    <w:p>
      <w:pPr>
        <w:ind w:left="860" w:right="980"/>
        <w:spacing w:after="0" w:line="253" w:lineRule="auto"/>
        <w:rPr>
          <w:sz w:val="20"/>
          <w:szCs w:val="20"/>
          <w:color w:val="auto"/>
        </w:rPr>
      </w:pPr>
      <w:r>
        <w:rPr>
          <w:rFonts w:ascii="Arial" w:cs="Arial" w:eastAsia="Arial" w:hAnsi="Arial"/>
          <w:sz w:val="16"/>
          <w:szCs w:val="16"/>
          <w:color w:val="0E2A35"/>
        </w:rPr>
        <w:t>A participant may elect to apply either 50% or 100% of his or her annual cash retainer amounts to either, but not both, money credits or Winnebago stock units and 100% of his or her equity award as deferred compensation in the form of Winnebago stock units.</w:t>
      </w:r>
    </w:p>
    <w:p>
      <w:pPr>
        <w:spacing w:after="0" w:line="174" w:lineRule="exact"/>
        <w:rPr>
          <w:sz w:val="20"/>
          <w:szCs w:val="20"/>
          <w:color w:val="auto"/>
        </w:rPr>
      </w:pPr>
    </w:p>
    <w:p>
      <w:pPr>
        <w:jc w:val="both"/>
        <w:ind w:left="860" w:right="1000"/>
        <w:spacing w:after="0" w:line="253" w:lineRule="auto"/>
        <w:rPr>
          <w:sz w:val="20"/>
          <w:szCs w:val="20"/>
          <w:color w:val="auto"/>
        </w:rPr>
      </w:pPr>
      <w:r>
        <w:rPr>
          <w:rFonts w:ascii="Arial" w:cs="Arial" w:eastAsia="Arial" w:hAnsi="Arial"/>
          <w:sz w:val="16"/>
          <w:szCs w:val="16"/>
          <w:color w:val="0E2A35"/>
        </w:rPr>
        <w:t>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w:t>
      </w:r>
    </w:p>
    <w:p>
      <w:pPr>
        <w:spacing w:after="0" w:line="161"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Winnebago stock units are units credited in the form of the Company's common stock. The shares of our common stock issued in connection with our Directors’ Deferred Compensation Plan consist of our treasury shares and like all of our common stock, generally, will accrue dividends, if any, paid by us on our common stock. Winnebago stock units will be recorded in a participant’s account based on the closing price of a share of our common stock on the NYSE on the date upon which the account is credited.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3" w:name="page34"/>
    <w:bookmarkEnd w:id="3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The Winnebago stock units credited to a participant’s account are included in the “Security Ownership of Certain Beneficial Owners and Management” table in this proxy statement. The directors, however, do not have any rights to vote or dispose of any shares of common stock underlying the Winnebago stock units until their service as a director ends or when he or she reaches the age 69-1/2 while serving as a director.</w:t>
      </w:r>
    </w:p>
    <w:p>
      <w:pPr>
        <w:spacing w:after="0" w:line="175" w:lineRule="exact"/>
        <w:rPr>
          <w:sz w:val="20"/>
          <w:szCs w:val="20"/>
          <w:color w:val="auto"/>
        </w:rPr>
      </w:pPr>
    </w:p>
    <w:p>
      <w:pPr>
        <w:ind w:left="860" w:right="1040"/>
        <w:spacing w:after="0" w:line="253" w:lineRule="auto"/>
        <w:rPr>
          <w:sz w:val="20"/>
          <w:szCs w:val="20"/>
          <w:color w:val="auto"/>
        </w:rPr>
      </w:pPr>
      <w:r>
        <w:rPr>
          <w:rFonts w:ascii="Arial" w:cs="Arial" w:eastAsia="Arial" w:hAnsi="Arial"/>
          <w:sz w:val="16"/>
          <w:szCs w:val="16"/>
          <w:color w:val="0E2A35"/>
        </w:rPr>
        <w:t>In the event of a “change of control” of the Company, as defined in the Directors’ Deferred Compensation Plan, a participant generally will receive a lump-sum distribution of his or her account within 30 days following his or her termination of service as a director after such change in control.</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Director Annual Equity Grants</w:t>
      </w:r>
    </w:p>
    <w:p>
      <w:pPr>
        <w:spacing w:after="0" w:line="200"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The fiscal 2021 equity awards granted in October 2020 were made pursuant to the Winnebago Industries, Inc. 2019 Omnibus Incentive Plan, which limits the aggregate grant date fair value of all equity awards to a non-employee director during a calendar year to not more than $300,000, excluding awards granted at a director’s request in lieu of cash retainers or other fees payable in cash.</w:t>
      </w:r>
    </w:p>
    <w:p>
      <w:pPr>
        <w:spacing w:after="0" w:line="162"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Beginning with the fiscal 2019 annual equity awards, we began to grant restricted stock units rather than restricted stock to our non-employee directors.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If a participant terminates his or her service as a director prior to the vesting of the underlying restricted stock unit award, the award will be forfeited by the director. Directors also may elect to defer settlement of their vested restricted stock units until the director’s service to the Company terminates.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29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-264795</wp:posOffset>
            </wp:positionV>
            <wp:extent cx="146558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2494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924941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5" w:name="page36"/>
    <w:bookmarkEnd w:id="3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Proposal 2 – Advisory Vote on Executive Compensation</w:t>
      </w:r>
    </w:p>
    <w:p>
      <w:pPr>
        <w:spacing w:after="0" w:line="224" w:lineRule="exact"/>
        <w:rPr>
          <w:sz w:val="20"/>
          <w:szCs w:val="20"/>
          <w:color w:val="auto"/>
        </w:rPr>
      </w:pPr>
    </w:p>
    <w:p>
      <w:pPr>
        <w:ind w:left="860" w:right="1140"/>
        <w:spacing w:after="0" w:line="251" w:lineRule="auto"/>
        <w:rPr>
          <w:sz w:val="20"/>
          <w:szCs w:val="20"/>
          <w:color w:val="auto"/>
        </w:rPr>
      </w:pPr>
      <w:r>
        <w:rPr>
          <w:rFonts w:ascii="Arial" w:cs="Arial" w:eastAsia="Arial" w:hAnsi="Arial"/>
          <w:sz w:val="16"/>
          <w:szCs w:val="16"/>
          <w:color w:val="0E2A35"/>
        </w:rPr>
        <w:t>The Dodd-Frank Act requires the Board to provide our shareholders with the opportunity to vote, on a non-binding, advisory basis, on the compensation of our named executive officers (NEOs) as set forth in this proxy statement in accordance with the compensation disclosure rules of the SEC. This proposal is also referred to as the “Say on Pay” vote. At the 2017 annual meeting, the shareholders determined that the Say on Pay vote would be held annually.</w:t>
      </w:r>
    </w:p>
    <w:p>
      <w:pPr>
        <w:spacing w:after="0" w:line="162" w:lineRule="exact"/>
        <w:rPr>
          <w:sz w:val="20"/>
          <w:szCs w:val="20"/>
          <w:color w:val="auto"/>
        </w:rPr>
      </w:pPr>
    </w:p>
    <w:p>
      <w:pPr>
        <w:ind w:left="860" w:right="920"/>
        <w:spacing w:after="0" w:line="249" w:lineRule="auto"/>
        <w:rPr>
          <w:sz w:val="20"/>
          <w:szCs w:val="20"/>
          <w:color w:val="auto"/>
        </w:rPr>
      </w:pPr>
      <w:r>
        <w:rPr>
          <w:rFonts w:ascii="Arial" w:cs="Arial" w:eastAsia="Arial" w:hAnsi="Arial"/>
          <w:sz w:val="16"/>
          <w:szCs w:val="16"/>
          <w:color w:val="0E2A35"/>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w:t>
      </w:r>
    </w:p>
    <w:p>
      <w:pPr>
        <w:spacing w:after="0" w:line="178" w:lineRule="exact"/>
        <w:rPr>
          <w:sz w:val="20"/>
          <w:szCs w:val="20"/>
          <w:color w:val="auto"/>
        </w:rPr>
      </w:pPr>
    </w:p>
    <w:p>
      <w:pPr>
        <w:ind w:left="860" w:right="1020"/>
        <w:spacing w:after="0" w:line="253" w:lineRule="auto"/>
        <w:rPr>
          <w:sz w:val="20"/>
          <w:szCs w:val="20"/>
          <w:color w:val="auto"/>
        </w:rPr>
      </w:pPr>
      <w:r>
        <w:rPr>
          <w:rFonts w:ascii="Arial" w:cs="Arial" w:eastAsia="Arial" w:hAnsi="Arial"/>
          <w:sz w:val="16"/>
          <w:szCs w:val="16"/>
          <w:color w:val="0E2A35"/>
        </w:rPr>
        <w:t>While the Board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32385</wp:posOffset>
            </wp:positionV>
            <wp:extent cx="5074920" cy="737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74920" cy="737235"/>
                    </a:xfrm>
                    <a:prstGeom prst="rect">
                      <a:avLst/>
                    </a:prstGeom>
                    <a:noFill/>
                  </pic:spPr>
                </pic:pic>
              </a:graphicData>
            </a:graphic>
          </wp:anchor>
        </w:drawing>
      </w:r>
    </w:p>
    <w:p>
      <w:pPr>
        <w:spacing w:after="0" w:line="14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FFFFFF"/>
        </w:rPr>
        <w:t>YOUR BOARD OF DIRECTORS UNANIMOUSLY RECOMMENDS VOTING,</w:t>
      </w:r>
    </w:p>
    <w:p>
      <w:pPr>
        <w:spacing w:after="0" w:line="49" w:lineRule="exact"/>
        <w:rPr>
          <w:sz w:val="20"/>
          <w:szCs w:val="20"/>
          <w:color w:val="auto"/>
        </w:rPr>
      </w:pPr>
    </w:p>
    <w:p>
      <w:pPr>
        <w:ind w:left="2340" w:right="1780" w:hanging="616"/>
        <w:spacing w:after="0" w:line="181" w:lineRule="auto"/>
        <w:tabs>
          <w:tab w:leader="none" w:pos="2340" w:val="left"/>
        </w:tabs>
        <w:numPr>
          <w:ilvl w:val="0"/>
          <w:numId w:val="16"/>
        </w:numPr>
        <w:rPr>
          <w:rFonts w:ascii="MS PGothic" w:cs="MS PGothic" w:eastAsia="MS PGothic" w:hAnsi="MS PGothic"/>
          <w:sz w:val="48"/>
          <w:szCs w:val="48"/>
          <w:color w:val="FFFFFF"/>
        </w:rPr>
      </w:pPr>
      <w:r>
        <w:rPr>
          <w:rFonts w:ascii="Arial" w:cs="Arial" w:eastAsia="Arial" w:hAnsi="Arial"/>
          <w:sz w:val="19"/>
          <w:szCs w:val="19"/>
          <w:b w:val="1"/>
          <w:bCs w:val="1"/>
          <w:color w:val="FFFFFF"/>
        </w:rPr>
        <w:t>ON A NON-BINDING, ADVISORY BASIS, FOR APPROVAL OF THE EXECUTIVE COMPENSATION AS OUTLINED IN THIS PROXY STATEMENT FOR THE REASONS DISCUSSED ABOVE.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31</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6995160" cy="9300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93008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7" w:name="page38"/>
    <w:bookmarkEnd w:id="3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Compensation Discussion and Analysis</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following Compensation Discussion and Analysis describes the material elements of our executive compensation program.</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Throughout this discussion, we refer to NEOs. The following individuals are our NEOs for fiscal 2021:</w:t>
      </w:r>
    </w:p>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20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7200" w:type="dxa"/>
            <w:vAlign w:val="bottom"/>
            <w:shd w:val="clear" w:color="auto" w:fill="0E2A35"/>
          </w:tcPr>
          <w:p>
            <w:pPr>
              <w:ind w:left="580"/>
              <w:spacing w:after="0"/>
              <w:rPr>
                <w:sz w:val="20"/>
                <w:szCs w:val="20"/>
                <w:color w:val="auto"/>
              </w:rPr>
            </w:pPr>
            <w:r>
              <w:rPr>
                <w:rFonts w:ascii="Arial" w:cs="Arial" w:eastAsia="Arial" w:hAnsi="Arial"/>
                <w:sz w:val="13"/>
                <w:szCs w:val="13"/>
                <w:b w:val="1"/>
                <w:bCs w:val="1"/>
                <w:color w:val="FFFFFF"/>
              </w:rPr>
              <w:t>Position</w:t>
            </w:r>
          </w:p>
        </w:tc>
      </w:tr>
      <w:tr>
        <w:trPr>
          <w:trHeight w:val="124"/>
        </w:trPr>
        <w:tc>
          <w:tcPr>
            <w:tcW w:w="2080" w:type="dxa"/>
            <w:vAlign w:val="bottom"/>
            <w:shd w:val="clear" w:color="auto" w:fill="0E2A35"/>
          </w:tcPr>
          <w:p>
            <w:pPr>
              <w:spacing w:after="0"/>
              <w:rPr>
                <w:sz w:val="10"/>
                <w:szCs w:val="10"/>
                <w:color w:val="auto"/>
              </w:rPr>
            </w:pPr>
          </w:p>
        </w:tc>
        <w:tc>
          <w:tcPr>
            <w:tcW w:w="7200" w:type="dxa"/>
            <w:vAlign w:val="bottom"/>
            <w:shd w:val="clear" w:color="auto" w:fill="0E2A35"/>
          </w:tcPr>
          <w:p>
            <w:pPr>
              <w:spacing w:after="0"/>
              <w:rPr>
                <w:sz w:val="10"/>
                <w:szCs w:val="10"/>
                <w:color w:val="auto"/>
              </w:rPr>
            </w:pPr>
          </w:p>
        </w:tc>
      </w:tr>
      <w:tr>
        <w:trPr>
          <w:trHeight w:val="312"/>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Michael J. Happe</w:t>
            </w:r>
          </w:p>
        </w:tc>
        <w:tc>
          <w:tcPr>
            <w:tcW w:w="7200" w:type="dxa"/>
            <w:vAlign w:val="bottom"/>
          </w:tcPr>
          <w:p>
            <w:pPr>
              <w:ind w:left="580"/>
              <w:spacing w:after="0"/>
              <w:rPr>
                <w:sz w:val="20"/>
                <w:szCs w:val="20"/>
                <w:color w:val="auto"/>
              </w:rPr>
            </w:pPr>
            <w:r>
              <w:rPr>
                <w:rFonts w:ascii="Arial" w:cs="Arial" w:eastAsia="Arial" w:hAnsi="Arial"/>
                <w:sz w:val="14"/>
                <w:szCs w:val="14"/>
                <w:color w:val="0E2A35"/>
              </w:rPr>
              <w:t>CEO and President</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19"/>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Bryan L. Hughes</w:t>
            </w:r>
          </w:p>
        </w:tc>
        <w:tc>
          <w:tcPr>
            <w:tcW w:w="7200" w:type="dxa"/>
            <w:vAlign w:val="bottom"/>
          </w:tcPr>
          <w:p>
            <w:pPr>
              <w:ind w:left="580"/>
              <w:spacing w:after="0"/>
              <w:rPr>
                <w:sz w:val="20"/>
                <w:szCs w:val="20"/>
                <w:color w:val="auto"/>
              </w:rPr>
            </w:pPr>
            <w:r>
              <w:rPr>
                <w:rFonts w:ascii="Arial" w:cs="Arial" w:eastAsia="Arial" w:hAnsi="Arial"/>
                <w:sz w:val="14"/>
                <w:szCs w:val="14"/>
                <w:color w:val="0E2A35"/>
              </w:rPr>
              <w:t>CFO, Senior Vice President, Finance, IT and Strategic Planning</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19"/>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Huw S. Bower</w:t>
            </w:r>
          </w:p>
        </w:tc>
        <w:tc>
          <w:tcPr>
            <w:tcW w:w="7200" w:type="dxa"/>
            <w:vAlign w:val="bottom"/>
          </w:tcPr>
          <w:p>
            <w:pPr>
              <w:ind w:left="580"/>
              <w:spacing w:after="0"/>
              <w:rPr>
                <w:sz w:val="20"/>
                <w:szCs w:val="20"/>
                <w:color w:val="auto"/>
              </w:rPr>
            </w:pPr>
            <w:r>
              <w:rPr>
                <w:rFonts w:ascii="Arial" w:cs="Arial" w:eastAsia="Arial" w:hAnsi="Arial"/>
                <w:sz w:val="14"/>
                <w:szCs w:val="14"/>
                <w:color w:val="0E2A35"/>
              </w:rPr>
              <w:t>President, Winnebago Outdoors</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19"/>
        </w:trPr>
        <w:tc>
          <w:tcPr>
            <w:tcW w:w="2080" w:type="dxa"/>
            <w:vAlign w:val="bottom"/>
          </w:tcPr>
          <w:p>
            <w:pPr>
              <w:ind w:left="140"/>
              <w:spacing w:after="0"/>
              <w:rPr>
                <w:sz w:val="20"/>
                <w:szCs w:val="20"/>
                <w:color w:val="auto"/>
              </w:rPr>
            </w:pPr>
            <w:r>
              <w:rPr>
                <w:rFonts w:ascii="Arial" w:cs="Arial" w:eastAsia="Arial" w:hAnsi="Arial"/>
                <w:sz w:val="14"/>
                <w:szCs w:val="14"/>
                <w:b w:val="1"/>
                <w:bCs w:val="1"/>
                <w:color w:val="0E2A35"/>
              </w:rPr>
              <w:t>Donald J. Clark</w:t>
            </w:r>
          </w:p>
        </w:tc>
        <w:tc>
          <w:tcPr>
            <w:tcW w:w="7200" w:type="dxa"/>
            <w:vAlign w:val="bottom"/>
          </w:tcPr>
          <w:p>
            <w:pPr>
              <w:ind w:left="580"/>
              <w:spacing w:after="0"/>
              <w:rPr>
                <w:sz w:val="20"/>
                <w:szCs w:val="20"/>
                <w:color w:val="auto"/>
              </w:rPr>
            </w:pPr>
            <w:r>
              <w:rPr>
                <w:rFonts w:ascii="Arial" w:cs="Arial" w:eastAsia="Arial" w:hAnsi="Arial"/>
                <w:sz w:val="14"/>
                <w:szCs w:val="14"/>
                <w:color w:val="0E2A35"/>
              </w:rPr>
              <w:t>President, Grand Design</w:t>
            </w:r>
          </w:p>
        </w:tc>
      </w:tr>
      <w:tr>
        <w:trPr>
          <w:trHeight w:val="134"/>
        </w:trPr>
        <w:tc>
          <w:tcPr>
            <w:tcW w:w="2080" w:type="dxa"/>
            <w:vAlign w:val="bottom"/>
            <w:tcBorders>
              <w:bottom w:val="single" w:sz="8" w:color="0E2A35"/>
            </w:tcBorders>
          </w:tcPr>
          <w:p>
            <w:pPr>
              <w:spacing w:after="0"/>
              <w:rPr>
                <w:sz w:val="11"/>
                <w:szCs w:val="11"/>
                <w:color w:val="auto"/>
              </w:rPr>
            </w:pPr>
          </w:p>
        </w:tc>
        <w:tc>
          <w:tcPr>
            <w:tcW w:w="7200" w:type="dxa"/>
            <w:vAlign w:val="bottom"/>
            <w:tcBorders>
              <w:bottom w:val="single" w:sz="8" w:color="0E2A35"/>
            </w:tcBorders>
          </w:tcPr>
          <w:p>
            <w:pPr>
              <w:spacing w:after="0"/>
              <w:rPr>
                <w:sz w:val="11"/>
                <w:szCs w:val="11"/>
                <w:color w:val="auto"/>
              </w:rPr>
            </w:pPr>
          </w:p>
        </w:tc>
      </w:tr>
      <w:tr>
        <w:trPr>
          <w:trHeight w:val="358"/>
        </w:trPr>
        <w:tc>
          <w:tcPr>
            <w:tcW w:w="2080" w:type="dxa"/>
            <w:vAlign w:val="bottom"/>
            <w:tcBorders>
              <w:bottom w:val="single" w:sz="8" w:color="0E2A35"/>
            </w:tcBorders>
          </w:tcPr>
          <w:p>
            <w:pPr>
              <w:ind w:left="140"/>
              <w:spacing w:after="0"/>
              <w:rPr>
                <w:sz w:val="20"/>
                <w:szCs w:val="20"/>
                <w:color w:val="auto"/>
              </w:rPr>
            </w:pPr>
            <w:r>
              <w:rPr>
                <w:rFonts w:ascii="Arial" w:cs="Arial" w:eastAsia="Arial" w:hAnsi="Arial"/>
                <w:sz w:val="14"/>
                <w:szCs w:val="14"/>
                <w:b w:val="1"/>
                <w:bCs w:val="1"/>
                <w:color w:val="0E2A35"/>
              </w:rPr>
              <w:t>Brian D. Hazelton</w:t>
            </w:r>
            <w:r>
              <w:rPr>
                <w:rFonts w:ascii="Arial" w:cs="Arial" w:eastAsia="Arial" w:hAnsi="Arial"/>
                <w:sz w:val="23"/>
                <w:szCs w:val="23"/>
                <w:b w:val="1"/>
                <w:bCs w:val="1"/>
                <w:color w:val="0E2A35"/>
                <w:vertAlign w:val="superscript"/>
              </w:rPr>
              <w:t>(1)</w:t>
            </w:r>
          </w:p>
        </w:tc>
        <w:tc>
          <w:tcPr>
            <w:tcW w:w="720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President, Newmar</w:t>
            </w:r>
          </w:p>
        </w:tc>
      </w:tr>
    </w:tbl>
    <w:p>
      <w:pPr>
        <w:spacing w:after="0" w:line="102" w:lineRule="exact"/>
        <w:rPr>
          <w:sz w:val="20"/>
          <w:szCs w:val="20"/>
          <w:color w:val="auto"/>
        </w:rPr>
      </w:pPr>
    </w:p>
    <w:p>
      <w:pPr>
        <w:ind w:left="1220" w:right="1180" w:hanging="360"/>
        <w:spacing w:after="0" w:line="230" w:lineRule="auto"/>
        <w:tabs>
          <w:tab w:leader="none" w:pos="1220" w:val="left"/>
        </w:tabs>
        <w:numPr>
          <w:ilvl w:val="0"/>
          <w:numId w:val="17"/>
        </w:numPr>
        <w:rPr>
          <w:rFonts w:ascii="Arial" w:cs="Arial" w:eastAsia="Arial" w:hAnsi="Arial"/>
          <w:sz w:val="13"/>
          <w:szCs w:val="13"/>
          <w:color w:val="0E2A35"/>
        </w:rPr>
      </w:pPr>
      <w:r>
        <w:rPr>
          <w:rFonts w:ascii="Arial" w:cs="Arial" w:eastAsia="Arial" w:hAnsi="Arial"/>
          <w:sz w:val="13"/>
          <w:szCs w:val="13"/>
          <w:color w:val="0E2A35"/>
        </w:rPr>
        <w:t>Mr. Hazleton was appointed to President, Newmar effective as of August 27, 2021. Prior to this appointment, Mr. Hazelton served as Senior Vice President, Winnebago-brand RVs.</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Executive Summary</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Executive Compensation Philosophy and Program Objectives</w:t>
      </w:r>
    </w:p>
    <w:p>
      <w:pPr>
        <w:spacing w:after="0" w:line="200"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The Human Resources Committee believes that the most effective compensation program is one that is designed to reward the achievement of our specific annual, long-term and strategic goals, and which aligns executives’ interests with those of our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 group. Accordingly, the committee believes executive compensation packages provided to our executives, including the NEOs, should include both cash and stock-based compensation that reward performance as measured against established goals.</w:t>
      </w:r>
    </w:p>
    <w:p>
      <w:pPr>
        <w:spacing w:after="0" w:line="180"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w:t>
      </w:r>
    </w:p>
    <w:p>
      <w:pPr>
        <w:spacing w:after="0" w:line="161" w:lineRule="exact"/>
        <w:rPr>
          <w:sz w:val="20"/>
          <w:szCs w:val="20"/>
          <w:color w:val="auto"/>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Align the interests of management with those of shareholders</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Provide fair and competitive compensation</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Integrate compensation with our business plans</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Reward both business and individual performance</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18"/>
        </w:numPr>
        <w:rPr>
          <w:rFonts w:ascii="Arial" w:cs="Arial" w:eastAsia="Arial" w:hAnsi="Arial"/>
          <w:sz w:val="16"/>
          <w:szCs w:val="16"/>
          <w:color w:val="C7D265"/>
        </w:rPr>
      </w:pPr>
      <w:r>
        <w:rPr>
          <w:rFonts w:ascii="Arial" w:cs="Arial" w:eastAsia="Arial" w:hAnsi="Arial"/>
          <w:sz w:val="16"/>
          <w:szCs w:val="16"/>
          <w:color w:val="0E2A35"/>
        </w:rPr>
        <w:t>Attract and retain key executives critical to our success</w:t>
      </w:r>
    </w:p>
    <w:p>
      <w:pPr>
        <w:spacing w:after="0" w:line="194"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These objectives emphasize pay for performance by providing an incentive opportunity for performance that meets or exceeds Company objectives.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8" w:name="page39"/>
    <w:bookmarkEnd w:id="38"/>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92075</wp:posOffset>
            </wp:positionV>
            <wp:extent cx="6694805" cy="28632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94805" cy="286321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860"/>
        <w:spacing w:after="0"/>
        <w:rPr>
          <w:sz w:val="20"/>
          <w:szCs w:val="20"/>
          <w:color w:val="auto"/>
        </w:rPr>
      </w:pPr>
      <w:r>
        <w:rPr>
          <w:rFonts w:ascii="Arial" w:cs="Arial" w:eastAsia="Arial" w:hAnsi="Arial"/>
          <w:sz w:val="25"/>
          <w:szCs w:val="25"/>
          <w:b w:val="1"/>
          <w:bCs w:val="1"/>
          <w:color w:val="auto"/>
        </w:rPr>
        <w:t>Fiscal 2021 Performance Highlights</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are highlights of the Company’s financial performance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60" w:type="dxa"/>
        <w:tblCellMar>
          <w:top w:w="0" w:type="dxa"/>
          <w:left w:w="0" w:type="dxa"/>
          <w:bottom w:w="0" w:type="dxa"/>
          <w:right w:w="0" w:type="dxa"/>
        </w:tblCellMar>
      </w:tblPr>
      <w:tr>
        <w:trPr>
          <w:trHeight w:val="351"/>
        </w:trPr>
        <w:tc>
          <w:tcPr>
            <w:tcW w:w="4590" w:type="dxa"/>
            <w:vAlign w:val="bottom"/>
            <w:shd w:val="clear" w:color="auto" w:fill="0E2A35"/>
          </w:tcPr>
          <w:p>
            <w:pPr>
              <w:spacing w:after="0"/>
              <w:rPr>
                <w:sz w:val="24"/>
                <w:szCs w:val="24"/>
                <w:color w:val="auto"/>
              </w:rPr>
            </w:pPr>
          </w:p>
        </w:tc>
        <w:tc>
          <w:tcPr>
            <w:tcW w:w="2030" w:type="dxa"/>
            <w:vAlign w:val="bottom"/>
            <w:gridSpan w:val="2"/>
            <w:shd w:val="clear" w:color="auto" w:fill="0E2A35"/>
          </w:tcPr>
          <w:p>
            <w:pPr>
              <w:ind w:left="650"/>
              <w:spacing w:after="0"/>
              <w:rPr>
                <w:sz w:val="20"/>
                <w:szCs w:val="20"/>
                <w:color w:val="auto"/>
              </w:rPr>
            </w:pPr>
            <w:r>
              <w:rPr>
                <w:rFonts w:ascii="Arial" w:cs="Arial" w:eastAsia="Arial" w:hAnsi="Arial"/>
                <w:sz w:val="13"/>
                <w:szCs w:val="13"/>
                <w:b w:val="1"/>
                <w:bCs w:val="1"/>
                <w:color w:val="FFFFFF"/>
              </w:rPr>
              <w:t>Incentive Plan</w:t>
            </w:r>
          </w:p>
        </w:tc>
        <w:tc>
          <w:tcPr>
            <w:tcW w:w="600" w:type="dxa"/>
            <w:vAlign w:val="bottom"/>
            <w:shd w:val="clear" w:color="auto" w:fill="0E2A35"/>
          </w:tcPr>
          <w:p>
            <w:pPr>
              <w:spacing w:after="0"/>
              <w:rPr>
                <w:sz w:val="24"/>
                <w:szCs w:val="24"/>
                <w:color w:val="auto"/>
              </w:rPr>
            </w:pPr>
          </w:p>
        </w:tc>
        <w:tc>
          <w:tcPr>
            <w:tcW w:w="138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Performance</w:t>
            </w:r>
            <w:r>
              <w:rPr>
                <w:rFonts w:ascii="Arial" w:cs="Arial" w:eastAsia="Arial" w:hAnsi="Arial"/>
                <w:sz w:val="20"/>
                <w:szCs w:val="20"/>
                <w:b w:val="1"/>
                <w:bCs w:val="1"/>
                <w:color w:val="FFFFFF"/>
                <w:vertAlign w:val="superscript"/>
              </w:rPr>
              <w:t>(1)</w:t>
            </w:r>
          </w:p>
        </w:tc>
        <w:tc>
          <w:tcPr>
            <w:tcW w:w="680" w:type="dxa"/>
            <w:vAlign w:val="bottom"/>
            <w:shd w:val="clear" w:color="auto" w:fill="0E2A35"/>
          </w:tcPr>
          <w:p>
            <w:pPr>
              <w:spacing w:after="0"/>
              <w:rPr>
                <w:sz w:val="24"/>
                <w:szCs w:val="24"/>
                <w:color w:val="auto"/>
              </w:rPr>
            </w:pPr>
          </w:p>
        </w:tc>
      </w:tr>
      <w:tr>
        <w:trPr>
          <w:trHeight w:val="365"/>
        </w:trPr>
        <w:tc>
          <w:tcPr>
            <w:tcW w:w="459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Measure</w:t>
            </w:r>
          </w:p>
        </w:tc>
        <w:tc>
          <w:tcPr>
            <w:tcW w:w="950" w:type="dxa"/>
            <w:vAlign w:val="bottom"/>
            <w:shd w:val="clear" w:color="auto" w:fill="0E2A35"/>
          </w:tcPr>
          <w:p>
            <w:pPr>
              <w:jc w:val="center"/>
              <w:ind w:right="61"/>
              <w:spacing w:after="0"/>
              <w:rPr>
                <w:sz w:val="20"/>
                <w:szCs w:val="20"/>
                <w:color w:val="auto"/>
              </w:rPr>
            </w:pPr>
            <w:r>
              <w:rPr>
                <w:rFonts w:ascii="Arial" w:cs="Arial" w:eastAsia="Arial" w:hAnsi="Arial"/>
                <w:sz w:val="13"/>
                <w:szCs w:val="13"/>
                <w:b w:val="1"/>
                <w:bCs w:val="1"/>
                <w:color w:val="FFFFFF"/>
                <w:w w:val="92"/>
              </w:rPr>
              <w:t>Annual</w:t>
            </w:r>
            <w:r>
              <w:rPr>
                <w:rFonts w:ascii="Arial" w:cs="Arial" w:eastAsia="Arial" w:hAnsi="Arial"/>
                <w:sz w:val="20"/>
                <w:szCs w:val="20"/>
                <w:b w:val="1"/>
                <w:bCs w:val="1"/>
                <w:color w:val="FFFFFF"/>
                <w:w w:val="92"/>
                <w:vertAlign w:val="superscript"/>
              </w:rPr>
              <w:t>(2)</w:t>
            </w:r>
          </w:p>
        </w:tc>
        <w:tc>
          <w:tcPr>
            <w:tcW w:w="1080" w:type="dxa"/>
            <w:vAlign w:val="bottom"/>
            <w:shd w:val="clear" w:color="auto" w:fill="0E2A35"/>
          </w:tcPr>
          <w:p>
            <w:pPr>
              <w:jc w:val="center"/>
              <w:ind w:left="151"/>
              <w:spacing w:after="0"/>
              <w:rPr>
                <w:sz w:val="20"/>
                <w:szCs w:val="20"/>
                <w:color w:val="auto"/>
              </w:rPr>
            </w:pPr>
            <w:r>
              <w:rPr>
                <w:rFonts w:ascii="Arial" w:cs="Arial" w:eastAsia="Arial" w:hAnsi="Arial"/>
                <w:sz w:val="13"/>
                <w:szCs w:val="13"/>
                <w:b w:val="1"/>
                <w:bCs w:val="1"/>
                <w:color w:val="FFFFFF"/>
                <w:w w:val="92"/>
              </w:rPr>
              <w:t>Long-Term</w:t>
            </w:r>
            <w:r>
              <w:rPr>
                <w:rFonts w:ascii="Arial" w:cs="Arial" w:eastAsia="Arial" w:hAnsi="Arial"/>
                <w:sz w:val="20"/>
                <w:szCs w:val="20"/>
                <w:b w:val="1"/>
                <w:bCs w:val="1"/>
                <w:color w:val="FFFFFF"/>
                <w:w w:val="92"/>
                <w:vertAlign w:val="superscript"/>
              </w:rPr>
              <w:t>(3)</w:t>
            </w:r>
          </w:p>
        </w:tc>
        <w:tc>
          <w:tcPr>
            <w:tcW w:w="600" w:type="dxa"/>
            <w:vAlign w:val="bottom"/>
            <w:shd w:val="clear" w:color="auto" w:fill="0E2A35"/>
          </w:tcPr>
          <w:p>
            <w:pPr>
              <w:spacing w:after="0"/>
              <w:rPr>
                <w:sz w:val="24"/>
                <w:szCs w:val="24"/>
                <w:color w:val="auto"/>
              </w:rPr>
            </w:pPr>
          </w:p>
        </w:tc>
        <w:tc>
          <w:tcPr>
            <w:tcW w:w="1380" w:type="dxa"/>
            <w:vAlign w:val="bottom"/>
            <w:shd w:val="clear" w:color="auto" w:fill="0E2A35"/>
          </w:tcPr>
          <w:p>
            <w:pPr>
              <w:jc w:val="right"/>
              <w:ind w:right="771"/>
              <w:spacing w:after="0"/>
              <w:rPr>
                <w:sz w:val="20"/>
                <w:szCs w:val="20"/>
                <w:color w:val="auto"/>
              </w:rPr>
            </w:pPr>
            <w:r>
              <w:rPr>
                <w:rFonts w:ascii="Arial" w:cs="Arial" w:eastAsia="Arial" w:hAnsi="Arial"/>
                <w:sz w:val="13"/>
                <w:szCs w:val="13"/>
                <w:b w:val="1"/>
                <w:bCs w:val="1"/>
                <w:color w:val="FFFFFF"/>
              </w:rPr>
              <w:t>1-year</w:t>
            </w:r>
          </w:p>
        </w:tc>
        <w:tc>
          <w:tcPr>
            <w:tcW w:w="680" w:type="dxa"/>
            <w:vAlign w:val="bottom"/>
            <w:shd w:val="clear" w:color="auto" w:fill="0E2A35"/>
          </w:tcPr>
          <w:p>
            <w:pPr>
              <w:ind w:left="20"/>
              <w:spacing w:after="0"/>
              <w:rPr>
                <w:sz w:val="20"/>
                <w:szCs w:val="20"/>
                <w:color w:val="auto"/>
              </w:rPr>
            </w:pPr>
            <w:r>
              <w:rPr>
                <w:rFonts w:ascii="Arial" w:cs="Arial" w:eastAsia="Arial" w:hAnsi="Arial"/>
                <w:sz w:val="13"/>
                <w:szCs w:val="13"/>
                <w:b w:val="1"/>
                <w:bCs w:val="1"/>
                <w:color w:val="FFFFFF"/>
              </w:rPr>
              <w:t>3-year</w:t>
            </w:r>
            <w:r>
              <w:rPr>
                <w:rFonts w:ascii="Arial" w:cs="Arial" w:eastAsia="Arial" w:hAnsi="Arial"/>
                <w:sz w:val="20"/>
                <w:szCs w:val="20"/>
                <w:b w:val="1"/>
                <w:bCs w:val="1"/>
                <w:color w:val="FFFFFF"/>
                <w:vertAlign w:val="superscript"/>
              </w:rPr>
              <w:t>(4)</w:t>
            </w:r>
          </w:p>
        </w:tc>
      </w:tr>
      <w:tr>
        <w:trPr>
          <w:trHeight w:val="301"/>
        </w:trPr>
        <w:tc>
          <w:tcPr>
            <w:tcW w:w="4590" w:type="dxa"/>
            <w:vAlign w:val="bottom"/>
          </w:tcPr>
          <w:p>
            <w:pPr>
              <w:ind w:left="140"/>
              <w:spacing w:after="0"/>
              <w:rPr>
                <w:sz w:val="20"/>
                <w:szCs w:val="20"/>
                <w:color w:val="auto"/>
              </w:rPr>
            </w:pPr>
            <w:r>
              <w:rPr>
                <w:rFonts w:ascii="Arial" w:cs="Arial" w:eastAsia="Arial" w:hAnsi="Arial"/>
                <w:sz w:val="14"/>
                <w:szCs w:val="14"/>
                <w:color w:val="0E2A35"/>
              </w:rPr>
              <w:t xml:space="preserve">Net Revenue </w:t>
            </w:r>
            <w:r>
              <w:rPr>
                <w:rFonts w:ascii="Arial" w:cs="Arial" w:eastAsia="Arial" w:hAnsi="Arial"/>
                <w:sz w:val="14"/>
                <w:szCs w:val="14"/>
                <w:i w:val="1"/>
                <w:iCs w:val="1"/>
                <w:color w:val="0E2A35"/>
              </w:rPr>
              <w:t>($ in thousands)</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0E2A35"/>
              </w:rPr>
              <w:t>$</w:t>
            </w: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3,629,847</w:t>
            </w:r>
          </w:p>
        </w:tc>
        <w:tc>
          <w:tcPr>
            <w:tcW w:w="680" w:type="dxa"/>
            <w:vAlign w:val="bottom"/>
          </w:tcPr>
          <w:p>
            <w:pPr>
              <w:ind w:left="200"/>
              <w:spacing w:after="0"/>
              <w:rPr>
                <w:sz w:val="20"/>
                <w:szCs w:val="20"/>
                <w:color w:val="auto"/>
              </w:rPr>
            </w:pPr>
            <w:r>
              <w:rPr>
                <w:rFonts w:ascii="Arial" w:cs="Arial" w:eastAsia="Arial" w:hAnsi="Arial"/>
                <w:sz w:val="14"/>
                <w:szCs w:val="14"/>
                <w:color w:val="0E2A35"/>
              </w:rPr>
              <w:t>N/A</w:t>
            </w:r>
          </w:p>
        </w:tc>
      </w:tr>
      <w:tr>
        <w:trPr>
          <w:trHeight w:val="91"/>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4"/>
        </w:trPr>
        <w:tc>
          <w:tcPr>
            <w:tcW w:w="4590" w:type="dxa"/>
            <w:vAlign w:val="bottom"/>
          </w:tcPr>
          <w:p>
            <w:pPr>
              <w:ind w:left="140"/>
              <w:spacing w:after="0"/>
              <w:rPr>
                <w:sz w:val="20"/>
                <w:szCs w:val="20"/>
                <w:color w:val="auto"/>
              </w:rPr>
            </w:pPr>
            <w:r>
              <w:rPr>
                <w:rFonts w:ascii="Arial" w:cs="Arial" w:eastAsia="Arial" w:hAnsi="Arial"/>
                <w:sz w:val="14"/>
                <w:szCs w:val="14"/>
                <w:color w:val="0E2A35"/>
              </w:rPr>
              <w:t xml:space="preserve">Operating Income </w:t>
            </w:r>
            <w:r>
              <w:rPr>
                <w:rFonts w:ascii="Arial" w:cs="Arial" w:eastAsia="Arial" w:hAnsi="Arial"/>
                <w:sz w:val="14"/>
                <w:szCs w:val="14"/>
                <w:i w:val="1"/>
                <w:iCs w:val="1"/>
                <w:color w:val="0E2A35"/>
              </w:rPr>
              <w:t>($ in thousands)</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0E2A35"/>
              </w:rPr>
              <w:t>$</w:t>
            </w: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407,421</w:t>
            </w:r>
          </w:p>
        </w:tc>
        <w:tc>
          <w:tcPr>
            <w:tcW w:w="680" w:type="dxa"/>
            <w:vAlign w:val="bottom"/>
          </w:tcPr>
          <w:p>
            <w:pPr>
              <w:ind w:left="200"/>
              <w:spacing w:after="0"/>
              <w:rPr>
                <w:sz w:val="20"/>
                <w:szCs w:val="20"/>
                <w:color w:val="auto"/>
              </w:rPr>
            </w:pPr>
            <w:r>
              <w:rPr>
                <w:rFonts w:ascii="Arial" w:cs="Arial" w:eastAsia="Arial" w:hAnsi="Arial"/>
                <w:sz w:val="14"/>
                <w:szCs w:val="14"/>
                <w:color w:val="0E2A35"/>
              </w:rPr>
              <w:t>N/A</w:t>
            </w:r>
          </w:p>
        </w:tc>
      </w:tr>
      <w:tr>
        <w:trPr>
          <w:trHeight w:val="90"/>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5"/>
        </w:trPr>
        <w:tc>
          <w:tcPr>
            <w:tcW w:w="4590" w:type="dxa"/>
            <w:vAlign w:val="bottom"/>
          </w:tcPr>
          <w:p>
            <w:pPr>
              <w:ind w:left="140"/>
              <w:spacing w:after="0"/>
              <w:rPr>
                <w:sz w:val="20"/>
                <w:szCs w:val="20"/>
                <w:color w:val="auto"/>
              </w:rPr>
            </w:pPr>
            <w:r>
              <w:rPr>
                <w:rFonts w:ascii="Arial" w:cs="Arial" w:eastAsia="Arial" w:hAnsi="Arial"/>
                <w:sz w:val="14"/>
                <w:szCs w:val="14"/>
                <w:color w:val="0E2A35"/>
              </w:rPr>
              <w:t>Net Working Capital</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color w:val="0E2A35"/>
              </w:rPr>
              <w:t>11.2%</w:t>
            </w:r>
          </w:p>
        </w:tc>
        <w:tc>
          <w:tcPr>
            <w:tcW w:w="680" w:type="dxa"/>
            <w:vAlign w:val="bottom"/>
          </w:tcPr>
          <w:p>
            <w:pPr>
              <w:ind w:left="200"/>
              <w:spacing w:after="0"/>
              <w:rPr>
                <w:sz w:val="20"/>
                <w:szCs w:val="20"/>
                <w:color w:val="auto"/>
              </w:rPr>
            </w:pPr>
            <w:r>
              <w:rPr>
                <w:rFonts w:ascii="Arial" w:cs="Arial" w:eastAsia="Arial" w:hAnsi="Arial"/>
                <w:sz w:val="14"/>
                <w:szCs w:val="14"/>
                <w:color w:val="0E2A35"/>
              </w:rPr>
              <w:t>N/A</w:t>
            </w:r>
          </w:p>
        </w:tc>
      </w:tr>
      <w:tr>
        <w:trPr>
          <w:trHeight w:val="90"/>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4"/>
        </w:trPr>
        <w:tc>
          <w:tcPr>
            <w:tcW w:w="4590" w:type="dxa"/>
            <w:vAlign w:val="bottom"/>
          </w:tcPr>
          <w:p>
            <w:pPr>
              <w:ind w:left="140"/>
              <w:spacing w:after="0"/>
              <w:rPr>
                <w:sz w:val="20"/>
                <w:szCs w:val="20"/>
                <w:color w:val="auto"/>
              </w:rPr>
            </w:pPr>
            <w:r>
              <w:rPr>
                <w:rFonts w:ascii="Arial" w:cs="Arial" w:eastAsia="Arial" w:hAnsi="Arial"/>
                <w:sz w:val="14"/>
                <w:szCs w:val="14"/>
                <w:color w:val="0E2A35"/>
              </w:rPr>
              <w:t>Average Return on Invested Capital (Incentive ROIC)</w:t>
            </w:r>
          </w:p>
        </w:tc>
        <w:tc>
          <w:tcPr>
            <w:tcW w:w="950" w:type="dxa"/>
            <w:vAlign w:val="bottom"/>
          </w:tcPr>
          <w:p>
            <w:pPr>
              <w:spacing w:after="0"/>
              <w:rPr>
                <w:sz w:val="24"/>
                <w:szCs w:val="24"/>
                <w:color w:val="auto"/>
              </w:rPr>
            </w:pPr>
          </w:p>
        </w:tc>
        <w:tc>
          <w:tcPr>
            <w:tcW w:w="1080" w:type="dxa"/>
            <w:vAlign w:val="bottom"/>
          </w:tcPr>
          <w:p>
            <w:pPr>
              <w:jc w:val="center"/>
              <w:ind w:left="171"/>
              <w:spacing w:after="0" w:line="141" w:lineRule="exact"/>
              <w:rPr>
                <w:sz w:val="20"/>
                <w:szCs w:val="20"/>
                <w:color w:val="auto"/>
              </w:rPr>
            </w:pPr>
            <w:r>
              <w:rPr>
                <w:rFonts w:ascii="MS PGothic" w:cs="MS PGothic" w:eastAsia="MS PGothic" w:hAnsi="MS PGothic"/>
                <w:sz w:val="14"/>
                <w:szCs w:val="14"/>
                <w:color w:val="0E2A35"/>
                <w:w w:val="85"/>
              </w:rPr>
              <w:t>✔</w:t>
            </w:r>
          </w:p>
        </w:tc>
        <w:tc>
          <w:tcPr>
            <w:tcW w:w="600" w:type="dxa"/>
            <w:vAlign w:val="bottom"/>
          </w:tcPr>
          <w:p>
            <w:pPr>
              <w:spacing w:after="0"/>
              <w:rPr>
                <w:sz w:val="24"/>
                <w:szCs w:val="24"/>
                <w:color w:val="auto"/>
              </w:rPr>
            </w:pP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N/A</w:t>
            </w:r>
          </w:p>
        </w:tc>
        <w:tc>
          <w:tcPr>
            <w:tcW w:w="680" w:type="dxa"/>
            <w:vAlign w:val="bottom"/>
          </w:tcPr>
          <w:p>
            <w:pPr>
              <w:ind w:left="180"/>
              <w:spacing w:after="0"/>
              <w:rPr>
                <w:sz w:val="20"/>
                <w:szCs w:val="20"/>
                <w:color w:val="auto"/>
              </w:rPr>
            </w:pPr>
            <w:r>
              <w:rPr>
                <w:rFonts w:ascii="Arial" w:cs="Arial" w:eastAsia="Arial" w:hAnsi="Arial"/>
                <w:sz w:val="14"/>
                <w:szCs w:val="14"/>
                <w:color w:val="0E2A35"/>
              </w:rPr>
              <w:t>17.6%</w:t>
            </w:r>
          </w:p>
        </w:tc>
      </w:tr>
      <w:tr>
        <w:trPr>
          <w:trHeight w:val="91"/>
        </w:trPr>
        <w:tc>
          <w:tcPr>
            <w:tcW w:w="4590" w:type="dxa"/>
            <w:vAlign w:val="bottom"/>
            <w:tcBorders>
              <w:bottom w:val="single" w:sz="8" w:color="0E2A35"/>
            </w:tcBorders>
          </w:tcPr>
          <w:p>
            <w:pPr>
              <w:spacing w:after="0"/>
              <w:rPr>
                <w:sz w:val="7"/>
                <w:szCs w:val="7"/>
                <w:color w:val="auto"/>
              </w:rPr>
            </w:pPr>
          </w:p>
        </w:tc>
        <w:tc>
          <w:tcPr>
            <w:tcW w:w="95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0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r>
      <w:tr>
        <w:trPr>
          <w:trHeight w:val="294"/>
        </w:trPr>
        <w:tc>
          <w:tcPr>
            <w:tcW w:w="4590" w:type="dxa"/>
            <w:vAlign w:val="bottom"/>
          </w:tcPr>
          <w:p>
            <w:pPr>
              <w:ind w:left="140"/>
              <w:spacing w:after="0"/>
              <w:rPr>
                <w:sz w:val="20"/>
                <w:szCs w:val="20"/>
                <w:color w:val="auto"/>
              </w:rPr>
            </w:pPr>
            <w:r>
              <w:rPr>
                <w:rFonts w:ascii="Arial" w:cs="Arial" w:eastAsia="Arial" w:hAnsi="Arial"/>
                <w:sz w:val="14"/>
                <w:szCs w:val="14"/>
                <w:color w:val="0E2A35"/>
              </w:rPr>
              <w:t>Incentive Earnings Per Share (Incentive EPS)</w:t>
            </w:r>
          </w:p>
        </w:tc>
        <w:tc>
          <w:tcPr>
            <w:tcW w:w="950" w:type="dxa"/>
            <w:vAlign w:val="bottom"/>
          </w:tcPr>
          <w:p>
            <w:pPr>
              <w:jc w:val="center"/>
              <w:ind w:right="21"/>
              <w:spacing w:after="0" w:line="141" w:lineRule="exact"/>
              <w:rPr>
                <w:sz w:val="20"/>
                <w:szCs w:val="20"/>
                <w:color w:val="auto"/>
              </w:rPr>
            </w:pPr>
            <w:r>
              <w:rPr>
                <w:rFonts w:ascii="MS PGothic" w:cs="MS PGothic" w:eastAsia="MS PGothic" w:hAnsi="MS PGothic"/>
                <w:sz w:val="14"/>
                <w:szCs w:val="14"/>
                <w:color w:val="0E2A35"/>
                <w:w w:val="85"/>
              </w:rPr>
              <w:t>✔</w:t>
            </w:r>
          </w:p>
        </w:tc>
        <w:tc>
          <w:tcPr>
            <w:tcW w:w="1080" w:type="dxa"/>
            <w:vAlign w:val="bottom"/>
          </w:tcPr>
          <w:p>
            <w:pPr>
              <w:jc w:val="center"/>
              <w:ind w:left="171"/>
              <w:spacing w:after="0" w:line="141" w:lineRule="exact"/>
              <w:rPr>
                <w:sz w:val="20"/>
                <w:szCs w:val="20"/>
                <w:color w:val="auto"/>
              </w:rPr>
            </w:pPr>
            <w:r>
              <w:rPr>
                <w:rFonts w:ascii="MS PGothic" w:cs="MS PGothic" w:eastAsia="MS PGothic" w:hAnsi="MS PGothic"/>
                <w:sz w:val="14"/>
                <w:szCs w:val="14"/>
                <w:color w:val="0E2A35"/>
                <w:w w:val="85"/>
              </w:rPr>
              <w:t>✔</w:t>
            </w:r>
          </w:p>
        </w:tc>
        <w:tc>
          <w:tcPr>
            <w:tcW w:w="600" w:type="dxa"/>
            <w:vAlign w:val="bottom"/>
          </w:tcPr>
          <w:p>
            <w:pPr>
              <w:jc w:val="right"/>
              <w:spacing w:after="0"/>
              <w:rPr>
                <w:sz w:val="20"/>
                <w:szCs w:val="20"/>
                <w:color w:val="auto"/>
              </w:rPr>
            </w:pPr>
            <w:r>
              <w:rPr>
                <w:rFonts w:ascii="Arial" w:cs="Arial" w:eastAsia="Arial" w:hAnsi="Arial"/>
                <w:sz w:val="14"/>
                <w:szCs w:val="14"/>
                <w:color w:val="0E2A35"/>
              </w:rPr>
              <w:t>$</w:t>
            </w:r>
          </w:p>
        </w:tc>
        <w:tc>
          <w:tcPr>
            <w:tcW w:w="1380" w:type="dxa"/>
            <w:vAlign w:val="bottom"/>
          </w:tcPr>
          <w:p>
            <w:pPr>
              <w:jc w:val="right"/>
              <w:ind w:right="631"/>
              <w:spacing w:after="0"/>
              <w:rPr>
                <w:sz w:val="20"/>
                <w:szCs w:val="20"/>
                <w:color w:val="auto"/>
              </w:rPr>
            </w:pPr>
            <w:r>
              <w:rPr>
                <w:rFonts w:ascii="Arial" w:cs="Arial" w:eastAsia="Arial" w:hAnsi="Arial"/>
                <w:sz w:val="14"/>
                <w:szCs w:val="14"/>
                <w:color w:val="0E2A35"/>
              </w:rPr>
              <w:t>8.59</w:t>
            </w:r>
          </w:p>
        </w:tc>
        <w:tc>
          <w:tcPr>
            <w:tcW w:w="680" w:type="dxa"/>
            <w:vAlign w:val="bottom"/>
          </w:tcPr>
          <w:p>
            <w:pPr>
              <w:spacing w:after="0"/>
              <w:rPr>
                <w:sz w:val="20"/>
                <w:szCs w:val="20"/>
                <w:color w:val="auto"/>
              </w:rPr>
            </w:pPr>
            <w:r>
              <w:rPr>
                <w:rFonts w:ascii="Arial" w:cs="Arial" w:eastAsia="Arial" w:hAnsi="Arial"/>
                <w:sz w:val="14"/>
                <w:szCs w:val="14"/>
                <w:color w:val="0E2A35"/>
              </w:rPr>
              <w:t>$ 14.70</w:t>
            </w:r>
          </w:p>
        </w:tc>
      </w:tr>
      <w:tr>
        <w:trPr>
          <w:trHeight w:val="37"/>
        </w:trPr>
        <w:tc>
          <w:tcPr>
            <w:tcW w:w="4590" w:type="dxa"/>
            <w:vAlign w:val="bottom"/>
            <w:tcBorders>
              <w:bottom w:val="single" w:sz="8" w:color="0E2A35"/>
            </w:tcBorders>
          </w:tcPr>
          <w:p>
            <w:pPr>
              <w:spacing w:after="0"/>
              <w:rPr>
                <w:sz w:val="3"/>
                <w:szCs w:val="3"/>
                <w:color w:val="auto"/>
              </w:rPr>
            </w:pPr>
          </w:p>
        </w:tc>
        <w:tc>
          <w:tcPr>
            <w:tcW w:w="95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tcPr>
          <w:p>
            <w:pPr>
              <w:spacing w:after="0"/>
              <w:rPr>
                <w:sz w:val="3"/>
                <w:szCs w:val="3"/>
                <w:color w:val="auto"/>
              </w:rPr>
            </w:pPr>
          </w:p>
        </w:tc>
        <w:tc>
          <w:tcPr>
            <w:tcW w:w="600" w:type="dxa"/>
            <w:vAlign w:val="bottom"/>
            <w:tcBorders>
              <w:bottom w:val="single" w:sz="8" w:color="0E2A35"/>
            </w:tcBorders>
          </w:tcPr>
          <w:p>
            <w:pPr>
              <w:spacing w:after="0"/>
              <w:rPr>
                <w:sz w:val="3"/>
                <w:szCs w:val="3"/>
                <w:color w:val="auto"/>
              </w:rPr>
            </w:pPr>
          </w:p>
        </w:tc>
        <w:tc>
          <w:tcPr>
            <w:tcW w:w="138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-1482725</wp:posOffset>
            </wp:positionV>
            <wp:extent cx="28460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82" w:lineRule="exact"/>
        <w:rPr>
          <w:sz w:val="20"/>
          <w:szCs w:val="20"/>
          <w:color w:val="auto"/>
        </w:rPr>
      </w:pPr>
    </w:p>
    <w:p>
      <w:pPr>
        <w:ind w:left="1220" w:right="900" w:hanging="360"/>
        <w:spacing w:after="0" w:line="238" w:lineRule="auto"/>
        <w:tabs>
          <w:tab w:leader="none" w:pos="1220" w:val="left"/>
        </w:tabs>
        <w:numPr>
          <w:ilvl w:val="0"/>
          <w:numId w:val="19"/>
        </w:numPr>
        <w:rPr>
          <w:rFonts w:ascii="Arial" w:cs="Arial" w:eastAsia="Arial" w:hAnsi="Arial"/>
          <w:sz w:val="12"/>
          <w:szCs w:val="12"/>
          <w:color w:val="0E2A35"/>
        </w:rPr>
      </w:pPr>
      <w:r>
        <w:rPr>
          <w:rFonts w:ascii="Arial" w:cs="Arial" w:eastAsia="Arial" w:hAnsi="Arial"/>
          <w:sz w:val="12"/>
          <w:szCs w:val="12"/>
          <w:color w:val="0E2A35"/>
        </w:rPr>
        <w:t>When determining the level of actual performance for the Long-Term Incentive Plan, the committee excluded the impact of certain events not contemplated when creating the initial targets. No adjustments were made to actual performance metrics for the Annual Incentive Plan (net revenue, operating income and net working capital). The Incentive ROIC metric was adjusted for the Long-Term Incentive Plan to exclude the following: (i) the net financial impacts of the Newmar acquisition, (ii) the transaction costs associated with the acquisitions of Newmar and Barletta, (iii) the pretax inventory step-up costs related to the Newmar acquisition, (iv) restructuring costs and (v) the net assets of Newmar. The Incentive EPS metric was adjusted to exclude the following: (i) pretax acquisition-related costs, (ii) pretax inventory and step-up costs related to the Newmar acquisition, (iii) pretax non-cash interest expense, (iv) restructuring expense, (v) debt-issuance write-off, (vi) the dilution impact of convertible notes which is economically offset by a call/spread overlay that was put in place upon issuance, and (vii) the tax impact of the aforementioned adjustments, as applicable. Incentive EPS differs from Adjusted EPS as it excludes the after-tax impact of adjustments made for incentive purposes, including the gain on sale of property, plant and equipment.</w:t>
      </w:r>
    </w:p>
    <w:p>
      <w:pPr>
        <w:spacing w:after="0" w:line="37" w:lineRule="exact"/>
        <w:rPr>
          <w:rFonts w:ascii="Arial" w:cs="Arial" w:eastAsia="Arial" w:hAnsi="Arial"/>
          <w:sz w:val="12"/>
          <w:szCs w:val="12"/>
          <w:color w:val="0E2A35"/>
        </w:rPr>
      </w:pPr>
    </w:p>
    <w:p>
      <w:pPr>
        <w:ind w:left="1220" w:right="1020" w:hanging="360"/>
        <w:spacing w:after="0" w:line="230" w:lineRule="auto"/>
        <w:tabs>
          <w:tab w:leader="none" w:pos="1220" w:val="left"/>
        </w:tabs>
        <w:numPr>
          <w:ilvl w:val="0"/>
          <w:numId w:val="19"/>
        </w:numPr>
        <w:rPr>
          <w:rFonts w:ascii="Arial" w:cs="Arial" w:eastAsia="Arial" w:hAnsi="Arial"/>
          <w:sz w:val="13"/>
          <w:szCs w:val="13"/>
          <w:color w:val="0E2A35"/>
        </w:rPr>
      </w:pPr>
      <w:r>
        <w:rPr>
          <w:rFonts w:ascii="Arial" w:cs="Arial" w:eastAsia="Arial" w:hAnsi="Arial"/>
          <w:sz w:val="13"/>
          <w:szCs w:val="13"/>
          <w:color w:val="0E2A35"/>
        </w:rPr>
        <w:t>This column shows the metrics used for the 2021 Officer Incentive Compensation Plan (also called the Annual Incentive Plan), which consist of 50% operating income, 40% net revenue, 10% working capital, and the fiscal 2021 performance stock unit plan, which consists of 100% Incentive EPS.</w:t>
      </w:r>
    </w:p>
    <w:p>
      <w:pPr>
        <w:spacing w:after="0" w:line="37" w:lineRule="exact"/>
        <w:rPr>
          <w:rFonts w:ascii="Arial" w:cs="Arial" w:eastAsia="Arial" w:hAnsi="Arial"/>
          <w:sz w:val="13"/>
          <w:szCs w:val="13"/>
          <w:color w:val="0E2A35"/>
        </w:rPr>
      </w:pPr>
    </w:p>
    <w:p>
      <w:pPr>
        <w:ind w:left="1220" w:right="960" w:hanging="360"/>
        <w:spacing w:after="0" w:line="225" w:lineRule="auto"/>
        <w:tabs>
          <w:tab w:leader="none" w:pos="1220" w:val="left"/>
        </w:tabs>
        <w:numPr>
          <w:ilvl w:val="0"/>
          <w:numId w:val="19"/>
        </w:numPr>
        <w:rPr>
          <w:rFonts w:ascii="Arial" w:cs="Arial" w:eastAsia="Arial" w:hAnsi="Arial"/>
          <w:sz w:val="13"/>
          <w:szCs w:val="13"/>
          <w:color w:val="0E2A35"/>
        </w:rPr>
      </w:pPr>
      <w:r>
        <w:rPr>
          <w:rFonts w:ascii="Arial" w:cs="Arial" w:eastAsia="Arial" w:hAnsi="Arial"/>
          <w:sz w:val="13"/>
          <w:szCs w:val="13"/>
          <w:color w:val="0E2A35"/>
        </w:rPr>
        <w:t>This column shows the metrics used for the 2019-2021 Long-Term Incentive Program (LTIP), which consists of 50% average Incentive ROIC and 50% cumulative Incentive EPS. The metrics for 2020-2022 LTIP and the 2021-2023 LTIP also consist of average 50% Incentive ROIC and cumulative 50% Incentive EPS.</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19"/>
        </w:numPr>
        <w:rPr>
          <w:rFonts w:ascii="Arial" w:cs="Arial" w:eastAsia="Arial" w:hAnsi="Arial"/>
          <w:sz w:val="13"/>
          <w:szCs w:val="13"/>
          <w:color w:val="0E2A35"/>
        </w:rPr>
      </w:pPr>
      <w:r>
        <w:rPr>
          <w:rFonts w:ascii="Arial" w:cs="Arial" w:eastAsia="Arial" w:hAnsi="Arial"/>
          <w:sz w:val="13"/>
          <w:szCs w:val="13"/>
          <w:color w:val="0E2A35"/>
        </w:rPr>
        <w:t>This column shows performance for the period from fiscal 2019-2021.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9" w:name="page40"/>
    <w:bookmarkEnd w:id="3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Impact of Performance on Fiscal 2021 Compensation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compensation of our NEOs in fiscal 2021 was directly impacted by our financial performance and total shareholder returns: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60" w:type="dxa"/>
            <w:vAlign w:val="bottom"/>
          </w:tcPr>
          <w:p>
            <w:pPr>
              <w:spacing w:after="0"/>
              <w:rPr>
                <w:sz w:val="22"/>
                <w:szCs w:val="22"/>
                <w:color w:val="auto"/>
              </w:rPr>
            </w:pPr>
          </w:p>
        </w:tc>
        <w:tc>
          <w:tcPr>
            <w:tcW w:w="19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Performance Objective</w:t>
            </w:r>
          </w:p>
        </w:tc>
        <w:tc>
          <w:tcPr>
            <w:tcW w:w="7220" w:type="dxa"/>
            <w:vAlign w:val="bottom"/>
            <w:shd w:val="clear" w:color="auto" w:fill="0E2A35"/>
          </w:tcPr>
          <w:p>
            <w:pPr>
              <w:ind w:left="380"/>
              <w:spacing w:after="0"/>
              <w:rPr>
                <w:sz w:val="20"/>
                <w:szCs w:val="20"/>
                <w:color w:val="auto"/>
              </w:rPr>
            </w:pPr>
            <w:r>
              <w:rPr>
                <w:rFonts w:ascii="Arial" w:cs="Arial" w:eastAsia="Arial" w:hAnsi="Arial"/>
                <w:sz w:val="13"/>
                <w:szCs w:val="13"/>
                <w:b w:val="1"/>
                <w:bCs w:val="1"/>
                <w:color w:val="FFFFFF"/>
              </w:rPr>
              <w:t>Link to 2021 Compensation</w:t>
            </w:r>
          </w:p>
        </w:tc>
        <w:tc>
          <w:tcPr>
            <w:tcW w:w="140" w:type="dxa"/>
            <w:vAlign w:val="bottom"/>
            <w:shd w:val="clear" w:color="auto" w:fill="0E2A35"/>
          </w:tcPr>
          <w:p>
            <w:pPr>
              <w:spacing w:after="0"/>
              <w:rPr>
                <w:sz w:val="22"/>
                <w:szCs w:val="22"/>
                <w:color w:val="auto"/>
              </w:rPr>
            </w:pPr>
          </w:p>
        </w:tc>
        <w:tc>
          <w:tcPr>
            <w:tcW w:w="880" w:type="dxa"/>
            <w:vAlign w:val="bottom"/>
          </w:tcPr>
          <w:p>
            <w:pPr>
              <w:spacing w:after="0"/>
              <w:rPr>
                <w:sz w:val="22"/>
                <w:szCs w:val="22"/>
                <w:color w:val="auto"/>
              </w:rPr>
            </w:pPr>
          </w:p>
        </w:tc>
      </w:tr>
      <w:tr>
        <w:trPr>
          <w:trHeight w:val="97"/>
        </w:trPr>
        <w:tc>
          <w:tcPr>
            <w:tcW w:w="860" w:type="dxa"/>
            <w:vAlign w:val="bottom"/>
          </w:tcPr>
          <w:p>
            <w:pPr>
              <w:spacing w:after="0"/>
              <w:rPr>
                <w:sz w:val="8"/>
                <w:szCs w:val="8"/>
                <w:color w:val="auto"/>
              </w:rPr>
            </w:pPr>
          </w:p>
        </w:tc>
        <w:tc>
          <w:tcPr>
            <w:tcW w:w="1920" w:type="dxa"/>
            <w:vAlign w:val="bottom"/>
            <w:shd w:val="clear" w:color="auto" w:fill="0E2A35"/>
          </w:tcPr>
          <w:p>
            <w:pPr>
              <w:spacing w:after="0"/>
              <w:rPr>
                <w:sz w:val="8"/>
                <w:szCs w:val="8"/>
                <w:color w:val="auto"/>
              </w:rPr>
            </w:pPr>
          </w:p>
        </w:tc>
        <w:tc>
          <w:tcPr>
            <w:tcW w:w="7220" w:type="dxa"/>
            <w:vAlign w:val="bottom"/>
            <w:shd w:val="clear" w:color="auto" w:fill="0E2A35"/>
          </w:tcPr>
          <w:p>
            <w:pPr>
              <w:spacing w:after="0"/>
              <w:rPr>
                <w:sz w:val="8"/>
                <w:szCs w:val="8"/>
                <w:color w:val="auto"/>
              </w:rPr>
            </w:pPr>
          </w:p>
        </w:tc>
        <w:tc>
          <w:tcPr>
            <w:tcW w:w="140" w:type="dxa"/>
            <w:vAlign w:val="bottom"/>
            <w:shd w:val="clear" w:color="auto" w:fill="0E2A35"/>
          </w:tcPr>
          <w:p>
            <w:pPr>
              <w:spacing w:after="0"/>
              <w:rPr>
                <w:sz w:val="8"/>
                <w:szCs w:val="8"/>
                <w:color w:val="auto"/>
              </w:rPr>
            </w:pPr>
          </w:p>
        </w:tc>
        <w:tc>
          <w:tcPr>
            <w:tcW w:w="880" w:type="dxa"/>
            <w:vAlign w:val="bottom"/>
          </w:tcPr>
          <w:p>
            <w:pPr>
              <w:spacing w:after="0"/>
              <w:rPr>
                <w:sz w:val="8"/>
                <w:szCs w:val="8"/>
                <w:color w:val="auto"/>
              </w:rPr>
            </w:pPr>
          </w:p>
        </w:tc>
      </w:tr>
      <w:tr>
        <w:trPr>
          <w:trHeight w:val="275"/>
        </w:trPr>
        <w:tc>
          <w:tcPr>
            <w:tcW w:w="860" w:type="dxa"/>
            <w:vAlign w:val="bottom"/>
          </w:tcPr>
          <w:p>
            <w:pPr>
              <w:spacing w:after="0"/>
              <w:rPr>
                <w:sz w:val="23"/>
                <w:szCs w:val="23"/>
                <w:color w:val="auto"/>
              </w:rPr>
            </w:pPr>
          </w:p>
        </w:tc>
        <w:tc>
          <w:tcPr>
            <w:tcW w:w="1920" w:type="dxa"/>
            <w:vAlign w:val="bottom"/>
          </w:tcPr>
          <w:p>
            <w:pPr>
              <w:ind w:left="140"/>
              <w:spacing w:after="0"/>
              <w:rPr>
                <w:sz w:val="20"/>
                <w:szCs w:val="20"/>
                <w:color w:val="auto"/>
              </w:rPr>
            </w:pPr>
            <w:r>
              <w:rPr>
                <w:rFonts w:ascii="Arial" w:cs="Arial" w:eastAsia="Arial" w:hAnsi="Arial"/>
                <w:sz w:val="14"/>
                <w:szCs w:val="14"/>
                <w:color w:val="0E2A35"/>
              </w:rPr>
              <w:t>Financial</w:t>
            </w: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For Messrs. Happe and Hughes, 65% of the 2021 annual incentive awards was based on achieving</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targeted levels of net sales (40%), operating income (50%), and net working capital (10%) at the enterprise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level. For Messrs. Bower and Hazelton, 65% of the 2021 annual incentive awards was based on achieving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targeted levels of net sales (40%), operating income (40%), and net working capital (20%) at the business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unit level. The other 35% was tied to individual metrics aligned with goals deemed important to advancing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business objectives.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Pursuant to the terms of his employment agreement, Mr. Clark’s incentive compensation is tied 100% to the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pretax net income of the Grand Design business that is part of our Towable segment.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Payout for the fiscal 2019-2021 LTIP awards was tied 50% to our three-year average Incentive ROIC and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50% to our three-year cumulative Incentive EPS.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Payout for the fiscal 2021 performance stock unit awards (PSUs) was tied 100% to Incentive EPS.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93"/>
        </w:trPr>
        <w:tc>
          <w:tcPr>
            <w:tcW w:w="860" w:type="dxa"/>
            <w:vAlign w:val="bottom"/>
          </w:tcPr>
          <w:p>
            <w:pPr>
              <w:spacing w:after="0"/>
              <w:rPr>
                <w:sz w:val="8"/>
                <w:szCs w:val="8"/>
                <w:color w:val="auto"/>
              </w:rPr>
            </w:pPr>
          </w:p>
        </w:tc>
        <w:tc>
          <w:tcPr>
            <w:tcW w:w="1920" w:type="dxa"/>
            <w:vAlign w:val="bottom"/>
            <w:tcBorders>
              <w:bottom w:val="single" w:sz="8" w:color="0E2A35"/>
            </w:tcBorders>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ind w:left="140"/>
              <w:spacing w:after="0"/>
              <w:rPr>
                <w:sz w:val="20"/>
                <w:szCs w:val="20"/>
                <w:color w:val="auto"/>
              </w:rPr>
            </w:pPr>
            <w:r>
              <w:rPr>
                <w:rFonts w:ascii="Arial" w:cs="Arial" w:eastAsia="Arial" w:hAnsi="Arial"/>
                <w:sz w:val="14"/>
                <w:szCs w:val="14"/>
                <w:color w:val="0E2A35"/>
              </w:rPr>
              <w:t>Total Shareholder Returns</w:t>
            </w: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With the exception of Mr. Clark, 58% of our NEO compensation on average was delivered in the form of</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2"/>
        </w:trPr>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20" w:type="dxa"/>
            <w:vAlign w:val="bottom"/>
          </w:tcPr>
          <w:p>
            <w:pPr>
              <w:ind w:left="380"/>
              <w:spacing w:after="0"/>
              <w:rPr>
                <w:sz w:val="20"/>
                <w:szCs w:val="20"/>
                <w:color w:val="auto"/>
              </w:rPr>
            </w:pPr>
            <w:r>
              <w:rPr>
                <w:rFonts w:ascii="Arial" w:cs="Arial" w:eastAsia="Arial" w:hAnsi="Arial"/>
                <w:sz w:val="14"/>
                <w:szCs w:val="14"/>
                <w:color w:val="0E2A35"/>
              </w:rPr>
              <w:t>Company equity awards (68% in the case of our CEO).</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93"/>
        </w:trPr>
        <w:tc>
          <w:tcPr>
            <w:tcW w:w="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68"/>
        </w:trPr>
        <w:tc>
          <w:tcPr>
            <w:tcW w:w="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72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15% of the annual equity grants made in fiscal 2021 were in the form of stock options, which only have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57"/>
        </w:trPr>
        <w:tc>
          <w:tcPr>
            <w:tcW w:w="860" w:type="dxa"/>
            <w:vAlign w:val="bottom"/>
          </w:tcPr>
          <w:p>
            <w:pPr>
              <w:spacing w:after="0"/>
              <w:rPr>
                <w:sz w:val="13"/>
                <w:szCs w:val="13"/>
                <w:color w:val="auto"/>
              </w:rPr>
            </w:pPr>
          </w:p>
        </w:tc>
        <w:tc>
          <w:tcPr>
            <w:tcW w:w="1920" w:type="dxa"/>
            <w:vAlign w:val="bottom"/>
            <w:tcBorders>
              <w:bottom w:val="single" w:sz="8" w:color="0E2A35"/>
            </w:tcBorders>
          </w:tcPr>
          <w:p>
            <w:pPr>
              <w:spacing w:after="0"/>
              <w:rPr>
                <w:sz w:val="13"/>
                <w:szCs w:val="13"/>
                <w:color w:val="auto"/>
              </w:rPr>
            </w:pPr>
          </w:p>
        </w:tc>
        <w:tc>
          <w:tcPr>
            <w:tcW w:w="7220" w:type="dxa"/>
            <w:vAlign w:val="bottom"/>
            <w:tcBorders>
              <w:bottom w:val="single" w:sz="8" w:color="0E2A35"/>
            </w:tcBorders>
          </w:tcPr>
          <w:p>
            <w:pPr>
              <w:ind w:left="380"/>
              <w:spacing w:after="0" w:line="157" w:lineRule="exact"/>
              <w:rPr>
                <w:sz w:val="20"/>
                <w:szCs w:val="20"/>
                <w:color w:val="auto"/>
              </w:rPr>
            </w:pPr>
            <w:r>
              <w:rPr>
                <w:rFonts w:ascii="Arial" w:cs="Arial" w:eastAsia="Arial" w:hAnsi="Arial"/>
                <w:sz w:val="14"/>
                <w:szCs w:val="14"/>
                <w:color w:val="0E2A35"/>
              </w:rPr>
              <w:t>value to the executive if the value of the Company grows for our shareholders.</w:t>
            </w:r>
          </w:p>
        </w:tc>
        <w:tc>
          <w:tcPr>
            <w:tcW w:w="140" w:type="dxa"/>
            <w:vAlign w:val="bottom"/>
            <w:tcBorders>
              <w:bottom w:val="single" w:sz="8" w:color="0E2A35"/>
            </w:tcBorders>
          </w:tcPr>
          <w:p>
            <w:pPr>
              <w:spacing w:after="0"/>
              <w:rPr>
                <w:sz w:val="13"/>
                <w:szCs w:val="13"/>
                <w:color w:val="auto"/>
              </w:rPr>
            </w:pPr>
          </w:p>
        </w:tc>
        <w:tc>
          <w:tcPr>
            <w:tcW w:w="880" w:type="dxa"/>
            <w:vAlign w:val="bottom"/>
          </w:tcPr>
          <w:p>
            <w:pPr>
              <w:spacing w:after="0"/>
              <w:rPr>
                <w:sz w:val="13"/>
                <w:szCs w:val="13"/>
                <w:color w:val="auto"/>
              </w:rPr>
            </w:pPr>
          </w:p>
        </w:tc>
      </w:tr>
      <w:tr>
        <w:trPr>
          <w:trHeight w:val="464"/>
        </w:trPr>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20" w:type="dxa"/>
            <w:vAlign w:val="bottom"/>
          </w:tcPr>
          <w:p>
            <w:pPr>
              <w:ind w:left="4640"/>
              <w:spacing w:after="0"/>
              <w:rPr>
                <w:sz w:val="20"/>
                <w:szCs w:val="20"/>
                <w:color w:val="auto"/>
              </w:rPr>
            </w:pPr>
            <w:r>
              <w:rPr>
                <w:rFonts w:ascii="Arial" w:cs="Arial" w:eastAsia="Arial" w:hAnsi="Arial"/>
                <w:sz w:val="13"/>
                <w:szCs w:val="13"/>
                <w:color w:val="0E2A35"/>
              </w:rPr>
              <w:t>Proxy Statement for 2021 Annual Meeting</w:t>
            </w:r>
          </w:p>
        </w:tc>
        <w:tc>
          <w:tcPr>
            <w:tcW w:w="102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w w:val="82"/>
              </w:rPr>
              <w:t>35</w:t>
            </w:r>
          </w:p>
        </w:tc>
      </w:tr>
      <w:tr>
        <w:trPr>
          <w:trHeight w:val="239"/>
        </w:trPr>
        <w:tc>
          <w:tcPr>
            <w:tcW w:w="8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0" w:name="page41"/>
    <w:bookmarkEnd w:id="4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Based on our performance as measured against predefined goals, the 2019-2021 LTIP paid out at 67.9% of target, and the fiscal 2021 Annual Incentive Plan paid out as follows for all NEOs, except for Mr. Clark: 160.0% of target for Mr. Happe, 159.2% of target for Mr. Hughes, 156.0% of target for Mr. Bower, and 159.1% of target for Mr. Hazelton.</w:t>
      </w:r>
    </w:p>
    <w:p>
      <w:pPr>
        <w:spacing w:after="0" w:line="174" w:lineRule="exact"/>
        <w:rPr>
          <w:sz w:val="20"/>
          <w:szCs w:val="20"/>
          <w:color w:val="auto"/>
        </w:rPr>
      </w:pPr>
    </w:p>
    <w:p>
      <w:pPr>
        <w:ind w:left="860" w:right="1140"/>
        <w:spacing w:after="0" w:line="251" w:lineRule="auto"/>
        <w:rPr>
          <w:sz w:val="20"/>
          <w:szCs w:val="20"/>
          <w:color w:val="auto"/>
        </w:rPr>
      </w:pPr>
      <w:r>
        <w:rPr>
          <w:rFonts w:ascii="Arial" w:cs="Arial" w:eastAsia="Arial" w:hAnsi="Arial"/>
          <w:sz w:val="16"/>
          <w:szCs w:val="16"/>
          <w:color w:val="0E2A35"/>
        </w:rPr>
        <w:t>Mr. Clark received a cash and stock incentive award of $10,119,403 for fiscal 2021, of which $9,107,463 was paid in cash and $1,011,940 was paid in restricted stock units for fiscal 2021 performance. This represents an 83% increase compared to fiscal 2020, based on the strong performance of Grand Design during fiscal 2021. The cash incentive was paid in four quarterly installments with respect to fiscal 2021, and the restricted stock units were issued in October 2021.</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PSUs paid out at 200% of target based on achievement of Incentive EPS performance results.</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Other Pay and Governance Practices</w:t>
      </w:r>
    </w:p>
    <w:p>
      <w:pPr>
        <w:spacing w:after="0" w:line="213" w:lineRule="exact"/>
        <w:rPr>
          <w:sz w:val="20"/>
          <w:szCs w:val="20"/>
          <w:color w:val="auto"/>
        </w:rPr>
      </w:pPr>
    </w:p>
    <w:p>
      <w:pPr>
        <w:ind w:left="860" w:right="980"/>
        <w:spacing w:after="0" w:line="260" w:lineRule="auto"/>
        <w:rPr>
          <w:sz w:val="20"/>
          <w:szCs w:val="20"/>
          <w:color w:val="auto"/>
        </w:rPr>
      </w:pPr>
      <w:r>
        <w:rPr>
          <w:rFonts w:ascii="Arial" w:cs="Arial" w:eastAsia="Arial" w:hAnsi="Arial"/>
          <w:sz w:val="16"/>
          <w:szCs w:val="16"/>
          <w:color w:val="0E2A35"/>
        </w:rPr>
        <w:t>The Company has adopted the following key programs, policies and practices to respond to evolving good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28575</wp:posOffset>
            </wp:positionV>
            <wp:extent cx="5897880"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97880" cy="25717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35"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FFFFFF"/>
        </w:rPr>
        <w:t>What we do</w:t>
      </w:r>
    </w:p>
    <w:p>
      <w:pPr>
        <w:spacing w:after="0" w:line="257" w:lineRule="exact"/>
        <w:rPr>
          <w:sz w:val="20"/>
          <w:szCs w:val="20"/>
          <w:color w:val="auto"/>
        </w:rPr>
      </w:pPr>
    </w:p>
    <w:p>
      <w:pPr>
        <w:ind w:left="1320" w:hanging="312"/>
        <w:spacing w:after="0"/>
        <w:tabs>
          <w:tab w:leader="none" w:pos="1320"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Tie the majority of target total compensation to performance</w:t>
      </w:r>
    </w:p>
    <w:p>
      <w:pPr>
        <w:spacing w:after="0" w:line="14" w:lineRule="exact"/>
        <w:rPr>
          <w:rFonts w:ascii="MS PGothic" w:cs="MS PGothic" w:eastAsia="MS PGothic" w:hAnsi="MS PGothic"/>
          <w:sz w:val="14"/>
          <w:szCs w:val="14"/>
          <w:color w:val="0E2A35"/>
        </w:rPr>
      </w:pPr>
    </w:p>
    <w:p>
      <w:pPr>
        <w:ind w:left="1260" w:right="340" w:hanging="252"/>
        <w:spacing w:after="0" w:line="251"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Provide appropriate mix of fixed and variable pay to reward Company, line of business, and individual performance</w:t>
      </w:r>
    </w:p>
    <w:p>
      <w:pPr>
        <w:ind w:left="1260" w:right="180" w:hanging="252"/>
        <w:spacing w:after="0" w:line="251" w:lineRule="auto"/>
        <w:tabs>
          <w:tab w:leader="none" w:pos="1265"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Align executive interests with the interests of the shareholders through equity-based awards</w:t>
      </w:r>
    </w:p>
    <w:p>
      <w:pPr>
        <w:ind w:left="1260" w:hanging="252"/>
        <w:spacing w:after="0" w:line="246"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Maintain a clawback policy, applicable to our executive officers’ incentive awards, which provides for the recoupment of incentive compensation payouts following certain financial restatements or in the event of certain misconduct</w:t>
      </w:r>
    </w:p>
    <w:p>
      <w:pPr>
        <w:spacing w:after="0" w:line="1" w:lineRule="exact"/>
        <w:rPr>
          <w:rFonts w:ascii="MS PGothic" w:cs="MS PGothic" w:eastAsia="MS PGothic" w:hAnsi="MS PGothic"/>
          <w:sz w:val="14"/>
          <w:szCs w:val="14"/>
          <w:color w:val="0E2A35"/>
        </w:rPr>
      </w:pPr>
    </w:p>
    <w:p>
      <w:pPr>
        <w:ind w:left="1260" w:right="260" w:hanging="252"/>
        <w:spacing w:after="0" w:line="251" w:lineRule="auto"/>
        <w:tabs>
          <w:tab w:leader="none" w:pos="1265"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Align our performance goals and measures with our strategy and operating plan</w:t>
      </w:r>
    </w:p>
    <w:p>
      <w:pPr>
        <w:ind w:left="1260" w:right="300" w:hanging="252"/>
        <w:spacing w:after="0" w:line="251"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Maintain meaningful executive and director stock ownership guidelines</w:t>
      </w:r>
    </w:p>
    <w:p>
      <w:pPr>
        <w:ind w:left="1280" w:hanging="272"/>
        <w:spacing w:after="0"/>
        <w:tabs>
          <w:tab w:leader="none" w:pos="1280"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Conduct annual “say-on-pay” advisory votes</w:t>
      </w:r>
    </w:p>
    <w:p>
      <w:pPr>
        <w:spacing w:after="0" w:line="14" w:lineRule="exact"/>
        <w:rPr>
          <w:rFonts w:ascii="MS PGothic" w:cs="MS PGothic" w:eastAsia="MS PGothic" w:hAnsi="MS PGothic"/>
          <w:sz w:val="14"/>
          <w:szCs w:val="14"/>
          <w:color w:val="0E2A35"/>
        </w:rPr>
      </w:pPr>
    </w:p>
    <w:p>
      <w:pPr>
        <w:ind w:left="1260" w:right="420" w:hanging="252"/>
        <w:spacing w:after="0" w:line="278" w:lineRule="auto"/>
        <w:tabs>
          <w:tab w:leader="none" w:pos="1273" w:val="left"/>
        </w:tabs>
        <w:numPr>
          <w:ilvl w:val="0"/>
          <w:numId w:val="20"/>
        </w:numPr>
        <w:rPr>
          <w:rFonts w:ascii="MS PGothic" w:cs="MS PGothic" w:eastAsia="MS PGothic" w:hAnsi="MS PGothic"/>
          <w:sz w:val="14"/>
          <w:szCs w:val="14"/>
          <w:color w:val="0E2A35"/>
        </w:rPr>
      </w:pPr>
      <w:r>
        <w:rPr>
          <w:rFonts w:ascii="Arial" w:cs="Arial" w:eastAsia="Arial" w:hAnsi="Arial"/>
          <w:sz w:val="14"/>
          <w:szCs w:val="14"/>
          <w:color w:val="0E2A35"/>
        </w:rPr>
        <w:t>Use an outside, independent third-party advisor to provide objective compensation advice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555"/>
        <w:spacing w:after="0"/>
        <w:rPr>
          <w:sz w:val="20"/>
          <w:szCs w:val="20"/>
          <w:color w:val="auto"/>
        </w:rPr>
      </w:pPr>
      <w:r>
        <w:rPr>
          <w:rFonts w:ascii="Arial" w:cs="Arial" w:eastAsia="Arial" w:hAnsi="Arial"/>
          <w:sz w:val="16"/>
          <w:szCs w:val="16"/>
          <w:b w:val="1"/>
          <w:bCs w:val="1"/>
          <w:color w:val="FFFFFF"/>
        </w:rPr>
        <w:t>What we don’t do</w:t>
      </w:r>
    </w:p>
    <w:p>
      <w:pPr>
        <w:spacing w:after="0" w:line="244" w:lineRule="exact"/>
        <w:rPr>
          <w:sz w:val="20"/>
          <w:szCs w:val="20"/>
          <w:color w:val="auto"/>
        </w:rPr>
      </w:pP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Provide excessive severance benefits to our executive officers</w:t>
      </w:r>
    </w:p>
    <w:p>
      <w:pPr>
        <w:spacing w:after="0" w:line="14" w:lineRule="exact"/>
        <w:rPr>
          <w:rFonts w:ascii="MS PGothic" w:cs="MS PGothic" w:eastAsia="MS PGothic" w:hAnsi="MS PGothic"/>
          <w:sz w:val="14"/>
          <w:szCs w:val="14"/>
          <w:color w:val="0E2A35"/>
        </w:rPr>
      </w:pP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Provide excise tax gross-ups upon change in control</w:t>
      </w:r>
    </w:p>
    <w:p>
      <w:pPr>
        <w:spacing w:after="0" w:line="14" w:lineRule="exact"/>
        <w:rPr>
          <w:rFonts w:ascii="MS PGothic" w:cs="MS PGothic" w:eastAsia="MS PGothic" w:hAnsi="MS PGothic"/>
          <w:sz w:val="14"/>
          <w:szCs w:val="14"/>
          <w:color w:val="0E2A35"/>
        </w:rPr>
      </w:pPr>
    </w:p>
    <w:p>
      <w:pPr>
        <w:ind w:left="235" w:right="1100" w:hanging="235"/>
        <w:spacing w:after="0" w:line="251" w:lineRule="auto"/>
        <w:tabs>
          <w:tab w:leader="none" w:pos="259"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Grant equity awards subject to automatic acceleration of vesting (i.e., single-trigger) upon change in control (as of fiscal 2019)</w:t>
      </w:r>
    </w:p>
    <w:p>
      <w:pPr>
        <w:ind w:left="235" w:right="1020" w:hanging="235"/>
        <w:spacing w:after="0" w:line="251" w:lineRule="auto"/>
        <w:tabs>
          <w:tab w:leader="none" w:pos="251"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Allow for hedging or speculative trading of Company securities by executives or directors</w:t>
      </w: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Reprice options without shareholder approval</w:t>
      </w:r>
    </w:p>
    <w:p>
      <w:pPr>
        <w:spacing w:after="0" w:line="14" w:lineRule="exact"/>
        <w:rPr>
          <w:rFonts w:ascii="MS PGothic" w:cs="MS PGothic" w:eastAsia="MS PGothic" w:hAnsi="MS PGothic"/>
          <w:sz w:val="14"/>
          <w:szCs w:val="14"/>
          <w:color w:val="0E2A35"/>
        </w:rPr>
      </w:pPr>
    </w:p>
    <w:p>
      <w:pPr>
        <w:ind w:left="275" w:hanging="275"/>
        <w:spacing w:after="0"/>
        <w:tabs>
          <w:tab w:leader="none" w:pos="27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Provide significant perquisites</w:t>
      </w:r>
    </w:p>
    <w:p>
      <w:pPr>
        <w:spacing w:after="0" w:line="14" w:lineRule="exact"/>
        <w:rPr>
          <w:rFonts w:ascii="MS PGothic" w:cs="MS PGothic" w:eastAsia="MS PGothic" w:hAnsi="MS PGothic"/>
          <w:sz w:val="14"/>
          <w:szCs w:val="14"/>
          <w:color w:val="0E2A35"/>
        </w:rPr>
      </w:pPr>
    </w:p>
    <w:p>
      <w:pPr>
        <w:ind w:left="255" w:hanging="255"/>
        <w:spacing w:after="0"/>
        <w:tabs>
          <w:tab w:leader="none" w:pos="255" w:val="left"/>
        </w:tabs>
        <w:numPr>
          <w:ilvl w:val="0"/>
          <w:numId w:val="21"/>
        </w:numPr>
        <w:rPr>
          <w:rFonts w:ascii="MS PGothic" w:cs="MS PGothic" w:eastAsia="MS PGothic" w:hAnsi="MS PGothic"/>
          <w:sz w:val="14"/>
          <w:szCs w:val="14"/>
          <w:color w:val="0E2A35"/>
        </w:rPr>
      </w:pPr>
      <w:r>
        <w:rPr>
          <w:rFonts w:ascii="Arial" w:cs="Arial" w:eastAsia="Arial" w:hAnsi="Arial"/>
          <w:sz w:val="14"/>
          <w:szCs w:val="14"/>
          <w:color w:val="0E2A35"/>
        </w:rPr>
        <w:t>Allow for pledging by our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743585</wp:posOffset>
            </wp:positionV>
            <wp:extent cx="58978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410" w:lineRule="exact"/>
        <w:rPr>
          <w:sz w:val="20"/>
          <w:szCs w:val="20"/>
          <w:color w:val="auto"/>
        </w:rPr>
      </w:pPr>
    </w:p>
    <w:p>
      <w:pPr>
        <w:sectPr>
          <w:pgSz w:w="11900" w:h="16838" w:orient="portrait"/>
          <w:cols w:equalWidth="0" w:num="2">
            <w:col w:w="5380" w:space="205"/>
            <w:col w:w="5435"/>
          </w:cols>
          <w:pgMar w:left="440" w:top="265" w:right="439" w:bottom="1440" w:gutter="0" w:footer="0" w:header="0"/>
          <w:type w:val="continuous"/>
        </w:sectPr>
      </w:pPr>
    </w:p>
    <w:p>
      <w:pPr>
        <w:spacing w:after="0" w:line="7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Advisory Vote on Executive Compensation</w:t>
      </w:r>
    </w:p>
    <w:p>
      <w:pPr>
        <w:spacing w:after="0" w:line="200" w:lineRule="exact"/>
        <w:rPr>
          <w:sz w:val="20"/>
          <w:szCs w:val="20"/>
          <w:color w:val="auto"/>
        </w:rPr>
      </w:pPr>
    </w:p>
    <w:p>
      <w:pPr>
        <w:ind w:left="860" w:right="960"/>
        <w:spacing w:after="0" w:line="249" w:lineRule="auto"/>
        <w:rPr>
          <w:sz w:val="20"/>
          <w:szCs w:val="20"/>
          <w:color w:val="auto"/>
        </w:rPr>
      </w:pPr>
      <w:r>
        <w:rPr>
          <w:rFonts w:ascii="Arial" w:cs="Arial" w:eastAsia="Arial" w:hAnsi="Arial"/>
          <w:sz w:val="16"/>
          <w:szCs w:val="16"/>
          <w:color w:val="0E2A35"/>
        </w:rPr>
        <w:t>At our 2020 annual meeting of shareholders, our shareholders voted to approve on an advisory basis the compensation of our NEOs. 98.3% of the votes cast with respect to this proposal were cast for approval of our NEOs’ compensation. The Human Resources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41" w:name="page42"/>
    <w:bookmarkEnd w:id="4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Elements of Fiscal 2021 Compensation</w:t>
      </w:r>
    </w:p>
    <w:p>
      <w:pPr>
        <w:spacing w:after="0" w:line="213" w:lineRule="exact"/>
        <w:rPr>
          <w:sz w:val="20"/>
          <w:szCs w:val="20"/>
          <w:color w:val="auto"/>
        </w:rPr>
      </w:pPr>
    </w:p>
    <w:p>
      <w:pPr>
        <w:ind w:left="860" w:right="1320"/>
        <w:spacing w:after="0" w:line="260" w:lineRule="auto"/>
        <w:rPr>
          <w:sz w:val="20"/>
          <w:szCs w:val="20"/>
          <w:color w:val="auto"/>
        </w:rPr>
      </w:pPr>
      <w:r>
        <w:rPr>
          <w:rFonts w:ascii="Arial" w:cs="Arial" w:eastAsia="Arial" w:hAnsi="Arial"/>
          <w:sz w:val="16"/>
          <w:szCs w:val="16"/>
          <w:color w:val="0E2A35"/>
        </w:rPr>
        <w:t>The table below lays out the fiscal 2021 compensation elements for all NEOs other than Mr. Bower and Mr. Clark, neither of whom were eligible for the PSUs specific to fiscal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880" w:type="dxa"/>
            <w:vAlign w:val="bottom"/>
            <w:tcBorders>
              <w:right w:val="single" w:sz="8" w:color="0E2A35"/>
            </w:tcBorders>
          </w:tcPr>
          <w:p>
            <w:pPr>
              <w:spacing w:after="0"/>
              <w:rPr>
                <w:sz w:val="24"/>
                <w:szCs w:val="24"/>
                <w:color w:val="auto"/>
              </w:rPr>
            </w:pPr>
          </w:p>
        </w:tc>
        <w:tc>
          <w:tcPr>
            <w:tcW w:w="760" w:type="dxa"/>
            <w:vAlign w:val="bottom"/>
            <w:tcBorders>
              <w:top w:val="single" w:sz="8" w:color="0E2A35"/>
              <w:right w:val="single" w:sz="8" w:color="0E2A35"/>
            </w:tcBorders>
          </w:tcPr>
          <w:p>
            <w:pPr>
              <w:spacing w:after="0"/>
              <w:rPr>
                <w:sz w:val="24"/>
                <w:szCs w:val="24"/>
                <w:color w:val="auto"/>
              </w:rPr>
            </w:pPr>
          </w:p>
        </w:tc>
        <w:tc>
          <w:tcPr>
            <w:tcW w:w="40" w:type="dxa"/>
            <w:vAlign w:val="bottom"/>
            <w:tcBorders>
              <w:top w:val="single" w:sz="8" w:color="0E2A35"/>
            </w:tcBorders>
          </w:tcPr>
          <w:p>
            <w:pPr>
              <w:spacing w:after="0"/>
              <w:rPr>
                <w:sz w:val="24"/>
                <w:szCs w:val="24"/>
                <w:color w:val="auto"/>
              </w:rPr>
            </w:pPr>
          </w:p>
        </w:tc>
        <w:tc>
          <w:tcPr>
            <w:tcW w:w="2180" w:type="dxa"/>
            <w:vAlign w:val="bottom"/>
            <w:tcBorders>
              <w:top w:val="single" w:sz="8" w:color="0E2A35"/>
              <w:bottom w:val="single" w:sz="8" w:color="0E2A35"/>
            </w:tcBorders>
          </w:tcPr>
          <w:p>
            <w:pPr>
              <w:ind w:left="820"/>
              <w:spacing w:after="0"/>
              <w:rPr>
                <w:sz w:val="20"/>
                <w:szCs w:val="20"/>
                <w:color w:val="auto"/>
              </w:rPr>
            </w:pPr>
            <w:r>
              <w:rPr>
                <w:rFonts w:ascii="Arial" w:cs="Arial" w:eastAsia="Arial" w:hAnsi="Arial"/>
                <w:sz w:val="14"/>
                <w:szCs w:val="14"/>
                <w:b w:val="1"/>
                <w:bCs w:val="1"/>
                <w:color w:val="0E2A35"/>
              </w:rPr>
              <w:t>Element</w:t>
            </w:r>
          </w:p>
        </w:tc>
        <w:tc>
          <w:tcPr>
            <w:tcW w:w="80" w:type="dxa"/>
            <w:vAlign w:val="bottom"/>
            <w:tcBorders>
              <w:top w:val="single" w:sz="8" w:color="0E2A35"/>
              <w:right w:val="single" w:sz="8" w:color="0E2A35"/>
            </w:tcBorders>
          </w:tcPr>
          <w:p>
            <w:pPr>
              <w:spacing w:after="0"/>
              <w:rPr>
                <w:sz w:val="24"/>
                <w:szCs w:val="24"/>
                <w:color w:val="auto"/>
              </w:rPr>
            </w:pPr>
          </w:p>
        </w:tc>
        <w:tc>
          <w:tcPr>
            <w:tcW w:w="20" w:type="dxa"/>
            <w:vAlign w:val="bottom"/>
            <w:tcBorders>
              <w:top w:val="single" w:sz="8" w:color="0E2A35"/>
            </w:tcBorders>
          </w:tcPr>
          <w:p>
            <w:pPr>
              <w:spacing w:after="0"/>
              <w:rPr>
                <w:sz w:val="24"/>
                <w:szCs w:val="24"/>
                <w:color w:val="auto"/>
              </w:rPr>
            </w:pPr>
          </w:p>
        </w:tc>
        <w:tc>
          <w:tcPr>
            <w:tcW w:w="140" w:type="dxa"/>
            <w:vAlign w:val="bottom"/>
            <w:tcBorders>
              <w:top w:val="single" w:sz="8" w:color="0E2A35"/>
              <w:bottom w:val="single" w:sz="8" w:color="0E2A35"/>
            </w:tcBorders>
          </w:tcPr>
          <w:p>
            <w:pPr>
              <w:spacing w:after="0"/>
              <w:rPr>
                <w:sz w:val="24"/>
                <w:szCs w:val="24"/>
                <w:color w:val="auto"/>
              </w:rPr>
            </w:pPr>
          </w:p>
        </w:tc>
        <w:tc>
          <w:tcPr>
            <w:tcW w:w="340" w:type="dxa"/>
            <w:vAlign w:val="bottom"/>
            <w:tcBorders>
              <w:top w:val="single" w:sz="8" w:color="0E2A35"/>
              <w:bottom w:val="single" w:sz="8" w:color="0E2A35"/>
            </w:tcBorders>
          </w:tcPr>
          <w:p>
            <w:pPr>
              <w:spacing w:after="0"/>
              <w:rPr>
                <w:sz w:val="24"/>
                <w:szCs w:val="24"/>
                <w:color w:val="auto"/>
              </w:rPr>
            </w:pPr>
          </w:p>
        </w:tc>
        <w:tc>
          <w:tcPr>
            <w:tcW w:w="3120" w:type="dxa"/>
            <w:vAlign w:val="bottom"/>
            <w:tcBorders>
              <w:top w:val="single" w:sz="8" w:color="0E2A35"/>
              <w:bottom w:val="single" w:sz="8" w:color="0E2A35"/>
            </w:tcBorders>
          </w:tcPr>
          <w:p>
            <w:pPr>
              <w:ind w:left="960"/>
              <w:spacing w:after="0"/>
              <w:rPr>
                <w:sz w:val="20"/>
                <w:szCs w:val="20"/>
                <w:color w:val="auto"/>
              </w:rPr>
            </w:pPr>
            <w:r>
              <w:rPr>
                <w:rFonts w:ascii="Arial" w:cs="Arial" w:eastAsia="Arial" w:hAnsi="Arial"/>
                <w:sz w:val="14"/>
                <w:szCs w:val="14"/>
                <w:b w:val="1"/>
                <w:bCs w:val="1"/>
                <w:color w:val="0E2A35"/>
              </w:rPr>
              <w:t>Mechanics</w:t>
            </w:r>
          </w:p>
        </w:tc>
        <w:tc>
          <w:tcPr>
            <w:tcW w:w="80" w:type="dxa"/>
            <w:vAlign w:val="bottom"/>
            <w:tcBorders>
              <w:top w:val="single" w:sz="8" w:color="0E2A35"/>
              <w:right w:val="single" w:sz="8" w:color="0E2A35"/>
            </w:tcBorders>
          </w:tcPr>
          <w:p>
            <w:pPr>
              <w:spacing w:after="0"/>
              <w:rPr>
                <w:sz w:val="24"/>
                <w:szCs w:val="24"/>
                <w:color w:val="auto"/>
              </w:rPr>
            </w:pPr>
          </w:p>
        </w:tc>
        <w:tc>
          <w:tcPr>
            <w:tcW w:w="40" w:type="dxa"/>
            <w:vAlign w:val="bottom"/>
            <w:tcBorders>
              <w:top w:val="single" w:sz="8" w:color="0E2A35"/>
            </w:tcBorders>
          </w:tcPr>
          <w:p>
            <w:pPr>
              <w:spacing w:after="0"/>
              <w:rPr>
                <w:sz w:val="24"/>
                <w:szCs w:val="24"/>
                <w:color w:val="auto"/>
              </w:rPr>
            </w:pPr>
          </w:p>
        </w:tc>
        <w:tc>
          <w:tcPr>
            <w:tcW w:w="2420" w:type="dxa"/>
            <w:vAlign w:val="bottom"/>
            <w:tcBorders>
              <w:top w:val="single" w:sz="8" w:color="0E2A35"/>
              <w:bottom w:val="single" w:sz="8" w:color="0E2A35"/>
            </w:tcBorders>
          </w:tcPr>
          <w:p>
            <w:pPr>
              <w:ind w:left="880"/>
              <w:spacing w:after="0"/>
              <w:rPr>
                <w:sz w:val="20"/>
                <w:szCs w:val="20"/>
                <w:color w:val="auto"/>
              </w:rPr>
            </w:pPr>
            <w:r>
              <w:rPr>
                <w:rFonts w:ascii="Arial" w:cs="Arial" w:eastAsia="Arial" w:hAnsi="Arial"/>
                <w:sz w:val="14"/>
                <w:szCs w:val="14"/>
                <w:b w:val="1"/>
                <w:bCs w:val="1"/>
                <w:color w:val="0E2A35"/>
              </w:rPr>
              <w:t>Rationale</w:t>
            </w:r>
          </w:p>
        </w:tc>
        <w:tc>
          <w:tcPr>
            <w:tcW w:w="60" w:type="dxa"/>
            <w:vAlign w:val="bottom"/>
            <w:tcBorders>
              <w:top w:val="single" w:sz="8" w:color="0E2A35"/>
              <w:right w:val="single" w:sz="8" w:color="0E2A35"/>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Salary</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Weekly payments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Provides competitive fixed pay to</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Values correspond to experience and job scope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attract employees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Officers Incentive</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Annual payout tied to performance against pre-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Incentivizes achievement of key</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Compensation Plan (OICP)</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metrics and goals across a one-year</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annual objectives at an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performance period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enterprise-wide or individual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fiscal 2021, the metrics for Messrs. Happe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business unit level - driving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and Hughes included: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progress towards achievement of</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65% financial objectives (enterprise level)</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long-term initiatives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40% Net Sales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50% Operating Income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880" w:type="dxa"/>
            <w:vAlign w:val="bottom"/>
            <w:tcBorders>
              <w:right w:val="single" w:sz="8" w:color="0E2A35"/>
            </w:tcBorders>
          </w:tcPr>
          <w:p>
            <w:pPr>
              <w:spacing w:after="0"/>
              <w:rPr>
                <w:sz w:val="9"/>
                <w:szCs w:val="9"/>
                <w:color w:val="auto"/>
              </w:rPr>
            </w:pPr>
          </w:p>
        </w:tc>
        <w:tc>
          <w:tcPr>
            <w:tcW w:w="760" w:type="dxa"/>
            <w:vAlign w:val="bottom"/>
            <w:tcBorders>
              <w:right w:val="single" w:sz="8" w:color="0E2A35"/>
            </w:tcBorders>
            <w:vMerge w:val="continue"/>
          </w:tcPr>
          <w:p>
            <w:pPr>
              <w:spacing w:after="0"/>
              <w:rPr>
                <w:sz w:val="9"/>
                <w:szCs w:val="9"/>
                <w:color w:val="auto"/>
              </w:rPr>
            </w:pPr>
          </w:p>
        </w:tc>
        <w:tc>
          <w:tcPr>
            <w:tcW w:w="2300" w:type="dxa"/>
            <w:vAlign w:val="bottom"/>
            <w:tcBorders>
              <w:right w:val="single" w:sz="8" w:color="0E2A35"/>
            </w:tcBorders>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40" w:type="dxa"/>
            <w:vAlign w:val="bottom"/>
            <w:tcBorders>
              <w:right w:val="single" w:sz="8" w:color="0E2A35"/>
            </w:tcBorders>
            <w:gridSpan w:val="3"/>
            <w:vMerge w:val="restart"/>
          </w:tcPr>
          <w:p>
            <w:pPr>
              <w:ind w:left="180"/>
              <w:spacing w:after="0"/>
              <w:rPr>
                <w:sz w:val="20"/>
                <w:szCs w:val="20"/>
                <w:color w:val="auto"/>
              </w:rPr>
            </w:pPr>
            <w:r>
              <w:rPr>
                <w:rFonts w:ascii="Arial" w:cs="Arial" w:eastAsia="Arial" w:hAnsi="Arial"/>
                <w:sz w:val="11"/>
                <w:szCs w:val="11"/>
                <w:color w:val="0E2A35"/>
              </w:rPr>
              <w:t xml:space="preserve">○   </w:t>
            </w:r>
            <w:r>
              <w:rPr>
                <w:rFonts w:ascii="Arial" w:cs="Arial" w:eastAsia="Arial" w:hAnsi="Arial"/>
                <w:sz w:val="16"/>
                <w:szCs w:val="16"/>
                <w:color w:val="0E2A35"/>
              </w:rPr>
              <w:t>10% Net Working Capital</w:t>
            </w: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Borders>
              <w:right w:val="single" w:sz="8" w:color="0E2A35"/>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80" w:type="dxa"/>
            <w:vAlign w:val="bottom"/>
            <w:tcBorders>
              <w:right w:val="single" w:sz="8" w:color="0E2A35"/>
            </w:tcBorders>
          </w:tcPr>
          <w:p>
            <w:pPr>
              <w:spacing w:after="0"/>
              <w:rPr>
                <w:sz w:val="7"/>
                <w:szCs w:val="7"/>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Cash</w:t>
            </w:r>
          </w:p>
        </w:tc>
        <w:tc>
          <w:tcPr>
            <w:tcW w:w="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Borders>
              <w:right w:val="single" w:sz="8" w:color="0E2A35"/>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40" w:type="dxa"/>
            <w:vAlign w:val="bottom"/>
            <w:tcBorders>
              <w:right w:val="single" w:sz="8" w:color="0E2A35"/>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60" w:type="dxa"/>
            <w:vAlign w:val="bottom"/>
            <w:tcBorders>
              <w:right w:val="single" w:sz="8" w:color="0E2A35"/>
            </w:tcBorders>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0E2A35"/>
            </w:tcBorders>
          </w:tcPr>
          <w:p>
            <w:pPr>
              <w:spacing w:after="0"/>
              <w:rPr>
                <w:sz w:val="9"/>
                <w:szCs w:val="9"/>
                <w:color w:val="auto"/>
              </w:rPr>
            </w:pPr>
          </w:p>
        </w:tc>
        <w:tc>
          <w:tcPr>
            <w:tcW w:w="760" w:type="dxa"/>
            <w:vAlign w:val="bottom"/>
            <w:tcBorders>
              <w:right w:val="single" w:sz="8" w:color="0E2A35"/>
            </w:tcBorders>
            <w:vMerge w:val="continue"/>
          </w:tcPr>
          <w:p>
            <w:pPr>
              <w:spacing w:after="0"/>
              <w:rPr>
                <w:sz w:val="9"/>
                <w:szCs w:val="9"/>
                <w:color w:val="auto"/>
              </w:rPr>
            </w:pPr>
          </w:p>
        </w:tc>
        <w:tc>
          <w:tcPr>
            <w:tcW w:w="2300" w:type="dxa"/>
            <w:vAlign w:val="bottom"/>
            <w:tcBorders>
              <w:right w:val="single" w:sz="8" w:color="0E2A35"/>
            </w:tcBorders>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E2A35"/>
              </w:rPr>
              <w:t>•</w:t>
            </w:r>
          </w:p>
        </w:tc>
        <w:tc>
          <w:tcPr>
            <w:tcW w:w="3540" w:type="dxa"/>
            <w:vAlign w:val="bottom"/>
            <w:tcBorders>
              <w:right w:val="single" w:sz="8" w:color="0E2A35"/>
            </w:tcBorders>
            <w:gridSpan w:val="3"/>
            <w:vMerge w:val="restart"/>
          </w:tcPr>
          <w:p>
            <w:pPr>
              <w:ind w:left="80"/>
              <w:spacing w:after="0"/>
              <w:rPr>
                <w:sz w:val="20"/>
                <w:szCs w:val="20"/>
                <w:color w:val="auto"/>
              </w:rPr>
            </w:pPr>
            <w:r>
              <w:rPr>
                <w:rFonts w:ascii="Arial" w:cs="Arial" w:eastAsia="Arial" w:hAnsi="Arial"/>
                <w:sz w:val="16"/>
                <w:szCs w:val="16"/>
                <w:color w:val="0E2A35"/>
              </w:rPr>
              <w:t>35% Individual Objectives</w:t>
            </w: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Borders>
              <w:right w:val="single" w:sz="8" w:color="0E2A35"/>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80" w:type="dxa"/>
            <w:vAlign w:val="bottom"/>
            <w:tcBorders>
              <w:right w:val="single" w:sz="8" w:color="0E2A35"/>
            </w:tcBorders>
          </w:tcPr>
          <w:p>
            <w:pPr>
              <w:spacing w:after="0"/>
              <w:rPr>
                <w:sz w:val="6"/>
                <w:szCs w:val="6"/>
                <w:color w:val="auto"/>
              </w:rPr>
            </w:pPr>
          </w:p>
        </w:tc>
        <w:tc>
          <w:tcPr>
            <w:tcW w:w="760" w:type="dxa"/>
            <w:vAlign w:val="bottom"/>
            <w:tcBorders>
              <w:right w:val="single" w:sz="8" w:color="0E2A35"/>
            </w:tcBorders>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80" w:type="dxa"/>
            <w:vAlign w:val="bottom"/>
            <w:tcBorders>
              <w:right w:val="single" w:sz="8" w:color="0E2A35"/>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3540" w:type="dxa"/>
            <w:vAlign w:val="bottom"/>
            <w:tcBorders>
              <w:right w:val="single" w:sz="8" w:color="0E2A35"/>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60" w:type="dxa"/>
            <w:vAlign w:val="bottom"/>
            <w:tcBorders>
              <w:right w:val="single" w:sz="8" w:color="0E2A35"/>
            </w:tcBorders>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Payouts range from 0%-200% of a pre-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target value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fiscal 2021, the metrics for Messrs. Bower</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and Hazelton included:</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65% financial objectives (business unit</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Borders>
              <w:right w:val="single" w:sz="8" w:color="0E2A35"/>
            </w:tcBorders>
            <w:gridSpan w:val="3"/>
          </w:tcPr>
          <w:p>
            <w:pPr>
              <w:ind w:left="120"/>
              <w:spacing w:after="0"/>
              <w:rPr>
                <w:sz w:val="20"/>
                <w:szCs w:val="20"/>
                <w:color w:val="auto"/>
              </w:rPr>
            </w:pPr>
            <w:r>
              <w:rPr>
                <w:rFonts w:ascii="Arial" w:cs="Arial" w:eastAsia="Arial" w:hAnsi="Arial"/>
                <w:sz w:val="16"/>
                <w:szCs w:val="16"/>
                <w:color w:val="0E2A35"/>
              </w:rPr>
              <w:t>level)</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40% Net Sales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ind w:left="180"/>
              <w:spacing w:after="0"/>
              <w:rPr>
                <w:sz w:val="20"/>
                <w:szCs w:val="20"/>
                <w:color w:val="auto"/>
              </w:rPr>
            </w:pPr>
            <w:r>
              <w:rPr>
                <w:rFonts w:ascii="Arial" w:cs="Arial" w:eastAsia="Arial" w:hAnsi="Arial"/>
                <w:sz w:val="11"/>
                <w:szCs w:val="11"/>
                <w:color w:val="0E2A35"/>
              </w:rPr>
              <w:t>○</w:t>
            </w:r>
          </w:p>
        </w:tc>
        <w:tc>
          <w:tcPr>
            <w:tcW w:w="3200" w:type="dxa"/>
            <w:vAlign w:val="bottom"/>
            <w:tcBorders>
              <w:right w:val="single" w:sz="8" w:color="0E2A35"/>
            </w:tcBorders>
            <w:gridSpan w:val="2"/>
          </w:tcPr>
          <w:p>
            <w:pPr>
              <w:ind w:left="80"/>
              <w:spacing w:after="0"/>
              <w:rPr>
                <w:sz w:val="20"/>
                <w:szCs w:val="20"/>
                <w:color w:val="auto"/>
              </w:rPr>
            </w:pPr>
            <w:r>
              <w:rPr>
                <w:rFonts w:ascii="Arial" w:cs="Arial" w:eastAsia="Arial" w:hAnsi="Arial"/>
                <w:sz w:val="16"/>
                <w:szCs w:val="16"/>
                <w:color w:val="0E2A35"/>
              </w:rPr>
              <w:t>40% Operating Income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Borders>
              <w:right w:val="single" w:sz="8" w:color="0E2A35"/>
            </w:tcBorders>
            <w:gridSpan w:val="3"/>
          </w:tcPr>
          <w:p>
            <w:pPr>
              <w:ind w:left="180"/>
              <w:spacing w:after="0"/>
              <w:rPr>
                <w:sz w:val="20"/>
                <w:szCs w:val="20"/>
                <w:color w:val="auto"/>
              </w:rPr>
            </w:pPr>
            <w:r>
              <w:rPr>
                <w:rFonts w:ascii="Arial" w:cs="Arial" w:eastAsia="Arial" w:hAnsi="Arial"/>
                <w:sz w:val="11"/>
                <w:szCs w:val="11"/>
                <w:color w:val="0E2A35"/>
              </w:rPr>
              <w:t xml:space="preserve">○   </w:t>
            </w:r>
            <w:r>
              <w:rPr>
                <w:rFonts w:ascii="Arial" w:cs="Arial" w:eastAsia="Arial" w:hAnsi="Arial"/>
                <w:sz w:val="16"/>
                <w:szCs w:val="16"/>
                <w:color w:val="0E2A35"/>
              </w:rPr>
              <w:t>20% Net Working Capital</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0E2A35"/>
              </w:rPr>
              <w:t>•</w:t>
            </w:r>
          </w:p>
        </w:tc>
        <w:tc>
          <w:tcPr>
            <w:tcW w:w="3540" w:type="dxa"/>
            <w:vAlign w:val="bottom"/>
            <w:tcBorders>
              <w:right w:val="single" w:sz="8" w:color="0E2A35"/>
            </w:tcBorders>
            <w:gridSpan w:val="3"/>
          </w:tcPr>
          <w:p>
            <w:pPr>
              <w:ind w:left="80"/>
              <w:spacing w:after="0"/>
              <w:rPr>
                <w:sz w:val="20"/>
                <w:szCs w:val="20"/>
                <w:color w:val="auto"/>
              </w:rPr>
            </w:pPr>
            <w:r>
              <w:rPr>
                <w:rFonts w:ascii="Arial" w:cs="Arial" w:eastAsia="Arial" w:hAnsi="Arial"/>
                <w:sz w:val="16"/>
                <w:szCs w:val="16"/>
                <w:color w:val="0E2A35"/>
              </w:rPr>
              <w:t>35% Individual Objectives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 Share Units /</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50% of all annual equity awards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Rewards for achievement of</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Long-Term Incentive Program</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the fiscal 2021-2023 performance period,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specific long-term financial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(LTIP) - Annual</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payouts are tied to performance against pre-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objectives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goals across a three-year</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Aligns NEOs’ interest with long-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performance period</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The metrics consist of:</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50% Average Incentive ROIC</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  50% Cumulative Incentive EPS</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Payouts range from 0%-200% of a pre-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880" w:type="dxa"/>
            <w:vAlign w:val="bottom"/>
            <w:tcBorders>
              <w:right w:val="single" w:sz="8" w:color="0E2A35"/>
            </w:tcBorders>
          </w:tcPr>
          <w:p>
            <w:pPr>
              <w:spacing w:after="0"/>
              <w:rPr>
                <w:sz w:val="4"/>
                <w:szCs w:val="4"/>
                <w:color w:val="auto"/>
              </w:rPr>
            </w:pPr>
          </w:p>
        </w:tc>
        <w:tc>
          <w:tcPr>
            <w:tcW w:w="760" w:type="dxa"/>
            <w:vAlign w:val="bottom"/>
            <w:tcBorders>
              <w:right w:val="single" w:sz="8" w:color="0E2A35"/>
            </w:tcBorders>
            <w:vMerge w:val="continue"/>
          </w:tcPr>
          <w:p>
            <w:pPr>
              <w:spacing w:after="0"/>
              <w:rPr>
                <w:sz w:val="4"/>
                <w:szCs w:val="4"/>
                <w:color w:val="auto"/>
              </w:rPr>
            </w:pPr>
          </w:p>
        </w:tc>
        <w:tc>
          <w:tcPr>
            <w:tcW w:w="2300" w:type="dxa"/>
            <w:vAlign w:val="bottom"/>
            <w:tcBorders>
              <w:right w:val="single" w:sz="8" w:color="0E2A35"/>
            </w:tcBorders>
            <w:gridSpan w:val="3"/>
          </w:tcPr>
          <w:p>
            <w:pPr>
              <w:spacing w:after="0"/>
              <w:rPr>
                <w:sz w:val="4"/>
                <w:szCs w:val="4"/>
                <w:color w:val="auto"/>
              </w:rPr>
            </w:pPr>
          </w:p>
        </w:tc>
        <w:tc>
          <w:tcPr>
            <w:tcW w:w="20" w:type="dxa"/>
            <w:vAlign w:val="bottom"/>
          </w:tcPr>
          <w:p>
            <w:pPr>
              <w:spacing w:after="0"/>
              <w:rPr>
                <w:sz w:val="4"/>
                <w:szCs w:val="4"/>
                <w:color w:val="auto"/>
              </w:rPr>
            </w:pPr>
          </w:p>
        </w:tc>
        <w:tc>
          <w:tcPr>
            <w:tcW w:w="3680" w:type="dxa"/>
            <w:vAlign w:val="bottom"/>
            <w:tcBorders>
              <w:right w:val="single" w:sz="8" w:color="0E2A35"/>
            </w:tcBorders>
            <w:gridSpan w:val="4"/>
            <w:vMerge w:val="restart"/>
          </w:tcPr>
          <w:p>
            <w:pPr>
              <w:spacing w:after="0"/>
              <w:rPr>
                <w:sz w:val="20"/>
                <w:szCs w:val="20"/>
                <w:color w:val="auto"/>
              </w:rPr>
            </w:pPr>
            <w:r>
              <w:rPr>
                <w:rFonts w:ascii="Arial" w:cs="Arial" w:eastAsia="Arial" w:hAnsi="Arial"/>
                <w:sz w:val="16"/>
                <w:szCs w:val="16"/>
                <w:color w:val="0E2A35"/>
              </w:rPr>
              <w:t>determined target value</w:t>
            </w:r>
          </w:p>
        </w:tc>
        <w:tc>
          <w:tcPr>
            <w:tcW w:w="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60" w:type="dxa"/>
            <w:vAlign w:val="bottom"/>
            <w:tcBorders>
              <w:right w:val="single" w:sz="8" w:color="0E2A35"/>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80" w:type="dxa"/>
            <w:vAlign w:val="bottom"/>
            <w:tcBorders>
              <w:right w:val="single" w:sz="8" w:color="0E2A35"/>
            </w:tcBorders>
          </w:tcPr>
          <w:p>
            <w:pPr>
              <w:spacing w:after="0"/>
              <w:rPr>
                <w:sz w:val="12"/>
                <w:szCs w:val="12"/>
                <w:color w:val="auto"/>
              </w:rPr>
            </w:pPr>
          </w:p>
        </w:tc>
        <w:tc>
          <w:tcPr>
            <w:tcW w:w="760" w:type="dxa"/>
            <w:vAlign w:val="bottom"/>
            <w:tcBorders>
              <w:right w:val="single" w:sz="8" w:color="0E2A35"/>
            </w:tcBorders>
            <w:vMerge w:val="restart"/>
          </w:tcPr>
          <w:p>
            <w:pPr>
              <w:jc w:val="center"/>
              <w:spacing w:after="0"/>
              <w:rPr>
                <w:sz w:val="20"/>
                <w:szCs w:val="20"/>
                <w:color w:val="auto"/>
              </w:rPr>
            </w:pPr>
            <w:r>
              <w:rPr>
                <w:rFonts w:ascii="Arial" w:cs="Arial" w:eastAsia="Arial" w:hAnsi="Arial"/>
                <w:sz w:val="16"/>
                <w:szCs w:val="16"/>
                <w:color w:val="0E2A35"/>
                <w:w w:val="98"/>
              </w:rPr>
              <w:t>Equity</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right w:val="single" w:sz="8" w:color="0E2A35"/>
            </w:tcBorders>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right w:val="single" w:sz="8" w:color="0E2A35"/>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Borders>
              <w:right w:val="single" w:sz="8" w:color="0E2A35"/>
            </w:tcBorders>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880" w:type="dxa"/>
            <w:vAlign w:val="bottom"/>
            <w:tcBorders>
              <w:right w:val="single" w:sz="8" w:color="0E2A35"/>
            </w:tcBorders>
          </w:tcPr>
          <w:p>
            <w:pPr>
              <w:spacing w:after="0"/>
              <w:rPr>
                <w:sz w:val="4"/>
                <w:szCs w:val="4"/>
                <w:color w:val="auto"/>
              </w:rPr>
            </w:pPr>
          </w:p>
        </w:tc>
        <w:tc>
          <w:tcPr>
            <w:tcW w:w="760" w:type="dxa"/>
            <w:vAlign w:val="bottom"/>
            <w:tcBorders>
              <w:right w:val="single" w:sz="8" w:color="0E2A35"/>
            </w:tcBorders>
            <w:vMerge w:val="continue"/>
          </w:tcPr>
          <w:p>
            <w:pPr>
              <w:spacing w:after="0"/>
              <w:rPr>
                <w:sz w:val="4"/>
                <w:szCs w:val="4"/>
                <w:color w:val="auto"/>
              </w:rPr>
            </w:pPr>
          </w:p>
        </w:tc>
        <w:tc>
          <w:tcPr>
            <w:tcW w:w="2300" w:type="dxa"/>
            <w:vAlign w:val="bottom"/>
            <w:tcBorders>
              <w:bottom w:val="single" w:sz="8" w:color="0E2A35"/>
              <w:right w:val="single" w:sz="8" w:color="0E2A35"/>
            </w:tcBorders>
            <w:gridSpan w:val="3"/>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14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312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20" w:type="dxa"/>
            <w:vAlign w:val="bottom"/>
            <w:tcBorders>
              <w:bottom w:val="single" w:sz="8" w:color="0E2A35"/>
            </w:tcBorders>
          </w:tcPr>
          <w:p>
            <w:pPr>
              <w:spacing w:after="0"/>
              <w:rPr>
                <w:sz w:val="4"/>
                <w:szCs w:val="4"/>
                <w:color w:val="auto"/>
              </w:rPr>
            </w:pPr>
          </w:p>
        </w:tc>
        <w:tc>
          <w:tcPr>
            <w:tcW w:w="60" w:type="dxa"/>
            <w:vAlign w:val="bottom"/>
            <w:tcBorders>
              <w:bottom w:val="single" w:sz="8" w:color="0E2A35"/>
              <w:right w:val="single" w:sz="8" w:color="0E2A35"/>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80" w:type="dxa"/>
            <w:vAlign w:val="bottom"/>
            <w:tcBorders>
              <w:right w:val="single" w:sz="8" w:color="0E2A35"/>
            </w:tcBorders>
          </w:tcPr>
          <w:p>
            <w:pPr>
              <w:spacing w:after="0"/>
              <w:rPr>
                <w:sz w:val="22"/>
                <w:szCs w:val="22"/>
                <w:color w:val="auto"/>
              </w:rPr>
            </w:pPr>
          </w:p>
        </w:tc>
        <w:tc>
          <w:tcPr>
            <w:tcW w:w="760" w:type="dxa"/>
            <w:vAlign w:val="bottom"/>
            <w:tcBorders>
              <w:right w:val="single" w:sz="8" w:color="0E2A35"/>
            </w:tcBorders>
          </w:tcPr>
          <w:p>
            <w:pPr>
              <w:spacing w:after="0"/>
              <w:rPr>
                <w:sz w:val="22"/>
                <w:szCs w:val="22"/>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Stock Options - Annual</w:t>
            </w:r>
          </w:p>
        </w:tc>
        <w:tc>
          <w:tcPr>
            <w:tcW w:w="20" w:type="dxa"/>
            <w:vAlign w:val="bottom"/>
          </w:tcPr>
          <w:p>
            <w:pPr>
              <w:spacing w:after="0"/>
              <w:rPr>
                <w:sz w:val="22"/>
                <w:szCs w:val="22"/>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15% of all annual equity awards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Aligns NEOs’ interest with long-</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Stock options can be exercised over ten years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and vest over three years in equal installments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as measured by appreciation in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stock price from the date of grant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Restricted Stock Units -</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35% of all annual equity awards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Aligns NEOs’ interest with long-</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Annual</w:t>
            </w: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Restricted stock units vest over three years in</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equal installments</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Encourages executive retention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880" w:type="dxa"/>
            <w:vAlign w:val="bottom"/>
            <w:tcBorders>
              <w:right w:val="single" w:sz="8" w:color="0E2A35"/>
            </w:tcBorders>
          </w:tcPr>
          <w:p>
            <w:pPr>
              <w:spacing w:after="0"/>
              <w:rPr>
                <w:sz w:val="5"/>
                <w:szCs w:val="5"/>
                <w:color w:val="auto"/>
              </w:rPr>
            </w:pPr>
          </w:p>
        </w:tc>
        <w:tc>
          <w:tcPr>
            <w:tcW w:w="760" w:type="dxa"/>
            <w:vAlign w:val="bottom"/>
            <w:tcBorders>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20" w:type="dxa"/>
            <w:vAlign w:val="bottom"/>
            <w:tcBorders>
              <w:bottom w:val="single" w:sz="8" w:color="0E2A35"/>
            </w:tcBorders>
          </w:tcPr>
          <w:p>
            <w:pPr>
              <w:spacing w:after="0"/>
              <w:rPr>
                <w:sz w:val="5"/>
                <w:szCs w:val="5"/>
                <w:color w:val="auto"/>
              </w:rPr>
            </w:pPr>
          </w:p>
        </w:tc>
        <w:tc>
          <w:tcPr>
            <w:tcW w:w="3600" w:type="dxa"/>
            <w:vAlign w:val="bottom"/>
            <w:tcBorders>
              <w:bottom w:val="single" w:sz="8" w:color="0E2A35"/>
            </w:tcBorders>
            <w:gridSpan w:val="3"/>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20" w:type="dxa"/>
            <w:vAlign w:val="bottom"/>
            <w:tcBorders>
              <w:bottom w:val="single" w:sz="8" w:color="0E2A35"/>
            </w:tcBorders>
          </w:tcPr>
          <w:p>
            <w:pPr>
              <w:spacing w:after="0"/>
              <w:rPr>
                <w:sz w:val="5"/>
                <w:szCs w:val="5"/>
                <w:color w:val="auto"/>
              </w:rPr>
            </w:pPr>
          </w:p>
        </w:tc>
        <w:tc>
          <w:tcPr>
            <w:tcW w:w="60" w:type="dxa"/>
            <w:vAlign w:val="bottom"/>
            <w:tcBorders>
              <w:bottom w:val="single" w:sz="8" w:color="0E2A35"/>
              <w:right w:val="single" w:sz="8" w:color="0E2A35"/>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880" w:type="dxa"/>
            <w:vAlign w:val="bottom"/>
            <w:tcBorders>
              <w:right w:val="single" w:sz="8" w:color="0E2A35"/>
            </w:tcBorders>
          </w:tcPr>
          <w:p>
            <w:pPr>
              <w:spacing w:after="0"/>
              <w:rPr>
                <w:sz w:val="21"/>
                <w:szCs w:val="21"/>
                <w:color w:val="auto"/>
              </w:rPr>
            </w:pPr>
          </w:p>
        </w:tc>
        <w:tc>
          <w:tcPr>
            <w:tcW w:w="760" w:type="dxa"/>
            <w:vAlign w:val="bottom"/>
            <w:tcBorders>
              <w:right w:val="single" w:sz="8" w:color="0E2A35"/>
            </w:tcBorders>
          </w:tcPr>
          <w:p>
            <w:pPr>
              <w:spacing w:after="0"/>
              <w:rPr>
                <w:sz w:val="21"/>
                <w:szCs w:val="21"/>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PSUs - Fiscal 2021 Only</w:t>
            </w:r>
          </w:p>
        </w:tc>
        <w:tc>
          <w:tcPr>
            <w:tcW w:w="20" w:type="dxa"/>
            <w:vAlign w:val="bottom"/>
          </w:tcPr>
          <w:p>
            <w:pPr>
              <w:spacing w:after="0"/>
              <w:rPr>
                <w:sz w:val="21"/>
                <w:szCs w:val="21"/>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For fiscal 2021, a particular PSU grant was made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Performance-based program for</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with payouts tied to performance against pre-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Messrs. Happe, Hughes and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determined goals across a one-year performance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Hazelton to incentivize Incentive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period, which pays out 50% following the</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EPS goals and provide a</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performance period and 50% a year later, subject</w:t>
            </w:r>
          </w:p>
        </w:tc>
        <w:tc>
          <w:tcPr>
            <w:tcW w:w="252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retention component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to continued employment. The performance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metric is 100% Incentive EPS. Payouts range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right w:val="single" w:sz="8" w:color="0E2A35"/>
            </w:tcBorders>
          </w:tcPr>
          <w:p>
            <w:pPr>
              <w:spacing w:after="0"/>
              <w:rPr>
                <w:sz w:val="16"/>
                <w:szCs w:val="16"/>
                <w:color w:val="auto"/>
              </w:rPr>
            </w:pPr>
          </w:p>
        </w:tc>
        <w:tc>
          <w:tcPr>
            <w:tcW w:w="760" w:type="dxa"/>
            <w:vAlign w:val="bottom"/>
            <w:tcBorders>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right w:val="single" w:sz="8" w:color="0E2A35"/>
            </w:tcBorders>
            <w:gridSpan w:val="4"/>
          </w:tcPr>
          <w:p>
            <w:pPr>
              <w:spacing w:after="0"/>
              <w:rPr>
                <w:sz w:val="20"/>
                <w:szCs w:val="20"/>
                <w:color w:val="auto"/>
              </w:rPr>
            </w:pPr>
            <w:r>
              <w:rPr>
                <w:rFonts w:ascii="Arial" w:cs="Arial" w:eastAsia="Arial" w:hAnsi="Arial"/>
                <w:sz w:val="16"/>
                <w:szCs w:val="16"/>
                <w:color w:val="0E2A35"/>
              </w:rPr>
              <w:t>from 0%-200% of a pre-determined target value</w:t>
            </w:r>
          </w:p>
        </w:tc>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 w:type="dxa"/>
            <w:vAlign w:val="bottom"/>
            <w:tcBorders>
              <w:right w:val="single" w:sz="8" w:color="0E2A35"/>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880" w:type="dxa"/>
            <w:vAlign w:val="bottom"/>
            <w:tcBorders>
              <w:right w:val="single" w:sz="8" w:color="0E2A35"/>
            </w:tcBorders>
          </w:tcPr>
          <w:p>
            <w:pPr>
              <w:spacing w:after="0"/>
              <w:rPr>
                <w:sz w:val="4"/>
                <w:szCs w:val="4"/>
                <w:color w:val="auto"/>
              </w:rPr>
            </w:pPr>
          </w:p>
        </w:tc>
        <w:tc>
          <w:tcPr>
            <w:tcW w:w="76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18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20" w:type="dxa"/>
            <w:vAlign w:val="bottom"/>
            <w:tcBorders>
              <w:bottom w:val="single" w:sz="8" w:color="0E2A35"/>
            </w:tcBorders>
          </w:tcPr>
          <w:p>
            <w:pPr>
              <w:spacing w:after="0"/>
              <w:rPr>
                <w:sz w:val="4"/>
                <w:szCs w:val="4"/>
                <w:color w:val="auto"/>
              </w:rPr>
            </w:pPr>
          </w:p>
        </w:tc>
        <w:tc>
          <w:tcPr>
            <w:tcW w:w="140" w:type="dxa"/>
            <w:vAlign w:val="bottom"/>
            <w:tcBorders>
              <w:bottom w:val="single" w:sz="8" w:color="0E2A35"/>
            </w:tcBorders>
          </w:tcPr>
          <w:p>
            <w:pPr>
              <w:spacing w:after="0"/>
              <w:rPr>
                <w:sz w:val="4"/>
                <w:szCs w:val="4"/>
                <w:color w:val="auto"/>
              </w:rPr>
            </w:pPr>
          </w:p>
        </w:tc>
        <w:tc>
          <w:tcPr>
            <w:tcW w:w="340" w:type="dxa"/>
            <w:vAlign w:val="bottom"/>
            <w:tcBorders>
              <w:bottom w:val="single" w:sz="8" w:color="0E2A35"/>
            </w:tcBorders>
          </w:tcPr>
          <w:p>
            <w:pPr>
              <w:spacing w:after="0"/>
              <w:rPr>
                <w:sz w:val="4"/>
                <w:szCs w:val="4"/>
                <w:color w:val="auto"/>
              </w:rPr>
            </w:pPr>
          </w:p>
        </w:tc>
        <w:tc>
          <w:tcPr>
            <w:tcW w:w="3120" w:type="dxa"/>
            <w:vAlign w:val="bottom"/>
            <w:tcBorders>
              <w:bottom w:val="single" w:sz="8" w:color="0E2A35"/>
            </w:tcBorders>
          </w:tcPr>
          <w:p>
            <w:pPr>
              <w:spacing w:after="0"/>
              <w:rPr>
                <w:sz w:val="4"/>
                <w:szCs w:val="4"/>
                <w:color w:val="auto"/>
              </w:rPr>
            </w:pPr>
          </w:p>
        </w:tc>
        <w:tc>
          <w:tcPr>
            <w:tcW w:w="80" w:type="dxa"/>
            <w:vAlign w:val="bottom"/>
            <w:tcBorders>
              <w:bottom w:val="single" w:sz="8" w:color="0E2A35"/>
              <w:right w:val="single" w:sz="8" w:color="0E2A35"/>
            </w:tcBorders>
          </w:tcPr>
          <w:p>
            <w:pPr>
              <w:spacing w:after="0"/>
              <w:rPr>
                <w:sz w:val="4"/>
                <w:szCs w:val="4"/>
                <w:color w:val="auto"/>
              </w:rPr>
            </w:pPr>
          </w:p>
        </w:tc>
        <w:tc>
          <w:tcPr>
            <w:tcW w:w="40" w:type="dxa"/>
            <w:vAlign w:val="bottom"/>
            <w:tcBorders>
              <w:bottom w:val="single" w:sz="8" w:color="0E2A35"/>
            </w:tcBorders>
          </w:tcPr>
          <w:p>
            <w:pPr>
              <w:spacing w:after="0"/>
              <w:rPr>
                <w:sz w:val="4"/>
                <w:szCs w:val="4"/>
                <w:color w:val="auto"/>
              </w:rPr>
            </w:pPr>
          </w:p>
        </w:tc>
        <w:tc>
          <w:tcPr>
            <w:tcW w:w="2420" w:type="dxa"/>
            <w:vAlign w:val="bottom"/>
            <w:tcBorders>
              <w:bottom w:val="single" w:sz="8" w:color="0E2A35"/>
            </w:tcBorders>
          </w:tcPr>
          <w:p>
            <w:pPr>
              <w:spacing w:after="0"/>
              <w:rPr>
                <w:sz w:val="4"/>
                <w:szCs w:val="4"/>
                <w:color w:val="auto"/>
              </w:rPr>
            </w:pPr>
          </w:p>
        </w:tc>
        <w:tc>
          <w:tcPr>
            <w:tcW w:w="60" w:type="dxa"/>
            <w:vAlign w:val="bottom"/>
            <w:tcBorders>
              <w:bottom w:val="single" w:sz="8" w:color="0E2A35"/>
              <w:right w:val="single" w:sz="8" w:color="0E2A35"/>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4"/>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6"/>
          </w:tcPr>
          <w:p>
            <w:pPr>
              <w:ind w:left="2980"/>
              <w:spacing w:after="0"/>
              <w:rPr>
                <w:sz w:val="20"/>
                <w:szCs w:val="20"/>
                <w:color w:val="auto"/>
              </w:rPr>
            </w:pPr>
            <w:r>
              <w:rPr>
                <w:rFonts w:ascii="Arial" w:cs="Arial" w:eastAsia="Arial" w:hAnsi="Arial"/>
                <w:sz w:val="13"/>
                <w:szCs w:val="13"/>
                <w:color w:val="0E2A35"/>
                <w:w w:val="96"/>
              </w:rPr>
              <w:t>Proxy Statement for 2021 Annual Meeting</w:t>
            </w:r>
            <w:r>
              <w:rPr>
                <w:rFonts w:ascii="Arial" w:cs="Arial" w:eastAsia="Arial" w:hAnsi="Arial"/>
                <w:sz w:val="13"/>
                <w:szCs w:val="13"/>
                <w:b w:val="1"/>
                <w:bCs w:val="1"/>
                <w:color w:val="0E2A35"/>
                <w:w w:val="96"/>
              </w:rPr>
              <w:t>37</w:t>
            </w:r>
          </w:p>
        </w:tc>
        <w:tc>
          <w:tcPr>
            <w:tcW w:w="0" w:type="dxa"/>
            <w:vAlign w:val="bottom"/>
          </w:tcPr>
          <w:p>
            <w:pPr>
              <w:spacing w:after="0"/>
              <w:rPr>
                <w:sz w:val="1"/>
                <w:szCs w:val="1"/>
                <w:color w:val="auto"/>
              </w:rPr>
            </w:pPr>
          </w:p>
        </w:tc>
      </w:tr>
      <w:tr>
        <w:trPr>
          <w:trHeight w:val="239"/>
        </w:trPr>
        <w:tc>
          <w:tcPr>
            <w:tcW w:w="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-6668770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-6668770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-6668770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-6668770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2" w:name="page43"/>
    <w:bookmarkEnd w:id="4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In connection with our acquisition of Grand Design, we entered into an employment agreement with Mr. Clark in November 2016, which expired per its terms on August 31, 2019. On June 19, 2019, we entered into an amended and restated employment agreement with Mr. Clark which extended his employment term to August 31, 2023. Under both the previous and current employment agreements, Mr. Clark is paid an annual base salary of $400,000, and is eligible to receive an incentive bonus pursuant to the pre-existing Grand Design Management Incentive Plan (the Grand Design MIP). Payment under the Grand Design MIP is 100% dependent on pretax net income performance of the Grand Design business, a part of our Towable segment. Any incentive bonus earned under the Grand Design MIP is payable as follows: 95% in cash and 5% in restricted stock units of the Company (fiscal 2020); 90% in cash and 10% in restricted stock units (fiscal 2021); and 85% in cash and 15% in restricted stock units (fiscal 2022). Any restricted stock units issued under the Grand Design MIP are subject to a 3-year vesting schedule. Mr. Clark is not eligible to participate in any other Winnebago Industries cash or stock incentive program.</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Performance-based Pay Mix</w:t>
      </w:r>
    </w:p>
    <w:p>
      <w:pPr>
        <w:spacing w:after="0" w:line="213" w:lineRule="exact"/>
        <w:rPr>
          <w:sz w:val="20"/>
          <w:szCs w:val="20"/>
          <w:color w:val="auto"/>
        </w:rPr>
      </w:pPr>
    </w:p>
    <w:p>
      <w:pPr>
        <w:ind w:left="860" w:right="960"/>
        <w:spacing w:after="0" w:line="248" w:lineRule="auto"/>
        <w:rPr>
          <w:sz w:val="20"/>
          <w:szCs w:val="20"/>
          <w:color w:val="auto"/>
        </w:rPr>
      </w:pPr>
      <w:r>
        <w:rPr>
          <w:rFonts w:ascii="Arial" w:cs="Arial" w:eastAsia="Arial" w:hAnsi="Arial"/>
          <w:sz w:val="16"/>
          <w:szCs w:val="16"/>
          <w:color w:val="0E2A35"/>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In fiscal 2021, 85% of our CEO’s total target compensation and 77%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CEO’s fiscal 2021 total target compensation, as well as the components of the average total target compensation for our other NEOs in fiscal 2021, excluding Mr. Clark. Total target compensation includes current fiscal 2021 annualized base salary, target annual incentive compensation, and the grant date fair value of our annual equity grants made in fiscal 2021,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205740</wp:posOffset>
            </wp:positionV>
            <wp:extent cx="4174490" cy="15347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744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20" w:hanging="360"/>
        <w:spacing w:after="0"/>
        <w:tabs>
          <w:tab w:leader="none" w:pos="1220" w:val="left"/>
        </w:tabs>
        <w:numPr>
          <w:ilvl w:val="0"/>
          <w:numId w:val="22"/>
        </w:numPr>
        <w:rPr>
          <w:rFonts w:ascii="Arial" w:cs="Arial" w:eastAsia="Arial" w:hAnsi="Arial"/>
          <w:sz w:val="13"/>
          <w:szCs w:val="13"/>
          <w:color w:val="0E2A35"/>
        </w:rPr>
      </w:pPr>
      <w:r>
        <w:rPr>
          <w:rFonts w:ascii="Arial" w:cs="Arial" w:eastAsia="Arial" w:hAnsi="Arial"/>
          <w:sz w:val="13"/>
          <w:szCs w:val="13"/>
          <w:color w:val="0E2A35"/>
        </w:rPr>
        <w:t>Excludes Mr. Clark.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3" w:name="page44"/>
    <w:bookmarkEnd w:id="4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Determination of Compensation</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Role of the Human Resources Committee</w:t>
      </w:r>
    </w:p>
    <w:p>
      <w:pPr>
        <w:spacing w:after="0" w:line="200"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The Human Resources Committee is responsible for reviewing and approving, on an annual basis, the corporate goals and objectives with respect to the compensation of all of our executive officers, as described in the committee's charter. The committee relies on its own review and the advice of its independent compensation consultant in establishing executive officer pay. The committee seeks the input of the CEO in making executive officer pay decisions for all executives other than himself, but the committee makes all decisions.</w:t>
      </w:r>
    </w:p>
    <w:p>
      <w:pPr>
        <w:spacing w:after="0" w:line="176" w:lineRule="exact"/>
        <w:rPr>
          <w:sz w:val="20"/>
          <w:szCs w:val="20"/>
          <w:color w:val="auto"/>
        </w:rPr>
      </w:pPr>
    </w:p>
    <w:p>
      <w:pPr>
        <w:ind w:left="860" w:right="960"/>
        <w:spacing w:after="0" w:line="248" w:lineRule="auto"/>
        <w:rPr>
          <w:sz w:val="20"/>
          <w:szCs w:val="20"/>
          <w:color w:val="auto"/>
        </w:rPr>
      </w:pPr>
      <w:r>
        <w:rPr>
          <w:rFonts w:ascii="Arial" w:cs="Arial" w:eastAsia="Arial" w:hAnsi="Arial"/>
          <w:sz w:val="16"/>
          <w:szCs w:val="16"/>
          <w:color w:val="0E2A35"/>
        </w:rPr>
        <w:t>In October 2020, the committee approved annual incentive performance objectives for fiscal 2021 based upon the business plan for the year. In October 2020, the committee granted long-term incentive awards to our executive officers under the 2019 Omnibus Incentive Plan (the 2019 Plan), which was approved by the shareholders at the 2018 annual meeting, including annual LTIP performance share units, stock options, and restricted stock units, as well as certain PSUs specific to fiscal 2021. After the completion of fiscal 2021, the committee (i) approved 2021 annual incentive for our NEOs based on achievement of the performance objectives established at the beginning of the year, (ii) certified achievement of performance objectives with respect to the LTIP performance share awards granted to then-current executives in fiscal 2019 that had a performance period running from fiscal 2019-2021 and (iii) certified achievement of performance objectives for the PSUs specific to fiscal 2021.</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Role of the Compensation Consultant</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Human Resources Committee retained Semler Brossy as its independent executive compensation consultant for fiscal 2021.</w:t>
      </w:r>
    </w:p>
    <w:p>
      <w:pPr>
        <w:spacing w:after="0" w:line="181" w:lineRule="exact"/>
        <w:rPr>
          <w:sz w:val="20"/>
          <w:szCs w:val="20"/>
          <w:color w:val="auto"/>
        </w:rPr>
      </w:pPr>
    </w:p>
    <w:p>
      <w:pPr>
        <w:ind w:left="860" w:right="1040"/>
        <w:spacing w:after="0" w:line="253" w:lineRule="auto"/>
        <w:rPr>
          <w:sz w:val="20"/>
          <w:szCs w:val="20"/>
          <w:color w:val="auto"/>
        </w:rPr>
      </w:pPr>
      <w:r>
        <w:rPr>
          <w:rFonts w:ascii="Arial" w:cs="Arial" w:eastAsia="Arial" w:hAnsi="Arial"/>
          <w:sz w:val="16"/>
          <w:szCs w:val="16"/>
          <w:color w:val="0E2A35"/>
        </w:rPr>
        <w:t>Retained by and reporting directly to the committee, Semler Brossy provided the committee with assistance in evaluating our executive compensation programs and policies, and, where appropriate, assisted with the revision of elements of the programs. Additionally, Semler Brossy performed the following activities to support the committee:</w:t>
      </w:r>
    </w:p>
    <w:p>
      <w:pPr>
        <w:spacing w:after="0" w:line="161" w:lineRule="exact"/>
        <w:rPr>
          <w:sz w:val="20"/>
          <w:szCs w:val="20"/>
          <w:color w:val="auto"/>
        </w:rPr>
      </w:pPr>
    </w:p>
    <w:p>
      <w:pPr>
        <w:ind w:left="1580" w:right="112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annual and long-term incentive designs and assisted with determination of annual and long-term incentive awards, including fiscal 2021 payouts</w:t>
      </w:r>
    </w:p>
    <w:p>
      <w:pPr>
        <w:spacing w:after="0" w:line="168" w:lineRule="exact"/>
        <w:rPr>
          <w:rFonts w:ascii="Arial" w:cs="Arial" w:eastAsia="Arial" w:hAnsi="Arial"/>
          <w:sz w:val="16"/>
          <w:szCs w:val="16"/>
          <w:color w:val="C7D265"/>
        </w:rPr>
      </w:pPr>
    </w:p>
    <w:p>
      <w:pPr>
        <w:ind w:left="1580" w:right="120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the total compensation program, including competitive peer group analysis and analysis of executive pay levels in relation to broader market survey data</w:t>
      </w:r>
    </w:p>
    <w:p>
      <w:pPr>
        <w:spacing w:after="0" w:line="154"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Reviewed information provided to the committee by management</w:t>
      </w:r>
    </w:p>
    <w:p>
      <w:pPr>
        <w:spacing w:after="0" w:line="180" w:lineRule="exact"/>
        <w:rPr>
          <w:rFonts w:ascii="Arial" w:cs="Arial" w:eastAsia="Arial" w:hAnsi="Arial"/>
          <w:sz w:val="16"/>
          <w:szCs w:val="16"/>
          <w:color w:val="C7D265"/>
        </w:rPr>
      </w:pPr>
    </w:p>
    <w:p>
      <w:pPr>
        <w:ind w:left="1580" w:right="112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Developed recommendations with respect to CEO compensation decisions and provided advice to the committee on the compensation decisions affecting all executives, including the NEOs</w:t>
      </w:r>
    </w:p>
    <w:p>
      <w:pPr>
        <w:spacing w:after="0" w:line="168"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Attended and participated in committee meetings as requested by the committee</w:t>
      </w:r>
    </w:p>
    <w:p>
      <w:pPr>
        <w:spacing w:after="0" w:line="180" w:lineRule="exact"/>
        <w:rPr>
          <w:rFonts w:ascii="Arial" w:cs="Arial" w:eastAsia="Arial" w:hAnsi="Arial"/>
          <w:sz w:val="16"/>
          <w:szCs w:val="16"/>
          <w:color w:val="C7D265"/>
        </w:rPr>
      </w:pPr>
    </w:p>
    <w:p>
      <w:pPr>
        <w:ind w:left="1580" w:right="96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Reported on compensation trends and best practices, plan design, and the reasonableness of individual compensation awards</w:t>
      </w:r>
    </w:p>
    <w:p>
      <w:pPr>
        <w:spacing w:after="0" w:line="154" w:lineRule="exact"/>
        <w:rPr>
          <w:rFonts w:ascii="Arial" w:cs="Arial" w:eastAsia="Arial" w:hAnsi="Arial"/>
          <w:sz w:val="16"/>
          <w:szCs w:val="16"/>
          <w:color w:val="C7D265"/>
        </w:rPr>
      </w:pPr>
    </w:p>
    <w:p>
      <w:pPr>
        <w:ind w:left="1580" w:right="106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Assisted the committee in reviewing the Board’s compensation annually and assessing its competitiveness relative to market</w:t>
      </w:r>
    </w:p>
    <w:p>
      <w:pPr>
        <w:spacing w:after="0" w:line="168" w:lineRule="exact"/>
        <w:rPr>
          <w:rFonts w:ascii="Arial" w:cs="Arial" w:eastAsia="Arial" w:hAnsi="Arial"/>
          <w:sz w:val="16"/>
          <w:szCs w:val="16"/>
          <w:color w:val="C7D265"/>
        </w:rPr>
      </w:pPr>
    </w:p>
    <w:p>
      <w:pPr>
        <w:ind w:left="1580" w:right="1040" w:hanging="360"/>
        <w:spacing w:after="0" w:line="260" w:lineRule="auto"/>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Assisted the committee in assessing the extent to which the Company’s compensation policies and practices promote reasonable and appropriate risk-taking behavior by management and avoid excessive risk-taking behavior</w:t>
      </w:r>
    </w:p>
    <w:p>
      <w:pPr>
        <w:spacing w:after="0" w:line="154"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Provided a consultant independence and conflicts of interest assessment</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3"/>
        </w:numPr>
        <w:rPr>
          <w:rFonts w:ascii="Arial" w:cs="Arial" w:eastAsia="Arial" w:hAnsi="Arial"/>
          <w:sz w:val="16"/>
          <w:szCs w:val="16"/>
          <w:color w:val="C7D265"/>
        </w:rPr>
      </w:pPr>
      <w:r>
        <w:rPr>
          <w:rFonts w:ascii="Arial" w:cs="Arial" w:eastAsia="Arial" w:hAnsi="Arial"/>
          <w:sz w:val="16"/>
          <w:szCs w:val="16"/>
          <w:color w:val="0E2A35"/>
        </w:rPr>
        <w:t>Met with the committee and/or its members without management present</w:t>
      </w:r>
    </w:p>
    <w:p>
      <w:pPr>
        <w:spacing w:after="0" w:line="194" w:lineRule="exact"/>
        <w:rPr>
          <w:sz w:val="20"/>
          <w:szCs w:val="20"/>
          <w:color w:val="auto"/>
        </w:rPr>
      </w:pPr>
    </w:p>
    <w:p>
      <w:pPr>
        <w:jc w:val="both"/>
        <w:ind w:left="860" w:right="980"/>
        <w:spacing w:after="0" w:line="253" w:lineRule="auto"/>
        <w:rPr>
          <w:sz w:val="20"/>
          <w:szCs w:val="20"/>
          <w:color w:val="auto"/>
        </w:rPr>
      </w:pPr>
      <w:r>
        <w:rPr>
          <w:rFonts w:ascii="Arial" w:cs="Arial" w:eastAsia="Arial" w:hAnsi="Arial"/>
          <w:sz w:val="16"/>
          <w:szCs w:val="16"/>
          <w:color w:val="0E2A35"/>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39</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4" w:name="page45"/>
    <w:bookmarkEnd w:id="4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Role of Management</w:t>
      </w:r>
    </w:p>
    <w:p>
      <w:pPr>
        <w:spacing w:after="0" w:line="213"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354" w:lineRule="exact"/>
        <w:rPr>
          <w:sz w:val="20"/>
          <w:szCs w:val="20"/>
          <w:color w:val="auto"/>
        </w:rPr>
      </w:pPr>
    </w:p>
    <w:p>
      <w:pPr>
        <w:ind w:left="860" w:right="1300"/>
        <w:spacing w:after="0" w:line="260" w:lineRule="auto"/>
        <w:rPr>
          <w:sz w:val="20"/>
          <w:szCs w:val="20"/>
          <w:color w:val="auto"/>
        </w:rPr>
      </w:pPr>
      <w:r>
        <w:rPr>
          <w:rFonts w:ascii="Arial" w:cs="Arial" w:eastAsia="Arial" w:hAnsi="Arial"/>
          <w:sz w:val="16"/>
          <w:szCs w:val="16"/>
          <w:color w:val="0E2A35"/>
        </w:rPr>
        <w:t>Our human resources department provides additional analysis and guidance as requested by the committee related to NEO compensation, including the following:</w:t>
      </w:r>
    </w:p>
    <w:p>
      <w:pPr>
        <w:spacing w:after="0" w:line="155" w:lineRule="exact"/>
        <w:rPr>
          <w:sz w:val="20"/>
          <w:szCs w:val="20"/>
          <w:color w:val="auto"/>
        </w:rPr>
      </w:pPr>
    </w:p>
    <w:p>
      <w:pPr>
        <w:ind w:left="1580" w:right="1900" w:hanging="360"/>
        <w:spacing w:after="0" w:line="260" w:lineRule="auto"/>
        <w:tabs>
          <w:tab w:leader="none" w:pos="158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Developing, summarizing and presenting information and analyses to enable the committee to execute its responsibilities, as well as addressing specific requests for information from the committee</w:t>
      </w:r>
    </w:p>
    <w:p>
      <w:pPr>
        <w:spacing w:after="0" w:line="168" w:lineRule="exact"/>
        <w:rPr>
          <w:rFonts w:ascii="Arial" w:cs="Arial" w:eastAsia="Arial" w:hAnsi="Arial"/>
          <w:sz w:val="16"/>
          <w:szCs w:val="16"/>
          <w:color w:val="C7D265"/>
        </w:rPr>
      </w:pPr>
    </w:p>
    <w:p>
      <w:pPr>
        <w:ind w:left="1580" w:right="1300" w:hanging="360"/>
        <w:spacing w:after="0" w:line="260" w:lineRule="auto"/>
        <w:tabs>
          <w:tab w:leader="none" w:pos="158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Attending committee meetings as requested to provide information, respond to questions and otherwise assist the committee</w:t>
      </w:r>
    </w:p>
    <w:p>
      <w:pPr>
        <w:spacing w:after="0" w:line="154" w:lineRule="exact"/>
        <w:rPr>
          <w:rFonts w:ascii="Arial" w:cs="Arial" w:eastAsia="Arial" w:hAnsi="Arial"/>
          <w:sz w:val="16"/>
          <w:szCs w:val="16"/>
          <w:color w:val="C7D265"/>
        </w:rPr>
      </w:pPr>
    </w:p>
    <w:p>
      <w:pPr>
        <w:ind w:left="1580" w:right="1060" w:hanging="360"/>
        <w:spacing w:after="0" w:line="260" w:lineRule="auto"/>
        <w:tabs>
          <w:tab w:leader="none" w:pos="1580" w:val="left"/>
        </w:tabs>
        <w:numPr>
          <w:ilvl w:val="0"/>
          <w:numId w:val="24"/>
        </w:numPr>
        <w:rPr>
          <w:rFonts w:ascii="Arial" w:cs="Arial" w:eastAsia="Arial" w:hAnsi="Arial"/>
          <w:sz w:val="16"/>
          <w:szCs w:val="16"/>
          <w:color w:val="C7D265"/>
        </w:rPr>
      </w:pPr>
      <w:r>
        <w:rPr>
          <w:rFonts w:ascii="Arial" w:cs="Arial" w:eastAsia="Arial" w:hAnsi="Arial"/>
          <w:sz w:val="16"/>
          <w:szCs w:val="16"/>
          <w:color w:val="0E2A35"/>
        </w:rPr>
        <w:t>Assisting the CEO in making preliminary recommendations of base salary structure, annual and LTIP program design and target award levels for the NEOs and other employees eligible to receive annual incentive awards.</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Pay Positioning and Compensation Peers</w:t>
      </w:r>
    </w:p>
    <w:p>
      <w:pPr>
        <w:spacing w:after="0" w:line="200"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When setting fiscal 2021 compensation, the Human Resources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 The committee does not use the median as a formula to determine compensation or as a fixed target.</w:t>
      </w:r>
    </w:p>
    <w:p>
      <w:pPr>
        <w:spacing w:after="0" w:line="176" w:lineRule="exact"/>
        <w:rPr>
          <w:sz w:val="20"/>
          <w:szCs w:val="20"/>
          <w:color w:val="auto"/>
        </w:rPr>
      </w:pPr>
    </w:p>
    <w:p>
      <w:pPr>
        <w:ind w:left="860" w:right="1080"/>
        <w:spacing w:after="0" w:line="250" w:lineRule="auto"/>
        <w:rPr>
          <w:sz w:val="20"/>
          <w:szCs w:val="20"/>
          <w:color w:val="auto"/>
        </w:rPr>
      </w:pPr>
      <w:r>
        <w:rPr>
          <w:rFonts w:ascii="Arial" w:cs="Arial" w:eastAsia="Arial" w:hAnsi="Arial"/>
          <w:sz w:val="16"/>
          <w:szCs w:val="16"/>
          <w:color w:val="0E2A35"/>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62" w:lineRule="exact"/>
        <w:rPr>
          <w:sz w:val="20"/>
          <w:szCs w:val="20"/>
          <w:color w:val="auto"/>
        </w:rPr>
      </w:pPr>
    </w:p>
    <w:p>
      <w:pPr>
        <w:ind w:left="860" w:right="1020"/>
        <w:spacing w:after="0" w:line="251" w:lineRule="auto"/>
        <w:rPr>
          <w:sz w:val="20"/>
          <w:szCs w:val="20"/>
          <w:color w:val="auto"/>
        </w:rPr>
      </w:pPr>
      <w:r>
        <w:rPr>
          <w:rFonts w:ascii="Arial" w:cs="Arial" w:eastAsia="Arial" w:hAnsi="Arial"/>
          <w:sz w:val="16"/>
          <w:szCs w:val="16"/>
          <w:color w:val="0E2A35"/>
        </w:rPr>
        <w:t>In setting compensation, the committee compares base salaries, annual incentive opportunities and long-term compensation for the NEOs to a peer group of similarly sized companies (which we refer to collectively as our compensation peers). For fiscal 2021, the committee used the following set of companies that were determined to have similarly sized revenues and market values.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60" w:type="dxa"/>
            <w:vAlign w:val="bottom"/>
          </w:tcPr>
          <w:p>
            <w:pPr>
              <w:spacing w:after="0"/>
              <w:rPr>
                <w:sz w:val="22"/>
                <w:szCs w:val="22"/>
                <w:color w:val="auto"/>
              </w:rPr>
            </w:pPr>
          </w:p>
        </w:tc>
        <w:tc>
          <w:tcPr>
            <w:tcW w:w="2780" w:type="dxa"/>
            <w:vAlign w:val="bottom"/>
            <w:shd w:val="clear" w:color="auto" w:fill="0E2A35"/>
          </w:tcPr>
          <w:p>
            <w:pPr>
              <w:spacing w:after="0"/>
              <w:rPr>
                <w:sz w:val="22"/>
                <w:szCs w:val="22"/>
                <w:color w:val="auto"/>
              </w:rPr>
            </w:pPr>
          </w:p>
        </w:tc>
        <w:tc>
          <w:tcPr>
            <w:tcW w:w="6500" w:type="dxa"/>
            <w:vAlign w:val="bottom"/>
            <w:shd w:val="clear" w:color="auto" w:fill="0E2A35"/>
          </w:tcPr>
          <w:p>
            <w:pPr>
              <w:ind w:left="1240"/>
              <w:spacing w:after="0"/>
              <w:rPr>
                <w:sz w:val="20"/>
                <w:szCs w:val="20"/>
                <w:color w:val="auto"/>
              </w:rPr>
            </w:pPr>
            <w:r>
              <w:rPr>
                <w:rFonts w:ascii="Arial" w:cs="Arial" w:eastAsia="Arial" w:hAnsi="Arial"/>
                <w:sz w:val="13"/>
                <w:szCs w:val="13"/>
                <w:b w:val="1"/>
                <w:bCs w:val="1"/>
                <w:color w:val="FFFFFF"/>
              </w:rPr>
              <w:t>Compensation Peers</w:t>
            </w:r>
          </w:p>
        </w:tc>
        <w:tc>
          <w:tcPr>
            <w:tcW w:w="880" w:type="dxa"/>
            <w:vAlign w:val="bottom"/>
          </w:tcPr>
          <w:p>
            <w:pPr>
              <w:spacing w:after="0"/>
              <w:rPr>
                <w:sz w:val="22"/>
                <w:szCs w:val="22"/>
                <w:color w:val="auto"/>
              </w:rPr>
            </w:pPr>
          </w:p>
        </w:tc>
      </w:tr>
      <w:tr>
        <w:trPr>
          <w:trHeight w:val="97"/>
        </w:trPr>
        <w:tc>
          <w:tcPr>
            <w:tcW w:w="860" w:type="dxa"/>
            <w:vAlign w:val="bottom"/>
          </w:tcPr>
          <w:p>
            <w:pPr>
              <w:spacing w:after="0"/>
              <w:rPr>
                <w:sz w:val="8"/>
                <w:szCs w:val="8"/>
                <w:color w:val="auto"/>
              </w:rPr>
            </w:pPr>
          </w:p>
        </w:tc>
        <w:tc>
          <w:tcPr>
            <w:tcW w:w="2780" w:type="dxa"/>
            <w:vAlign w:val="bottom"/>
            <w:shd w:val="clear" w:color="auto" w:fill="0E2A35"/>
          </w:tcPr>
          <w:p>
            <w:pPr>
              <w:spacing w:after="0"/>
              <w:rPr>
                <w:sz w:val="8"/>
                <w:szCs w:val="8"/>
                <w:color w:val="auto"/>
              </w:rPr>
            </w:pPr>
          </w:p>
        </w:tc>
        <w:tc>
          <w:tcPr>
            <w:tcW w:w="6500" w:type="dxa"/>
            <w:vAlign w:val="bottom"/>
            <w:shd w:val="clear" w:color="auto" w:fill="0E2A35"/>
          </w:tcPr>
          <w:p>
            <w:pPr>
              <w:spacing w:after="0"/>
              <w:rPr>
                <w:sz w:val="8"/>
                <w:szCs w:val="8"/>
                <w:color w:val="auto"/>
              </w:rPr>
            </w:pPr>
          </w:p>
        </w:tc>
        <w:tc>
          <w:tcPr>
            <w:tcW w:w="880" w:type="dxa"/>
            <w:vAlign w:val="bottom"/>
          </w:tcPr>
          <w:p>
            <w:pPr>
              <w:spacing w:after="0"/>
              <w:rPr>
                <w:sz w:val="8"/>
                <w:szCs w:val="8"/>
                <w:color w:val="auto"/>
              </w:rPr>
            </w:pPr>
          </w:p>
        </w:tc>
      </w:tr>
      <w:tr>
        <w:trPr>
          <w:trHeight w:val="285"/>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Altra Industrial Motion</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Patrick Industries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Blue Bird</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Polaris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Brunswick</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REV Group</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Cooper-Standard</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Shyft (formerly known as Spartan Motors)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Donaldson Company</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Standard Motor Products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Federal Signal</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Tennant Company</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Harley-Davidson</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The Timken Company</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Hyster-Yale</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The Toro Company</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LCI Industries</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Thor Industries</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Malibu Boats</w:t>
            </w:r>
          </w:p>
        </w:tc>
        <w:tc>
          <w:tcPr>
            <w:tcW w:w="7380" w:type="dxa"/>
            <w:vAlign w:val="bottom"/>
            <w:gridSpan w:val="2"/>
          </w:tcPr>
          <w:p>
            <w:pPr>
              <w:ind w:left="1940"/>
              <w:spacing w:after="0"/>
              <w:rPr>
                <w:sz w:val="20"/>
                <w:szCs w:val="20"/>
                <w:color w:val="auto"/>
              </w:rPr>
            </w:pPr>
            <w:r>
              <w:rPr>
                <w:rFonts w:ascii="Arial" w:cs="Arial" w:eastAsia="Arial" w:hAnsi="Arial"/>
                <w:sz w:val="14"/>
                <w:szCs w:val="14"/>
                <w:color w:val="0E2A35"/>
              </w:rPr>
              <w:t>Wabash National</w:t>
            </w:r>
          </w:p>
        </w:tc>
      </w:tr>
      <w:tr>
        <w:trPr>
          <w:trHeight w:val="93"/>
        </w:trPr>
        <w:tc>
          <w:tcPr>
            <w:tcW w:w="860" w:type="dxa"/>
            <w:vAlign w:val="bottom"/>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650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2780" w:type="dxa"/>
            <w:vAlign w:val="bottom"/>
          </w:tcPr>
          <w:p>
            <w:pPr>
              <w:ind w:left="140"/>
              <w:spacing w:after="0"/>
              <w:rPr>
                <w:sz w:val="20"/>
                <w:szCs w:val="20"/>
                <w:color w:val="auto"/>
              </w:rPr>
            </w:pPr>
            <w:r>
              <w:rPr>
                <w:rFonts w:ascii="Arial" w:cs="Arial" w:eastAsia="Arial" w:hAnsi="Arial"/>
                <w:sz w:val="14"/>
                <w:szCs w:val="14"/>
                <w:color w:val="0E2A35"/>
              </w:rPr>
              <w:t>Meritor</w:t>
            </w:r>
          </w:p>
        </w:tc>
        <w:tc>
          <w:tcPr>
            <w:tcW w:w="6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
        </w:trPr>
        <w:tc>
          <w:tcPr>
            <w:tcW w:w="860" w:type="dxa"/>
            <w:vAlign w:val="bottom"/>
          </w:tcPr>
          <w:p>
            <w:pPr>
              <w:spacing w:after="0"/>
              <w:rPr>
                <w:sz w:val="3"/>
                <w:szCs w:val="3"/>
                <w:color w:val="auto"/>
              </w:rPr>
            </w:pPr>
          </w:p>
        </w:tc>
        <w:tc>
          <w:tcPr>
            <w:tcW w:w="2780" w:type="dxa"/>
            <w:vAlign w:val="bottom"/>
            <w:tcBorders>
              <w:bottom w:val="single" w:sz="8" w:color="0E2A35"/>
            </w:tcBorders>
          </w:tcPr>
          <w:p>
            <w:pPr>
              <w:spacing w:after="0"/>
              <w:rPr>
                <w:sz w:val="3"/>
                <w:szCs w:val="3"/>
                <w:color w:val="auto"/>
              </w:rPr>
            </w:pPr>
          </w:p>
        </w:tc>
        <w:tc>
          <w:tcPr>
            <w:tcW w:w="650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380" w:type="dxa"/>
            <w:vAlign w:val="bottom"/>
            <w:gridSpan w:val="2"/>
          </w:tcPr>
          <w:p>
            <w:pPr>
              <w:ind w:left="3780"/>
              <w:spacing w:after="0"/>
              <w:rPr>
                <w:sz w:val="20"/>
                <w:szCs w:val="20"/>
                <w:color w:val="auto"/>
              </w:rPr>
            </w:pPr>
            <w:r>
              <w:rPr>
                <w:rFonts w:ascii="Arial" w:cs="Arial" w:eastAsia="Arial" w:hAnsi="Arial"/>
                <w:sz w:val="13"/>
                <w:szCs w:val="13"/>
                <w:color w:val="0E2A35"/>
                <w:w w:val="96"/>
              </w:rPr>
              <w:t>Proxy Statement for 2021 Annual Meeting</w:t>
            </w:r>
            <w:r>
              <w:rPr>
                <w:rFonts w:ascii="Arial" w:cs="Arial" w:eastAsia="Arial" w:hAnsi="Arial"/>
                <w:sz w:val="13"/>
                <w:szCs w:val="13"/>
                <w:b w:val="1"/>
                <w:bCs w:val="1"/>
                <w:color w:val="0E2A35"/>
                <w:w w:val="96"/>
              </w:rPr>
              <w:t>40</w:t>
            </w:r>
          </w:p>
        </w:tc>
      </w:tr>
      <w:tr>
        <w:trPr>
          <w:trHeight w:val="253"/>
        </w:trPr>
        <w:tc>
          <w:tcPr>
            <w:tcW w:w="8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5" w:name="page46"/>
    <w:bookmarkEnd w:id="4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540"/>
        <w:spacing w:after="0" w:line="260" w:lineRule="auto"/>
        <w:rPr>
          <w:sz w:val="20"/>
          <w:szCs w:val="20"/>
          <w:color w:val="auto"/>
        </w:rPr>
      </w:pPr>
      <w:r>
        <w:rPr>
          <w:rFonts w:ascii="Arial" w:cs="Arial" w:eastAsia="Arial" w:hAnsi="Arial"/>
          <w:sz w:val="16"/>
          <w:szCs w:val="16"/>
          <w:color w:val="0E2A35"/>
        </w:rPr>
        <w:t>Based on a review conducted by Semler Brossy, the committee made the following changes to the peer group for setting compensation levels for fiscal 2022 with the intent to better reflect our current business dynamics:</w:t>
      </w:r>
    </w:p>
    <w:p>
      <w:pPr>
        <w:spacing w:after="0" w:line="58" w:lineRule="exact"/>
        <w:rPr>
          <w:sz w:val="20"/>
          <w:szCs w:val="20"/>
          <w:color w:val="auto"/>
        </w:rPr>
      </w:pPr>
    </w:p>
    <w:tbl>
      <w:tblPr>
        <w:tblLayout w:type="fixed"/>
        <w:tblInd w:w="860" w:type="dxa"/>
        <w:tblCellMar>
          <w:top w:w="0" w:type="dxa"/>
          <w:left w:w="0" w:type="dxa"/>
          <w:bottom w:w="0" w:type="dxa"/>
          <w:right w:w="0" w:type="dxa"/>
        </w:tblCellMar>
      </w:tblPr>
      <w:tr>
        <w:trPr>
          <w:trHeight w:val="308"/>
        </w:trPr>
        <w:tc>
          <w:tcPr>
            <w:tcW w:w="31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Removed (2 companies)</w:t>
            </w:r>
          </w:p>
        </w:tc>
        <w:tc>
          <w:tcPr>
            <w:tcW w:w="6120" w:type="dxa"/>
            <w:vAlign w:val="bottom"/>
            <w:shd w:val="clear" w:color="auto" w:fill="0E2A35"/>
          </w:tcPr>
          <w:p>
            <w:pPr>
              <w:ind w:left="1560"/>
              <w:spacing w:after="0"/>
              <w:rPr>
                <w:sz w:val="20"/>
                <w:szCs w:val="20"/>
                <w:color w:val="auto"/>
              </w:rPr>
            </w:pPr>
            <w:r>
              <w:rPr>
                <w:rFonts w:ascii="Arial" w:cs="Arial" w:eastAsia="Arial" w:hAnsi="Arial"/>
                <w:sz w:val="13"/>
                <w:szCs w:val="13"/>
                <w:b w:val="1"/>
                <w:bCs w:val="1"/>
                <w:color w:val="FFFFFF"/>
              </w:rPr>
              <w:t>Added (1 company)</w:t>
            </w:r>
          </w:p>
        </w:tc>
      </w:tr>
      <w:tr>
        <w:trPr>
          <w:trHeight w:val="97"/>
        </w:trPr>
        <w:tc>
          <w:tcPr>
            <w:tcW w:w="3160" w:type="dxa"/>
            <w:vAlign w:val="bottom"/>
            <w:shd w:val="clear" w:color="auto" w:fill="0E2A35"/>
          </w:tcPr>
          <w:p>
            <w:pPr>
              <w:spacing w:after="0"/>
              <w:rPr>
                <w:sz w:val="8"/>
                <w:szCs w:val="8"/>
                <w:color w:val="auto"/>
              </w:rPr>
            </w:pPr>
          </w:p>
        </w:tc>
        <w:tc>
          <w:tcPr>
            <w:tcW w:w="6120" w:type="dxa"/>
            <w:vAlign w:val="bottom"/>
            <w:shd w:val="clear" w:color="auto" w:fill="0E2A35"/>
          </w:tcPr>
          <w:p>
            <w:pPr>
              <w:spacing w:after="0"/>
              <w:rPr>
                <w:sz w:val="8"/>
                <w:szCs w:val="8"/>
                <w:color w:val="auto"/>
              </w:rPr>
            </w:pPr>
          </w:p>
        </w:tc>
      </w:tr>
      <w:tr>
        <w:trPr>
          <w:trHeight w:val="285"/>
        </w:trPr>
        <w:tc>
          <w:tcPr>
            <w:tcW w:w="3160" w:type="dxa"/>
            <w:vAlign w:val="bottom"/>
          </w:tcPr>
          <w:p>
            <w:pPr>
              <w:ind w:left="140"/>
              <w:spacing w:after="0"/>
              <w:rPr>
                <w:sz w:val="20"/>
                <w:szCs w:val="20"/>
                <w:color w:val="auto"/>
              </w:rPr>
            </w:pPr>
            <w:r>
              <w:rPr>
                <w:rFonts w:ascii="Arial" w:cs="Arial" w:eastAsia="Arial" w:hAnsi="Arial"/>
                <w:sz w:val="14"/>
                <w:szCs w:val="14"/>
                <w:color w:val="0E2A35"/>
              </w:rPr>
              <w:t>BlueBird</w:t>
            </w:r>
          </w:p>
        </w:tc>
        <w:tc>
          <w:tcPr>
            <w:tcW w:w="6120" w:type="dxa"/>
            <w:vAlign w:val="bottom"/>
          </w:tcPr>
          <w:p>
            <w:pPr>
              <w:ind w:left="1560"/>
              <w:spacing w:after="0"/>
              <w:rPr>
                <w:sz w:val="20"/>
                <w:szCs w:val="20"/>
                <w:color w:val="auto"/>
              </w:rPr>
            </w:pPr>
            <w:r>
              <w:rPr>
                <w:rFonts w:ascii="Arial" w:cs="Arial" w:eastAsia="Arial" w:hAnsi="Arial"/>
                <w:sz w:val="14"/>
                <w:szCs w:val="14"/>
                <w:color w:val="0E2A35"/>
              </w:rPr>
              <w:t>Oshkosh</w:t>
            </w:r>
          </w:p>
        </w:tc>
      </w:tr>
      <w:tr>
        <w:trPr>
          <w:trHeight w:val="93"/>
        </w:trPr>
        <w:tc>
          <w:tcPr>
            <w:tcW w:w="3160" w:type="dxa"/>
            <w:vAlign w:val="bottom"/>
            <w:tcBorders>
              <w:bottom w:val="single" w:sz="8" w:color="0E2A35"/>
            </w:tcBorders>
          </w:tcPr>
          <w:p>
            <w:pPr>
              <w:spacing w:after="0"/>
              <w:rPr>
                <w:sz w:val="8"/>
                <w:szCs w:val="8"/>
                <w:color w:val="auto"/>
              </w:rPr>
            </w:pPr>
          </w:p>
        </w:tc>
        <w:tc>
          <w:tcPr>
            <w:tcW w:w="6120" w:type="dxa"/>
            <w:vAlign w:val="bottom"/>
            <w:tcBorders>
              <w:bottom w:val="single" w:sz="8" w:color="0E2A35"/>
            </w:tcBorders>
          </w:tcPr>
          <w:p>
            <w:pPr>
              <w:spacing w:after="0"/>
              <w:rPr>
                <w:sz w:val="8"/>
                <w:szCs w:val="8"/>
                <w:color w:val="auto"/>
              </w:rPr>
            </w:pPr>
          </w:p>
        </w:tc>
      </w:tr>
      <w:tr>
        <w:trPr>
          <w:trHeight w:val="278"/>
        </w:trPr>
        <w:tc>
          <w:tcPr>
            <w:tcW w:w="3160" w:type="dxa"/>
            <w:vAlign w:val="bottom"/>
          </w:tcPr>
          <w:p>
            <w:pPr>
              <w:ind w:left="140"/>
              <w:spacing w:after="0"/>
              <w:rPr>
                <w:sz w:val="20"/>
                <w:szCs w:val="20"/>
                <w:color w:val="auto"/>
              </w:rPr>
            </w:pPr>
            <w:r>
              <w:rPr>
                <w:rFonts w:ascii="Arial" w:cs="Arial" w:eastAsia="Arial" w:hAnsi="Arial"/>
                <w:sz w:val="14"/>
                <w:szCs w:val="14"/>
                <w:color w:val="0E2A35"/>
              </w:rPr>
              <w:t>Shyft</w:t>
            </w:r>
          </w:p>
        </w:tc>
        <w:tc>
          <w:tcPr>
            <w:tcW w:w="6120" w:type="dxa"/>
            <w:vAlign w:val="bottom"/>
          </w:tcPr>
          <w:p>
            <w:pPr>
              <w:spacing w:after="0"/>
              <w:rPr>
                <w:sz w:val="24"/>
                <w:szCs w:val="24"/>
                <w:color w:val="auto"/>
              </w:rPr>
            </w:pPr>
          </w:p>
        </w:tc>
      </w:tr>
      <w:tr>
        <w:trPr>
          <w:trHeight w:val="39"/>
        </w:trPr>
        <w:tc>
          <w:tcPr>
            <w:tcW w:w="3160" w:type="dxa"/>
            <w:vAlign w:val="bottom"/>
            <w:tcBorders>
              <w:bottom w:val="single" w:sz="8" w:color="0E2A35"/>
            </w:tcBorders>
          </w:tcPr>
          <w:p>
            <w:pPr>
              <w:spacing w:after="0"/>
              <w:rPr>
                <w:sz w:val="3"/>
                <w:szCs w:val="3"/>
                <w:color w:val="auto"/>
              </w:rPr>
            </w:pPr>
          </w:p>
        </w:tc>
        <w:tc>
          <w:tcPr>
            <w:tcW w:w="612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NEO Compensation Decisions</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Base Salary</w:t>
      </w:r>
    </w:p>
    <w:p>
      <w:pPr>
        <w:spacing w:after="0" w:line="200" w:lineRule="exact"/>
        <w:rPr>
          <w:sz w:val="20"/>
          <w:szCs w:val="20"/>
          <w:color w:val="auto"/>
        </w:rPr>
      </w:pPr>
    </w:p>
    <w:p>
      <w:pPr>
        <w:ind w:left="860" w:right="1340"/>
        <w:spacing w:after="0" w:line="253" w:lineRule="auto"/>
        <w:rPr>
          <w:sz w:val="20"/>
          <w:szCs w:val="20"/>
          <w:color w:val="auto"/>
        </w:rPr>
      </w:pPr>
      <w:r>
        <w:rPr>
          <w:rFonts w:ascii="Arial" w:cs="Arial" w:eastAsia="Arial" w:hAnsi="Arial"/>
          <w:sz w:val="16"/>
          <w:szCs w:val="16"/>
          <w:color w:val="0E2A35"/>
        </w:rPr>
        <w:t>We provide NEOs with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w:t>
      </w:r>
    </w:p>
    <w:p>
      <w:pPr>
        <w:spacing w:after="0" w:line="174" w:lineRule="exact"/>
        <w:rPr>
          <w:sz w:val="20"/>
          <w:szCs w:val="20"/>
          <w:color w:val="auto"/>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Experience of the executive</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Time in position</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Individual performance</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Level of responsibility for the executive</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Economic conditions, Company performance, financial condition and strategic goals</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Competitive market data provided by the committee’s independent compensation consultant</w:t>
      </w:r>
    </w:p>
    <w:p>
      <w:pPr>
        <w:spacing w:after="0" w:line="194" w:lineRule="exact"/>
        <w:rPr>
          <w:sz w:val="20"/>
          <w:szCs w:val="20"/>
          <w:color w:val="auto"/>
        </w:rPr>
      </w:pPr>
    </w:p>
    <w:p>
      <w:pPr>
        <w:ind w:left="860" w:right="1220"/>
        <w:spacing w:after="0" w:line="253" w:lineRule="auto"/>
        <w:rPr>
          <w:sz w:val="20"/>
          <w:szCs w:val="20"/>
          <w:color w:val="auto"/>
        </w:rPr>
      </w:pPr>
      <w:r>
        <w:rPr>
          <w:rFonts w:ascii="Arial" w:cs="Arial" w:eastAsia="Arial" w:hAnsi="Arial"/>
          <w:sz w:val="16"/>
          <w:szCs w:val="16"/>
          <w:color w:val="0E2A35"/>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161"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In October 2020, as a result of a review of performance, consideration of the above referenced factors, and with input from the independent compensation consultant and our CEO, the committee recommended and approved the following increases for fiscal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Pr>
          <w:p>
            <w:pPr>
              <w:spacing w:after="0"/>
              <w:rPr>
                <w:sz w:val="19"/>
                <w:szCs w:val="19"/>
                <w:color w:val="auto"/>
              </w:rPr>
            </w:pPr>
          </w:p>
        </w:tc>
        <w:tc>
          <w:tcPr>
            <w:tcW w:w="4440" w:type="dxa"/>
            <w:vAlign w:val="bottom"/>
            <w:shd w:val="clear" w:color="auto" w:fill="0E2A35"/>
          </w:tcPr>
          <w:p>
            <w:pPr>
              <w:spacing w:after="0"/>
              <w:rPr>
                <w:sz w:val="19"/>
                <w:szCs w:val="19"/>
                <w:color w:val="auto"/>
              </w:rPr>
            </w:pPr>
          </w:p>
        </w:tc>
        <w:tc>
          <w:tcPr>
            <w:tcW w:w="210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Fiscal 2021</w:t>
            </w:r>
          </w:p>
        </w:tc>
        <w:tc>
          <w:tcPr>
            <w:tcW w:w="1620" w:type="dxa"/>
            <w:vAlign w:val="bottom"/>
            <w:shd w:val="clear" w:color="auto" w:fill="0E2A35"/>
          </w:tcPr>
          <w:p>
            <w:pPr>
              <w:jc w:val="center"/>
              <w:ind w:left="152"/>
              <w:spacing w:after="0"/>
              <w:rPr>
                <w:sz w:val="20"/>
                <w:szCs w:val="20"/>
                <w:color w:val="auto"/>
              </w:rPr>
            </w:pPr>
            <w:r>
              <w:rPr>
                <w:rFonts w:ascii="Arial" w:cs="Arial" w:eastAsia="Arial" w:hAnsi="Arial"/>
                <w:sz w:val="13"/>
                <w:szCs w:val="13"/>
                <w:b w:val="1"/>
                <w:bCs w:val="1"/>
                <w:color w:val="FFFFFF"/>
                <w:w w:val="97"/>
              </w:rPr>
              <w:t>Fiscal 2020</w:t>
            </w:r>
          </w:p>
        </w:tc>
        <w:tc>
          <w:tcPr>
            <w:tcW w:w="1120" w:type="dxa"/>
            <w:vAlign w:val="bottom"/>
            <w:gridSpan w:val="2"/>
            <w:shd w:val="clear" w:color="auto" w:fill="0E2A35"/>
          </w:tcPr>
          <w:p>
            <w:pPr>
              <w:jc w:val="center"/>
              <w:ind w:left="97"/>
              <w:spacing w:after="0"/>
              <w:rPr>
                <w:sz w:val="20"/>
                <w:szCs w:val="20"/>
                <w:color w:val="auto"/>
              </w:rPr>
            </w:pPr>
            <w:r>
              <w:rPr>
                <w:rFonts w:ascii="Arial" w:cs="Arial" w:eastAsia="Arial" w:hAnsi="Arial"/>
                <w:sz w:val="13"/>
                <w:szCs w:val="13"/>
                <w:b w:val="1"/>
                <w:bCs w:val="1"/>
                <w:color w:val="FFFFFF"/>
                <w:w w:val="96"/>
              </w:rPr>
              <w:t>Percentage</w:t>
            </w:r>
          </w:p>
        </w:tc>
        <w:tc>
          <w:tcPr>
            <w:tcW w:w="880" w:type="dxa"/>
            <w:vAlign w:val="bottom"/>
          </w:tcPr>
          <w:p>
            <w:pPr>
              <w:spacing w:after="0"/>
              <w:rPr>
                <w:sz w:val="19"/>
                <w:szCs w:val="19"/>
                <w:color w:val="auto"/>
              </w:rPr>
            </w:pPr>
          </w:p>
        </w:tc>
      </w:tr>
      <w:tr>
        <w:trPr>
          <w:trHeight w:val="135"/>
        </w:trPr>
        <w:tc>
          <w:tcPr>
            <w:tcW w:w="860" w:type="dxa"/>
            <w:vAlign w:val="bottom"/>
          </w:tcPr>
          <w:p>
            <w:pPr>
              <w:spacing w:after="0"/>
              <w:rPr>
                <w:sz w:val="11"/>
                <w:szCs w:val="11"/>
                <w:color w:val="auto"/>
              </w:rPr>
            </w:pPr>
          </w:p>
        </w:tc>
        <w:tc>
          <w:tcPr>
            <w:tcW w:w="4440" w:type="dxa"/>
            <w:vAlign w:val="bottom"/>
            <w:shd w:val="clear" w:color="auto" w:fill="0E2A35"/>
          </w:tcPr>
          <w:p>
            <w:pPr>
              <w:spacing w:after="0"/>
              <w:rPr>
                <w:sz w:val="11"/>
                <w:szCs w:val="11"/>
                <w:color w:val="auto"/>
              </w:rPr>
            </w:pPr>
          </w:p>
        </w:tc>
        <w:tc>
          <w:tcPr>
            <w:tcW w:w="2100" w:type="dxa"/>
            <w:vAlign w:val="bottom"/>
            <w:shd w:val="clear" w:color="auto" w:fill="0E2A35"/>
          </w:tcPr>
          <w:p>
            <w:pPr>
              <w:jc w:val="right"/>
              <w:ind w:right="91"/>
              <w:spacing w:after="0" w:line="135" w:lineRule="exact"/>
              <w:rPr>
                <w:sz w:val="20"/>
                <w:szCs w:val="20"/>
                <w:color w:val="auto"/>
              </w:rPr>
            </w:pPr>
            <w:r>
              <w:rPr>
                <w:rFonts w:ascii="Arial" w:cs="Arial" w:eastAsia="Arial" w:hAnsi="Arial"/>
                <w:sz w:val="13"/>
                <w:szCs w:val="13"/>
                <w:b w:val="1"/>
                <w:bCs w:val="1"/>
                <w:color w:val="FFFFFF"/>
              </w:rPr>
              <w:t>Salary</w:t>
            </w:r>
          </w:p>
        </w:tc>
        <w:tc>
          <w:tcPr>
            <w:tcW w:w="1620" w:type="dxa"/>
            <w:vAlign w:val="bottom"/>
            <w:shd w:val="clear" w:color="auto" w:fill="0E2A35"/>
          </w:tcPr>
          <w:p>
            <w:pPr>
              <w:jc w:val="center"/>
              <w:ind w:left="192"/>
              <w:spacing w:after="0" w:line="135" w:lineRule="exact"/>
              <w:rPr>
                <w:sz w:val="20"/>
                <w:szCs w:val="20"/>
                <w:color w:val="auto"/>
              </w:rPr>
            </w:pPr>
            <w:r>
              <w:rPr>
                <w:rFonts w:ascii="Arial" w:cs="Arial" w:eastAsia="Arial" w:hAnsi="Arial"/>
                <w:sz w:val="13"/>
                <w:szCs w:val="13"/>
                <w:b w:val="1"/>
                <w:bCs w:val="1"/>
                <w:color w:val="FFFFFF"/>
                <w:w w:val="92"/>
              </w:rPr>
              <w:t>Salary</w:t>
            </w:r>
          </w:p>
        </w:tc>
        <w:tc>
          <w:tcPr>
            <w:tcW w:w="1120" w:type="dxa"/>
            <w:vAlign w:val="bottom"/>
            <w:gridSpan w:val="2"/>
            <w:shd w:val="clear" w:color="auto" w:fill="0E2A35"/>
          </w:tcPr>
          <w:p>
            <w:pPr>
              <w:jc w:val="center"/>
              <w:ind w:left="137"/>
              <w:spacing w:after="0" w:line="135" w:lineRule="exact"/>
              <w:rPr>
                <w:sz w:val="20"/>
                <w:szCs w:val="20"/>
                <w:color w:val="auto"/>
              </w:rPr>
            </w:pPr>
            <w:r>
              <w:rPr>
                <w:rFonts w:ascii="Arial" w:cs="Arial" w:eastAsia="Arial" w:hAnsi="Arial"/>
                <w:sz w:val="13"/>
                <w:szCs w:val="13"/>
                <w:b w:val="1"/>
                <w:bCs w:val="1"/>
                <w:color w:val="FFFFFF"/>
                <w:w w:val="98"/>
              </w:rPr>
              <w:t>Increase</w:t>
            </w:r>
          </w:p>
        </w:tc>
        <w:tc>
          <w:tcPr>
            <w:tcW w:w="880" w:type="dxa"/>
            <w:vAlign w:val="bottom"/>
          </w:tcPr>
          <w:p>
            <w:pPr>
              <w:spacing w:after="0"/>
              <w:rPr>
                <w:sz w:val="11"/>
                <w:szCs w:val="11"/>
                <w:color w:val="auto"/>
              </w:rPr>
            </w:pPr>
          </w:p>
        </w:tc>
      </w:tr>
      <w:tr>
        <w:trPr>
          <w:trHeight w:val="168"/>
        </w:trPr>
        <w:tc>
          <w:tcPr>
            <w:tcW w:w="860" w:type="dxa"/>
            <w:vAlign w:val="bottom"/>
          </w:tcPr>
          <w:p>
            <w:pPr>
              <w:spacing w:after="0"/>
              <w:rPr>
                <w:sz w:val="14"/>
                <w:szCs w:val="14"/>
                <w:color w:val="auto"/>
              </w:rPr>
            </w:pPr>
          </w:p>
        </w:tc>
        <w:tc>
          <w:tcPr>
            <w:tcW w:w="444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2100" w:type="dxa"/>
            <w:vAlign w:val="bottom"/>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0E2A35"/>
          </w:tcPr>
          <w:p>
            <w:pPr>
              <w:jc w:val="center"/>
              <w:ind w:left="192"/>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E2A35"/>
          </w:tcPr>
          <w:p>
            <w:pPr>
              <w:jc w:val="center"/>
              <w:ind w:left="477"/>
              <w:spacing w:after="0"/>
              <w:rPr>
                <w:sz w:val="20"/>
                <w:szCs w:val="20"/>
                <w:color w:val="auto"/>
              </w:rPr>
            </w:pPr>
            <w:r>
              <w:rPr>
                <w:rFonts w:ascii="Arial" w:cs="Arial" w:eastAsia="Arial" w:hAnsi="Arial"/>
                <w:sz w:val="13"/>
                <w:szCs w:val="13"/>
                <w:b w:val="1"/>
                <w:bCs w:val="1"/>
                <w:color w:val="FFFFFF"/>
                <w:w w:val="98"/>
              </w:rPr>
              <w:t>(%)</w:t>
            </w:r>
          </w:p>
        </w:tc>
        <w:tc>
          <w:tcPr>
            <w:tcW w:w="340" w:type="dxa"/>
            <w:vAlign w:val="bottom"/>
            <w:shd w:val="clear" w:color="auto" w:fill="0E2A35"/>
          </w:tcPr>
          <w:p>
            <w:pPr>
              <w:spacing w:after="0"/>
              <w:rPr>
                <w:sz w:val="14"/>
                <w:szCs w:val="14"/>
                <w:color w:val="auto"/>
              </w:rPr>
            </w:pPr>
          </w:p>
        </w:tc>
        <w:tc>
          <w:tcPr>
            <w:tcW w:w="880" w:type="dxa"/>
            <w:vAlign w:val="bottom"/>
          </w:tcPr>
          <w:p>
            <w:pPr>
              <w:spacing w:after="0"/>
              <w:rPr>
                <w:sz w:val="14"/>
                <w:szCs w:val="14"/>
                <w:color w:val="auto"/>
              </w:rPr>
            </w:pPr>
          </w:p>
        </w:tc>
      </w:tr>
      <w:tr>
        <w:trPr>
          <w:trHeight w:val="97"/>
        </w:trPr>
        <w:tc>
          <w:tcPr>
            <w:tcW w:w="860" w:type="dxa"/>
            <w:vAlign w:val="bottom"/>
          </w:tcPr>
          <w:p>
            <w:pPr>
              <w:spacing w:after="0"/>
              <w:rPr>
                <w:sz w:val="8"/>
                <w:szCs w:val="8"/>
                <w:color w:val="auto"/>
              </w:rPr>
            </w:pPr>
          </w:p>
        </w:tc>
        <w:tc>
          <w:tcPr>
            <w:tcW w:w="4440" w:type="dxa"/>
            <w:vAlign w:val="bottom"/>
            <w:shd w:val="clear" w:color="auto" w:fill="0E2A35"/>
          </w:tcPr>
          <w:p>
            <w:pPr>
              <w:spacing w:after="0"/>
              <w:rPr>
                <w:sz w:val="8"/>
                <w:szCs w:val="8"/>
                <w:color w:val="auto"/>
              </w:rPr>
            </w:pPr>
          </w:p>
        </w:tc>
        <w:tc>
          <w:tcPr>
            <w:tcW w:w="2100" w:type="dxa"/>
            <w:vAlign w:val="bottom"/>
            <w:shd w:val="clear" w:color="auto" w:fill="0E2A35"/>
          </w:tcPr>
          <w:p>
            <w:pPr>
              <w:spacing w:after="0"/>
              <w:rPr>
                <w:sz w:val="8"/>
                <w:szCs w:val="8"/>
                <w:color w:val="auto"/>
              </w:rPr>
            </w:pPr>
          </w:p>
        </w:tc>
        <w:tc>
          <w:tcPr>
            <w:tcW w:w="1620" w:type="dxa"/>
            <w:vAlign w:val="bottom"/>
            <w:shd w:val="clear" w:color="auto" w:fill="0E2A35"/>
          </w:tcPr>
          <w:p>
            <w:pPr>
              <w:spacing w:after="0"/>
              <w:rPr>
                <w:sz w:val="8"/>
                <w:szCs w:val="8"/>
                <w:color w:val="auto"/>
              </w:rPr>
            </w:pPr>
          </w:p>
        </w:tc>
        <w:tc>
          <w:tcPr>
            <w:tcW w:w="780" w:type="dxa"/>
            <w:vAlign w:val="bottom"/>
            <w:shd w:val="clear" w:color="auto" w:fill="0E2A35"/>
          </w:tcPr>
          <w:p>
            <w:pPr>
              <w:spacing w:after="0"/>
              <w:rPr>
                <w:sz w:val="8"/>
                <w:szCs w:val="8"/>
                <w:color w:val="auto"/>
              </w:rPr>
            </w:pPr>
          </w:p>
        </w:tc>
        <w:tc>
          <w:tcPr>
            <w:tcW w:w="340" w:type="dxa"/>
            <w:vAlign w:val="bottom"/>
            <w:shd w:val="clear" w:color="auto" w:fill="0E2A35"/>
          </w:tcPr>
          <w:p>
            <w:pPr>
              <w:spacing w:after="0"/>
              <w:rPr>
                <w:sz w:val="8"/>
                <w:szCs w:val="8"/>
                <w:color w:val="auto"/>
              </w:rPr>
            </w:pPr>
          </w:p>
        </w:tc>
        <w:tc>
          <w:tcPr>
            <w:tcW w:w="880" w:type="dxa"/>
            <w:vAlign w:val="bottom"/>
          </w:tcPr>
          <w:p>
            <w:pPr>
              <w:spacing w:after="0"/>
              <w:rPr>
                <w:sz w:val="8"/>
                <w:szCs w:val="8"/>
                <w:color w:val="auto"/>
              </w:rPr>
            </w:pPr>
          </w:p>
        </w:tc>
      </w:tr>
      <w:tr>
        <w:trPr>
          <w:trHeight w:val="285"/>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Michael J. Happe</w:t>
            </w:r>
          </w:p>
        </w:tc>
        <w:tc>
          <w:tcPr>
            <w:tcW w:w="2100" w:type="dxa"/>
            <w:vAlign w:val="bottom"/>
          </w:tcPr>
          <w:p>
            <w:pPr>
              <w:jc w:val="right"/>
              <w:spacing w:after="0"/>
              <w:rPr>
                <w:sz w:val="20"/>
                <w:szCs w:val="20"/>
                <w:color w:val="auto"/>
              </w:rPr>
            </w:pPr>
            <w:r>
              <w:rPr>
                <w:rFonts w:ascii="Arial" w:cs="Arial" w:eastAsia="Arial" w:hAnsi="Arial"/>
                <w:sz w:val="14"/>
                <w:szCs w:val="14"/>
                <w:color w:val="0E2A35"/>
              </w:rPr>
              <w:t>900,000</w:t>
            </w:r>
          </w:p>
        </w:tc>
        <w:tc>
          <w:tcPr>
            <w:tcW w:w="1620" w:type="dxa"/>
            <w:vAlign w:val="bottom"/>
          </w:tcPr>
          <w:p>
            <w:pPr>
              <w:jc w:val="center"/>
              <w:ind w:left="112"/>
              <w:spacing w:after="0"/>
              <w:rPr>
                <w:sz w:val="20"/>
                <w:szCs w:val="20"/>
                <w:color w:val="auto"/>
              </w:rPr>
            </w:pPr>
            <w:r>
              <w:rPr>
                <w:rFonts w:ascii="Arial" w:cs="Arial" w:eastAsia="Arial" w:hAnsi="Arial"/>
                <w:sz w:val="14"/>
                <w:szCs w:val="14"/>
                <w:color w:val="0E2A35"/>
              </w:rPr>
              <w:t>900,000</w:t>
            </w:r>
          </w:p>
        </w:tc>
        <w:tc>
          <w:tcPr>
            <w:tcW w:w="780" w:type="dxa"/>
            <w:vAlign w:val="bottom"/>
          </w:tcPr>
          <w:p>
            <w:pPr>
              <w:spacing w:after="0"/>
              <w:rPr>
                <w:sz w:val="24"/>
                <w:szCs w:val="24"/>
                <w:color w:val="auto"/>
              </w:rPr>
            </w:pPr>
          </w:p>
        </w:tc>
        <w:tc>
          <w:tcPr>
            <w:tcW w:w="122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r>
      <w:tr>
        <w:trPr>
          <w:trHeight w:val="93"/>
        </w:trPr>
        <w:tc>
          <w:tcPr>
            <w:tcW w:w="860" w:type="dxa"/>
            <w:vAlign w:val="bottom"/>
          </w:tcPr>
          <w:p>
            <w:pPr>
              <w:spacing w:after="0"/>
              <w:rPr>
                <w:sz w:val="8"/>
                <w:szCs w:val="8"/>
                <w:color w:val="auto"/>
              </w:rPr>
            </w:pPr>
          </w:p>
        </w:tc>
        <w:tc>
          <w:tcPr>
            <w:tcW w:w="444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9"/>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Bryan L. Hughes</w:t>
            </w:r>
          </w:p>
        </w:tc>
        <w:tc>
          <w:tcPr>
            <w:tcW w:w="2100" w:type="dxa"/>
            <w:vAlign w:val="bottom"/>
          </w:tcPr>
          <w:p>
            <w:pPr>
              <w:jc w:val="right"/>
              <w:spacing w:after="0"/>
              <w:rPr>
                <w:sz w:val="20"/>
                <w:szCs w:val="20"/>
                <w:color w:val="auto"/>
              </w:rPr>
            </w:pPr>
            <w:r>
              <w:rPr>
                <w:rFonts w:ascii="Arial" w:cs="Arial" w:eastAsia="Arial" w:hAnsi="Arial"/>
                <w:sz w:val="14"/>
                <w:szCs w:val="14"/>
                <w:color w:val="0E2A35"/>
              </w:rPr>
              <w:t>525,000</w:t>
            </w:r>
          </w:p>
        </w:tc>
        <w:tc>
          <w:tcPr>
            <w:tcW w:w="1620" w:type="dxa"/>
            <w:vAlign w:val="bottom"/>
          </w:tcPr>
          <w:p>
            <w:pPr>
              <w:jc w:val="center"/>
              <w:ind w:left="152"/>
              <w:spacing w:after="0"/>
              <w:rPr>
                <w:sz w:val="20"/>
                <w:szCs w:val="20"/>
                <w:color w:val="auto"/>
              </w:rPr>
            </w:pPr>
            <w:r>
              <w:rPr>
                <w:rFonts w:ascii="Arial" w:cs="Arial" w:eastAsia="Arial" w:hAnsi="Arial"/>
                <w:sz w:val="14"/>
                <w:szCs w:val="14"/>
                <w:color w:val="0E2A35"/>
              </w:rPr>
              <w:t>507,000</w:t>
            </w:r>
          </w:p>
        </w:tc>
        <w:tc>
          <w:tcPr>
            <w:tcW w:w="78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4"/>
                <w:szCs w:val="14"/>
                <w:color w:val="0E2A35"/>
              </w:rPr>
              <w:t>3.6</w:t>
            </w:r>
          </w:p>
        </w:tc>
        <w:tc>
          <w:tcPr>
            <w:tcW w:w="880" w:type="dxa"/>
            <w:vAlign w:val="bottom"/>
          </w:tcPr>
          <w:p>
            <w:pPr>
              <w:spacing w:after="0"/>
              <w:rPr>
                <w:sz w:val="24"/>
                <w:szCs w:val="24"/>
                <w:color w:val="auto"/>
              </w:rPr>
            </w:pPr>
          </w:p>
        </w:tc>
      </w:tr>
      <w:tr>
        <w:trPr>
          <w:trHeight w:val="93"/>
        </w:trPr>
        <w:tc>
          <w:tcPr>
            <w:tcW w:w="860" w:type="dxa"/>
            <w:vAlign w:val="bottom"/>
          </w:tcPr>
          <w:p>
            <w:pPr>
              <w:spacing w:after="0"/>
              <w:rPr>
                <w:sz w:val="8"/>
                <w:szCs w:val="8"/>
                <w:color w:val="auto"/>
              </w:rPr>
            </w:pPr>
          </w:p>
        </w:tc>
        <w:tc>
          <w:tcPr>
            <w:tcW w:w="444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371"/>
        </w:trPr>
        <w:tc>
          <w:tcPr>
            <w:tcW w:w="860" w:type="dxa"/>
            <w:vAlign w:val="bottom"/>
          </w:tcPr>
          <w:p>
            <w:pPr>
              <w:spacing w:after="0"/>
              <w:rPr>
                <w:sz w:val="24"/>
                <w:szCs w:val="24"/>
                <w:color w:val="auto"/>
              </w:rPr>
            </w:pPr>
          </w:p>
        </w:tc>
        <w:tc>
          <w:tcPr>
            <w:tcW w:w="444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Huw S. Bower</w:t>
            </w:r>
          </w:p>
        </w:tc>
        <w:tc>
          <w:tcPr>
            <w:tcW w:w="210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550,000</w:t>
            </w:r>
          </w:p>
        </w:tc>
        <w:tc>
          <w:tcPr>
            <w:tcW w:w="1620" w:type="dxa"/>
            <w:vAlign w:val="bottom"/>
            <w:tcBorders>
              <w:bottom w:val="single" w:sz="8" w:color="0E2A35"/>
            </w:tcBorders>
          </w:tcPr>
          <w:p>
            <w:pPr>
              <w:jc w:val="right"/>
              <w:ind w:right="232"/>
              <w:spacing w:after="0"/>
              <w:rPr>
                <w:sz w:val="20"/>
                <w:szCs w:val="20"/>
                <w:color w:val="auto"/>
              </w:rPr>
            </w:pPr>
            <w:r>
              <w:rPr>
                <w:rFonts w:ascii="Arial" w:cs="Arial" w:eastAsia="Arial" w:hAnsi="Arial"/>
                <w:sz w:val="14"/>
                <w:szCs w:val="14"/>
                <w:color w:val="0E2A35"/>
              </w:rPr>
              <w:t>N/A</w:t>
            </w:r>
            <w:r>
              <w:rPr>
                <w:rFonts w:ascii="Arial" w:cs="Arial" w:eastAsia="Arial" w:hAnsi="Arial"/>
                <w:sz w:val="23"/>
                <w:szCs w:val="23"/>
                <w:color w:val="0E2A35"/>
                <w:vertAlign w:val="superscript"/>
              </w:rPr>
              <w:t>(1)</w:t>
            </w:r>
          </w:p>
        </w:tc>
        <w:tc>
          <w:tcPr>
            <w:tcW w:w="780" w:type="dxa"/>
            <w:vAlign w:val="bottom"/>
            <w:tcBorders>
              <w:bottom w:val="single" w:sz="8" w:color="0E2A35"/>
            </w:tcBorders>
          </w:tcPr>
          <w:p>
            <w:pPr>
              <w:spacing w:after="0"/>
              <w:rPr>
                <w:sz w:val="24"/>
                <w:szCs w:val="24"/>
                <w:color w:val="auto"/>
              </w:rPr>
            </w:pPr>
          </w:p>
        </w:tc>
        <w:tc>
          <w:tcPr>
            <w:tcW w:w="34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N/A</w:t>
            </w:r>
          </w:p>
        </w:tc>
        <w:tc>
          <w:tcPr>
            <w:tcW w:w="880" w:type="dxa"/>
            <w:vAlign w:val="bottom"/>
          </w:tcPr>
          <w:p>
            <w:pPr>
              <w:spacing w:after="0"/>
              <w:rPr>
                <w:sz w:val="24"/>
                <w:szCs w:val="24"/>
                <w:color w:val="auto"/>
              </w:rPr>
            </w:pPr>
          </w:p>
        </w:tc>
      </w:tr>
      <w:tr>
        <w:trPr>
          <w:trHeight w:val="279"/>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Donald J. Clark</w:t>
            </w:r>
          </w:p>
        </w:tc>
        <w:tc>
          <w:tcPr>
            <w:tcW w:w="2100" w:type="dxa"/>
            <w:vAlign w:val="bottom"/>
          </w:tcPr>
          <w:p>
            <w:pPr>
              <w:jc w:val="right"/>
              <w:spacing w:after="0"/>
              <w:rPr>
                <w:sz w:val="20"/>
                <w:szCs w:val="20"/>
                <w:color w:val="auto"/>
              </w:rPr>
            </w:pPr>
            <w:r>
              <w:rPr>
                <w:rFonts w:ascii="Arial" w:cs="Arial" w:eastAsia="Arial" w:hAnsi="Arial"/>
                <w:sz w:val="14"/>
                <w:szCs w:val="14"/>
                <w:color w:val="0E2A35"/>
              </w:rPr>
              <w:t>400,000</w:t>
            </w:r>
          </w:p>
        </w:tc>
        <w:tc>
          <w:tcPr>
            <w:tcW w:w="1620" w:type="dxa"/>
            <w:vAlign w:val="bottom"/>
          </w:tcPr>
          <w:p>
            <w:pPr>
              <w:jc w:val="right"/>
              <w:ind w:right="352"/>
              <w:spacing w:after="0"/>
              <w:rPr>
                <w:sz w:val="20"/>
                <w:szCs w:val="20"/>
                <w:color w:val="auto"/>
              </w:rPr>
            </w:pPr>
            <w:r>
              <w:rPr>
                <w:rFonts w:ascii="Arial" w:cs="Arial" w:eastAsia="Arial" w:hAnsi="Arial"/>
                <w:sz w:val="14"/>
                <w:szCs w:val="14"/>
                <w:color w:val="0E2A35"/>
              </w:rPr>
              <w:t>400,000</w:t>
            </w:r>
          </w:p>
        </w:tc>
        <w:tc>
          <w:tcPr>
            <w:tcW w:w="780" w:type="dxa"/>
            <w:vAlign w:val="bottom"/>
          </w:tcPr>
          <w:p>
            <w:pPr>
              <w:spacing w:after="0"/>
              <w:rPr>
                <w:sz w:val="24"/>
                <w:szCs w:val="24"/>
                <w:color w:val="auto"/>
              </w:rPr>
            </w:pPr>
          </w:p>
        </w:tc>
        <w:tc>
          <w:tcPr>
            <w:tcW w:w="122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r>
      <w:tr>
        <w:trPr>
          <w:trHeight w:val="93"/>
        </w:trPr>
        <w:tc>
          <w:tcPr>
            <w:tcW w:w="860" w:type="dxa"/>
            <w:vAlign w:val="bottom"/>
          </w:tcPr>
          <w:p>
            <w:pPr>
              <w:spacing w:after="0"/>
              <w:rPr>
                <w:sz w:val="8"/>
                <w:szCs w:val="8"/>
                <w:color w:val="auto"/>
              </w:rPr>
            </w:pPr>
          </w:p>
        </w:tc>
        <w:tc>
          <w:tcPr>
            <w:tcW w:w="444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278"/>
        </w:trPr>
        <w:tc>
          <w:tcPr>
            <w:tcW w:w="860" w:type="dxa"/>
            <w:vAlign w:val="bottom"/>
          </w:tcPr>
          <w:p>
            <w:pPr>
              <w:spacing w:after="0"/>
              <w:rPr>
                <w:sz w:val="24"/>
                <w:szCs w:val="24"/>
                <w:color w:val="auto"/>
              </w:rPr>
            </w:pPr>
          </w:p>
        </w:tc>
        <w:tc>
          <w:tcPr>
            <w:tcW w:w="4440" w:type="dxa"/>
            <w:vAlign w:val="bottom"/>
          </w:tcPr>
          <w:p>
            <w:pPr>
              <w:ind w:left="160"/>
              <w:spacing w:after="0"/>
              <w:rPr>
                <w:sz w:val="20"/>
                <w:szCs w:val="20"/>
                <w:color w:val="auto"/>
              </w:rPr>
            </w:pPr>
            <w:r>
              <w:rPr>
                <w:rFonts w:ascii="Arial" w:cs="Arial" w:eastAsia="Arial" w:hAnsi="Arial"/>
                <w:sz w:val="14"/>
                <w:szCs w:val="14"/>
                <w:color w:val="0E2A35"/>
              </w:rPr>
              <w:t>Brian D. Hazelton</w:t>
            </w:r>
          </w:p>
        </w:tc>
        <w:tc>
          <w:tcPr>
            <w:tcW w:w="2100" w:type="dxa"/>
            <w:vAlign w:val="bottom"/>
          </w:tcPr>
          <w:p>
            <w:pPr>
              <w:jc w:val="right"/>
              <w:spacing w:after="0"/>
              <w:rPr>
                <w:sz w:val="20"/>
                <w:szCs w:val="20"/>
                <w:color w:val="auto"/>
              </w:rPr>
            </w:pPr>
            <w:r>
              <w:rPr>
                <w:rFonts w:ascii="Arial" w:cs="Arial" w:eastAsia="Arial" w:hAnsi="Arial"/>
                <w:sz w:val="14"/>
                <w:szCs w:val="14"/>
                <w:color w:val="0E2A35"/>
              </w:rPr>
              <w:t>512,500</w:t>
            </w:r>
          </w:p>
        </w:tc>
        <w:tc>
          <w:tcPr>
            <w:tcW w:w="1620" w:type="dxa"/>
            <w:vAlign w:val="bottom"/>
          </w:tcPr>
          <w:p>
            <w:pPr>
              <w:jc w:val="center"/>
              <w:ind w:left="152"/>
              <w:spacing w:after="0"/>
              <w:rPr>
                <w:sz w:val="20"/>
                <w:szCs w:val="20"/>
                <w:color w:val="auto"/>
              </w:rPr>
            </w:pPr>
            <w:r>
              <w:rPr>
                <w:rFonts w:ascii="Arial" w:cs="Arial" w:eastAsia="Arial" w:hAnsi="Arial"/>
                <w:sz w:val="14"/>
                <w:szCs w:val="14"/>
                <w:color w:val="0E2A35"/>
              </w:rPr>
              <w:t>491,500</w:t>
            </w:r>
          </w:p>
        </w:tc>
        <w:tc>
          <w:tcPr>
            <w:tcW w:w="78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4"/>
                <w:szCs w:val="14"/>
                <w:color w:val="0E2A35"/>
              </w:rPr>
              <w:t>4.3</w:t>
            </w:r>
          </w:p>
        </w:tc>
        <w:tc>
          <w:tcPr>
            <w:tcW w:w="880" w:type="dxa"/>
            <w:vAlign w:val="bottom"/>
          </w:tcPr>
          <w:p>
            <w:pPr>
              <w:spacing w:after="0"/>
              <w:rPr>
                <w:sz w:val="24"/>
                <w:szCs w:val="24"/>
                <w:color w:val="auto"/>
              </w:rPr>
            </w:pPr>
          </w:p>
        </w:tc>
      </w:tr>
      <w:tr>
        <w:trPr>
          <w:trHeight w:val="39"/>
        </w:trPr>
        <w:tc>
          <w:tcPr>
            <w:tcW w:w="860" w:type="dxa"/>
            <w:vAlign w:val="bottom"/>
          </w:tcPr>
          <w:p>
            <w:pPr>
              <w:spacing w:after="0"/>
              <w:rPr>
                <w:sz w:val="3"/>
                <w:szCs w:val="3"/>
                <w:color w:val="auto"/>
              </w:rPr>
            </w:pPr>
          </w:p>
        </w:tc>
        <w:tc>
          <w:tcPr>
            <w:tcW w:w="4440" w:type="dxa"/>
            <w:vAlign w:val="bottom"/>
            <w:tcBorders>
              <w:bottom w:val="single" w:sz="8" w:color="0E2A35"/>
            </w:tcBorders>
          </w:tcPr>
          <w:p>
            <w:pPr>
              <w:spacing w:after="0"/>
              <w:rPr>
                <w:sz w:val="3"/>
                <w:szCs w:val="3"/>
                <w:color w:val="auto"/>
              </w:rPr>
            </w:pPr>
          </w:p>
        </w:tc>
        <w:tc>
          <w:tcPr>
            <w:tcW w:w="2100" w:type="dxa"/>
            <w:vAlign w:val="bottom"/>
            <w:tcBorders>
              <w:bottom w:val="single" w:sz="8" w:color="0E2A35"/>
            </w:tcBorders>
          </w:tcPr>
          <w:p>
            <w:pPr>
              <w:spacing w:after="0"/>
              <w:rPr>
                <w:sz w:val="3"/>
                <w:szCs w:val="3"/>
                <w:color w:val="auto"/>
              </w:rPr>
            </w:pPr>
          </w:p>
        </w:tc>
        <w:tc>
          <w:tcPr>
            <w:tcW w:w="1620" w:type="dxa"/>
            <w:vAlign w:val="bottom"/>
            <w:tcBorders>
              <w:bottom w:val="single" w:sz="8" w:color="0E2A35"/>
            </w:tcBorders>
          </w:tcPr>
          <w:p>
            <w:pPr>
              <w:spacing w:after="0"/>
              <w:rPr>
                <w:sz w:val="3"/>
                <w:szCs w:val="3"/>
                <w:color w:val="auto"/>
              </w:rPr>
            </w:pPr>
          </w:p>
        </w:tc>
        <w:tc>
          <w:tcPr>
            <w:tcW w:w="780" w:type="dxa"/>
            <w:vAlign w:val="bottom"/>
            <w:tcBorders>
              <w:bottom w:val="single" w:sz="8" w:color="0E2A35"/>
            </w:tcBorders>
          </w:tcPr>
          <w:p>
            <w:pPr>
              <w:spacing w:after="0"/>
              <w:rPr>
                <w:sz w:val="3"/>
                <w:szCs w:val="3"/>
                <w:color w:val="auto"/>
              </w:rPr>
            </w:pPr>
          </w:p>
        </w:tc>
        <w:tc>
          <w:tcPr>
            <w:tcW w:w="34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248"/>
        </w:trPr>
        <w:tc>
          <w:tcPr>
            <w:tcW w:w="860" w:type="dxa"/>
            <w:vAlign w:val="bottom"/>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3"/>
                <w:szCs w:val="13"/>
                <w:color w:val="0E2A35"/>
              </w:rPr>
              <w:t>(1)   Mr. Bower joined the Company in October 2020.</w:t>
            </w:r>
          </w:p>
        </w:tc>
        <w:tc>
          <w:tcPr>
            <w:tcW w:w="2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59"/>
        </w:trPr>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0" w:type="dxa"/>
            <w:vAlign w:val="bottom"/>
            <w:gridSpan w:val="2"/>
          </w:tcPr>
          <w:p>
            <w:pPr>
              <w:ind w:left="20"/>
              <w:spacing w:after="0"/>
              <w:rPr>
                <w:sz w:val="20"/>
                <w:szCs w:val="20"/>
                <w:color w:val="auto"/>
              </w:rPr>
            </w:pPr>
            <w:r>
              <w:rPr>
                <w:rFonts w:ascii="Arial" w:cs="Arial" w:eastAsia="Arial" w:hAnsi="Arial"/>
                <w:sz w:val="13"/>
                <w:szCs w:val="13"/>
                <w:color w:val="0E2A35"/>
                <w:w w:val="97"/>
              </w:rPr>
              <w:t>Proxy Statement for 2021 Annual Meeting</w:t>
            </w:r>
          </w:p>
        </w:tc>
        <w:tc>
          <w:tcPr>
            <w:tcW w:w="122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rPr>
              <w:t>41</w:t>
            </w:r>
          </w:p>
        </w:tc>
      </w:tr>
      <w:tr>
        <w:trPr>
          <w:trHeight w:val="253"/>
        </w:trPr>
        <w:tc>
          <w:tcPr>
            <w:tcW w:w="86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6" w:name="page47"/>
    <w:bookmarkEnd w:id="4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Annual Incentive Plan - Officers’ Incentive Compensation Plan (OICP)</w:t>
      </w:r>
    </w:p>
    <w:p>
      <w:pPr>
        <w:spacing w:after="0" w:line="213"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The OICP is designed to motivate and reward the successful completion of our annual performance goals as set by the Human Resources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162" w:lineRule="exact"/>
        <w:rPr>
          <w:sz w:val="20"/>
          <w:szCs w:val="20"/>
          <w:color w:val="auto"/>
        </w:rPr>
      </w:pPr>
    </w:p>
    <w:p>
      <w:pPr>
        <w:ind w:left="860" w:right="980"/>
        <w:spacing w:after="0" w:line="251" w:lineRule="auto"/>
        <w:rPr>
          <w:sz w:val="20"/>
          <w:szCs w:val="20"/>
          <w:color w:val="auto"/>
        </w:rPr>
      </w:pPr>
      <w:r>
        <w:rPr>
          <w:rFonts w:ascii="Arial" w:cs="Arial" w:eastAsia="Arial" w:hAnsi="Arial"/>
          <w:sz w:val="16"/>
          <w:szCs w:val="16"/>
          <w:color w:val="0E2A35"/>
        </w:rPr>
        <w:t>Each NEO, except for Mr. Clark, is eligible for a target award, denominated as a percentage of fiscal 2021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OICP</w:t>
      </w:r>
    </w:p>
    <w:p>
      <w:pPr>
        <w:spacing w:after="0" w:line="200"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Net sales, operating income, net working capital, and individual objectives related to each NEO’s particular responsibilities were chosen by the committee as the performance measurements under the OICP for fiscal 2021. The committee selected these as key performance metrics because they are closely aligned with the business strategy. These metrics are described further below.</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Enterprise-wide financial performance metrics (65% of OICP for Messrs. Happe and Hughes):</w:t>
      </w:r>
    </w:p>
    <w:p>
      <w:pPr>
        <w:spacing w:after="0" w:line="181" w:lineRule="exact"/>
        <w:rPr>
          <w:sz w:val="20"/>
          <w:szCs w:val="20"/>
          <w:color w:val="auto"/>
        </w:rPr>
      </w:pPr>
    </w:p>
    <w:p>
      <w:pPr>
        <w:ind w:left="1580" w:hanging="360"/>
        <w:spacing w:after="0"/>
        <w:tabs>
          <w:tab w:leader="none" w:pos="158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Net Sales (40%) - focuses on overall enterprise and business unit growth and also drives customer focus</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Operating Income (50%) - reinforces the importance of profitable growth across the Company</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Net Working Capital (10%) - helps measure overall financial health of the Company</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Business unit financial performance metrics (65% of OICP for Messrs. Bower and Hazelton):</w:t>
      </w:r>
    </w:p>
    <w:p>
      <w:pPr>
        <w:spacing w:after="0" w:line="181" w:lineRule="exact"/>
        <w:rPr>
          <w:sz w:val="20"/>
          <w:szCs w:val="20"/>
          <w:color w:val="auto"/>
        </w:rPr>
      </w:pPr>
    </w:p>
    <w:p>
      <w:pPr>
        <w:ind w:left="1580" w:hanging="360"/>
        <w:spacing w:after="0"/>
        <w:tabs>
          <w:tab w:leader="none" w:pos="158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Net Sales (40%) - focuses on business unit growth and also drives customer focus</w:t>
      </w:r>
    </w:p>
    <w:p>
      <w:pPr>
        <w:spacing w:after="0" w:line="194" w:lineRule="exact"/>
        <w:rPr>
          <w:rFonts w:ascii="Arial" w:cs="Arial" w:eastAsia="Arial" w:hAnsi="Arial"/>
          <w:sz w:val="16"/>
          <w:szCs w:val="16"/>
          <w:color w:val="C7D265"/>
        </w:rPr>
      </w:pPr>
    </w:p>
    <w:p>
      <w:pPr>
        <w:ind w:left="1580" w:hanging="360"/>
        <w:spacing w:after="0"/>
        <w:tabs>
          <w:tab w:leader="none" w:pos="158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Operating Income (40%) - reinforces the importance of profitable growth</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Net Working Capital (20%) - helps measure overall financial health</w:t>
      </w:r>
    </w:p>
    <w:p>
      <w:pPr>
        <w:spacing w:after="0" w:line="181"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Given the uncertainty associated with COVID-19, the committee approved structuring the fiscal 2021 OICP into two 6-month financial performance periods and one 12-month financial performance period representing the full fiscal year 2021. The OICP for the two 6-month financial performance periods were each weighted at 30% of the total OICP weighting, and the 12-month financial performance period was weighted at 40% of the total OICP weighting. The payout for each of the 6-month financial performance periods was “banked” and paid out following the end of the fiscal year, along with the payout results for the 12-month financial performance period. Employees had to be employed on the date of payment, following the end of the fiscal year, in order to receive any OICP payments.</w:t>
      </w:r>
    </w:p>
    <w:p>
      <w:pPr>
        <w:spacing w:after="0" w:line="181"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For corporate NEOs, Messrs. Happe and Hughes, the OICP financial metrics were measured against enterprise-wide performance. For business unit heads, including Messrs. Bower and Hazelton, the OICP financial metrics were measured against specific business unit performance. Mr. Clark does not participate in the OICP.</w:t>
      </w:r>
    </w:p>
    <w:p>
      <w:pPr>
        <w:spacing w:after="0" w:line="161"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Individual objectives (35% of the OICP for Messrs. Happe, Hughes, Bower and Hazelton) provide actionable and measurable objectives controllable by the individual to achieve financial and non-financial goals. The individual objectives were established for the full 12-month performance period.</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Individual goals for our NEOs during fiscal 2021 included the following:</w:t>
      </w:r>
    </w:p>
    <w:p>
      <w:pPr>
        <w:spacing w:after="0" w:line="181" w:lineRule="exact"/>
        <w:rPr>
          <w:sz w:val="20"/>
          <w:szCs w:val="20"/>
          <w:color w:val="auto"/>
        </w:rPr>
      </w:pPr>
    </w:p>
    <w:p>
      <w:pPr>
        <w:ind w:left="860" w:right="920"/>
        <w:spacing w:after="0" w:line="253" w:lineRule="auto"/>
        <w:rPr>
          <w:sz w:val="20"/>
          <w:szCs w:val="20"/>
          <w:color w:val="auto"/>
        </w:rPr>
      </w:pPr>
      <w:r>
        <w:rPr>
          <w:rFonts w:ascii="Arial" w:cs="Arial" w:eastAsia="Arial" w:hAnsi="Arial"/>
          <w:sz w:val="16"/>
          <w:szCs w:val="16"/>
          <w:color w:val="0E2A35"/>
        </w:rPr>
        <w:t>For Mr. Happe, to continue to strengthen an inclusive, high-performance culture, build exceptional outdoor lifestyle brands, create a lifetime of customer loyalty, drive operational excellence and portfolio synergy, and use technology and information to drive business growth.</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42</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7" w:name="page48"/>
    <w:bookmarkEnd w:id="4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160"/>
        <w:spacing w:after="0" w:line="260" w:lineRule="auto"/>
        <w:rPr>
          <w:sz w:val="20"/>
          <w:szCs w:val="20"/>
          <w:color w:val="auto"/>
        </w:rPr>
      </w:pPr>
      <w:r>
        <w:rPr>
          <w:rFonts w:ascii="Arial" w:cs="Arial" w:eastAsia="Arial" w:hAnsi="Arial"/>
          <w:sz w:val="16"/>
          <w:szCs w:val="16"/>
          <w:color w:val="0E2A35"/>
        </w:rPr>
        <w:t>For Mr. Hughes, to continue to build and grow the enterprise finance function, progress the strategic planning cycle, oversee process improvement and business intelligence opportunities and develop the information technology organization and vision.</w:t>
      </w:r>
    </w:p>
    <w:p>
      <w:pPr>
        <w:spacing w:after="0" w:line="168" w:lineRule="exact"/>
        <w:rPr>
          <w:sz w:val="20"/>
          <w:szCs w:val="20"/>
          <w:color w:val="auto"/>
        </w:rPr>
      </w:pPr>
    </w:p>
    <w:p>
      <w:pPr>
        <w:ind w:left="860" w:right="1060"/>
        <w:spacing w:after="0" w:line="253" w:lineRule="auto"/>
        <w:rPr>
          <w:sz w:val="20"/>
          <w:szCs w:val="20"/>
          <w:color w:val="auto"/>
        </w:rPr>
      </w:pPr>
      <w:r>
        <w:rPr>
          <w:rFonts w:ascii="Arial" w:cs="Arial" w:eastAsia="Arial" w:hAnsi="Arial"/>
          <w:sz w:val="16"/>
          <w:szCs w:val="16"/>
          <w:color w:val="0E2A35"/>
        </w:rPr>
        <w:t>For Mr. Bower, to oversee the restructuring of the motor home and towables businesses, develop strategic frameworks to evaluate the adjacency growth landscape, establish connectivity and electrification programs, and promote diversity, equity and inclusion.</w:t>
      </w:r>
    </w:p>
    <w:p>
      <w:pPr>
        <w:spacing w:after="0" w:line="161" w:lineRule="exact"/>
        <w:rPr>
          <w:sz w:val="20"/>
          <w:szCs w:val="20"/>
          <w:color w:val="auto"/>
        </w:rPr>
      </w:pPr>
    </w:p>
    <w:p>
      <w:pPr>
        <w:jc w:val="both"/>
        <w:ind w:left="860" w:right="1220"/>
        <w:spacing w:after="0" w:line="253" w:lineRule="auto"/>
        <w:rPr>
          <w:sz w:val="20"/>
          <w:szCs w:val="20"/>
          <w:color w:val="auto"/>
        </w:rPr>
      </w:pPr>
      <w:r>
        <w:rPr>
          <w:rFonts w:ascii="Arial" w:cs="Arial" w:eastAsia="Arial" w:hAnsi="Arial"/>
          <w:sz w:val="16"/>
          <w:szCs w:val="16"/>
          <w:color w:val="0E2A35"/>
        </w:rPr>
        <w:t>For Mr. Hazelton, to drive brand and channel synergies for the motor home and towables businesses, optimize and automate business processes, enhance product strategy for the towables business and establish dedicated core teams and near-term objectives to support connectivity and electrification programs.</w:t>
      </w:r>
    </w:p>
    <w:p>
      <w:pPr>
        <w:spacing w:after="0" w:line="161"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In October of 2021, the committee evaluated performance against the established OICP financial performance metrics and determined that the net sales and operating income metric thresholds were exceeded and that the net working capital metric was achieved, resulting in a 187% payout for these metrics.</w:t>
      </w:r>
    </w:p>
    <w:p>
      <w:pPr>
        <w:spacing w:after="0" w:line="174" w:lineRule="exact"/>
        <w:rPr>
          <w:sz w:val="20"/>
          <w:szCs w:val="20"/>
          <w:color w:val="auto"/>
        </w:rPr>
      </w:pPr>
    </w:p>
    <w:p>
      <w:pPr>
        <w:ind w:left="860" w:right="1460"/>
        <w:spacing w:after="0" w:line="260" w:lineRule="auto"/>
        <w:rPr>
          <w:sz w:val="20"/>
          <w:szCs w:val="20"/>
          <w:color w:val="auto"/>
        </w:rPr>
      </w:pPr>
      <w:r>
        <w:rPr>
          <w:rFonts w:ascii="Arial" w:cs="Arial" w:eastAsia="Arial" w:hAnsi="Arial"/>
          <w:sz w:val="16"/>
          <w:szCs w:val="16"/>
          <w:color w:val="0E2A35"/>
        </w:rPr>
        <w:t>The tables below reflect the fiscal 2021 OICP financial metric payout thresholds and targets for each period as well as our performance against these metrics ($ in thousands):</w:t>
      </w:r>
    </w:p>
    <w:p>
      <w:pPr>
        <w:spacing w:after="0" w:line="155" w:lineRule="exact"/>
        <w:rPr>
          <w:sz w:val="20"/>
          <w:szCs w:val="20"/>
          <w:color w:val="auto"/>
        </w:rPr>
      </w:pPr>
    </w:p>
    <w:p>
      <w:pPr>
        <w:ind w:left="860" w:right="1020"/>
        <w:spacing w:after="0" w:line="219"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the Full 12-Month Fiscal Year Period</w:t>
      </w:r>
      <w:r>
        <w:rPr>
          <w:rFonts w:ascii="Arial" w:cs="Arial" w:eastAsia="Arial" w:hAnsi="Arial"/>
          <w:sz w:val="26"/>
          <w:szCs w:val="26"/>
          <w:color w:val="0E2A35"/>
          <w:vertAlign w:val="superscript"/>
        </w:rPr>
        <w:t>(1)(2)(3)</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760" w:type="dxa"/>
            <w:vAlign w:val="bottom"/>
            <w:shd w:val="clear" w:color="auto" w:fill="0E2A35"/>
          </w:tcPr>
          <w:p>
            <w:pPr>
              <w:spacing w:after="0"/>
              <w:rPr>
                <w:sz w:val="17"/>
                <w:szCs w:val="17"/>
                <w:color w:val="auto"/>
              </w:rPr>
            </w:pPr>
          </w:p>
        </w:tc>
        <w:tc>
          <w:tcPr>
            <w:tcW w:w="80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1040" w:type="dxa"/>
            <w:vAlign w:val="bottom"/>
            <w:shd w:val="clear" w:color="auto" w:fill="0E2A35"/>
          </w:tcPr>
          <w:p>
            <w:pPr>
              <w:jc w:val="center"/>
              <w:ind w:right="188"/>
              <w:spacing w:after="0"/>
              <w:rPr>
                <w:sz w:val="20"/>
                <w:szCs w:val="20"/>
                <w:color w:val="auto"/>
              </w:rPr>
            </w:pPr>
            <w:r>
              <w:rPr>
                <w:rFonts w:ascii="Arial" w:cs="Arial" w:eastAsia="Arial" w:hAnsi="Arial"/>
                <w:sz w:val="13"/>
                <w:szCs w:val="13"/>
                <w:b w:val="1"/>
                <w:bCs w:val="1"/>
                <w:color w:val="FFFFFF"/>
                <w:w w:val="98"/>
              </w:rPr>
              <w:t>Threshold</w:t>
            </w:r>
          </w:p>
        </w:tc>
        <w:tc>
          <w:tcPr>
            <w:tcW w:w="1200" w:type="dxa"/>
            <w:vAlign w:val="bottom"/>
            <w:gridSpan w:val="2"/>
            <w:shd w:val="clear" w:color="auto" w:fill="0E2A35"/>
          </w:tcPr>
          <w:p>
            <w:pPr>
              <w:jc w:val="center"/>
              <w:ind w:left="748"/>
              <w:spacing w:after="0"/>
              <w:rPr>
                <w:sz w:val="20"/>
                <w:szCs w:val="20"/>
                <w:color w:val="auto"/>
              </w:rPr>
            </w:pPr>
            <w:r>
              <w:rPr>
                <w:rFonts w:ascii="Arial" w:cs="Arial" w:eastAsia="Arial" w:hAnsi="Arial"/>
                <w:sz w:val="13"/>
                <w:szCs w:val="13"/>
                <w:b w:val="1"/>
                <w:bCs w:val="1"/>
                <w:color w:val="FFFFFF"/>
                <w:w w:val="95"/>
              </w:rPr>
              <w:t>Target</w:t>
            </w:r>
          </w:p>
        </w:tc>
        <w:tc>
          <w:tcPr>
            <w:tcW w:w="86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980" w:type="dxa"/>
            <w:vAlign w:val="bottom"/>
            <w:shd w:val="clear" w:color="auto" w:fill="0E2A35"/>
          </w:tcPr>
          <w:p>
            <w:pPr>
              <w:jc w:val="center"/>
              <w:ind w:right="166"/>
              <w:spacing w:after="0"/>
              <w:rPr>
                <w:sz w:val="20"/>
                <w:szCs w:val="20"/>
                <w:color w:val="auto"/>
              </w:rPr>
            </w:pPr>
            <w:r>
              <w:rPr>
                <w:rFonts w:ascii="Arial" w:cs="Arial" w:eastAsia="Arial" w:hAnsi="Arial"/>
                <w:sz w:val="13"/>
                <w:szCs w:val="13"/>
                <w:b w:val="1"/>
                <w:bCs w:val="1"/>
                <w:color w:val="FFFFFF"/>
                <w:w w:val="96"/>
              </w:rPr>
              <w:t>Maximum</w:t>
            </w:r>
          </w:p>
        </w:tc>
        <w:tc>
          <w:tcPr>
            <w:tcW w:w="220" w:type="dxa"/>
            <w:vAlign w:val="bottom"/>
            <w:shd w:val="clear" w:color="auto" w:fill="0E2A35"/>
          </w:tcPr>
          <w:p>
            <w:pPr>
              <w:spacing w:after="0"/>
              <w:rPr>
                <w:sz w:val="17"/>
                <w:szCs w:val="17"/>
                <w:color w:val="auto"/>
              </w:rPr>
            </w:pPr>
          </w:p>
        </w:tc>
        <w:tc>
          <w:tcPr>
            <w:tcW w:w="1080" w:type="dxa"/>
            <w:vAlign w:val="bottom"/>
            <w:shd w:val="clear" w:color="auto" w:fill="0E2A35"/>
          </w:tcPr>
          <w:p>
            <w:pPr>
              <w:spacing w:after="0"/>
              <w:rPr>
                <w:sz w:val="17"/>
                <w:szCs w:val="17"/>
                <w:color w:val="auto"/>
              </w:rPr>
            </w:pP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Actual</w:t>
            </w:r>
          </w:p>
        </w:tc>
      </w:tr>
      <w:tr>
        <w:trPr>
          <w:trHeight w:val="135"/>
        </w:trPr>
        <w:tc>
          <w:tcPr>
            <w:tcW w:w="176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1040" w:type="dxa"/>
            <w:vAlign w:val="bottom"/>
            <w:shd w:val="clear" w:color="auto" w:fill="0E2A35"/>
          </w:tcPr>
          <w:p>
            <w:pPr>
              <w:jc w:val="center"/>
              <w:ind w:right="188"/>
              <w:spacing w:after="0" w:line="135" w:lineRule="exact"/>
              <w:rPr>
                <w:sz w:val="20"/>
                <w:szCs w:val="20"/>
                <w:color w:val="auto"/>
              </w:rPr>
            </w:pPr>
            <w:r>
              <w:rPr>
                <w:rFonts w:ascii="Arial" w:cs="Arial" w:eastAsia="Arial" w:hAnsi="Arial"/>
                <w:sz w:val="13"/>
                <w:szCs w:val="13"/>
                <w:b w:val="1"/>
                <w:bCs w:val="1"/>
                <w:color w:val="FFFFFF"/>
                <w:w w:val="98"/>
              </w:rPr>
              <w:t>(25%</w:t>
            </w:r>
          </w:p>
        </w:tc>
        <w:tc>
          <w:tcPr>
            <w:tcW w:w="1200" w:type="dxa"/>
            <w:vAlign w:val="bottom"/>
            <w:gridSpan w:val="2"/>
            <w:shd w:val="clear" w:color="auto" w:fill="0E2A35"/>
          </w:tcPr>
          <w:p>
            <w:pPr>
              <w:jc w:val="center"/>
              <w:ind w:left="768"/>
              <w:spacing w:after="0" w:line="135" w:lineRule="exact"/>
              <w:rPr>
                <w:sz w:val="20"/>
                <w:szCs w:val="20"/>
                <w:color w:val="auto"/>
              </w:rPr>
            </w:pPr>
            <w:r>
              <w:rPr>
                <w:rFonts w:ascii="Arial" w:cs="Arial" w:eastAsia="Arial" w:hAnsi="Arial"/>
                <w:sz w:val="13"/>
                <w:szCs w:val="13"/>
                <w:b w:val="1"/>
                <w:bCs w:val="1"/>
                <w:color w:val="FFFFFF"/>
                <w:w w:val="95"/>
              </w:rPr>
              <w:t>(100%</w:t>
            </w:r>
          </w:p>
        </w:tc>
        <w:tc>
          <w:tcPr>
            <w:tcW w:w="86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980" w:type="dxa"/>
            <w:vAlign w:val="bottom"/>
            <w:shd w:val="clear" w:color="auto" w:fill="0E2A35"/>
          </w:tcPr>
          <w:p>
            <w:pPr>
              <w:jc w:val="center"/>
              <w:ind w:right="166"/>
              <w:spacing w:after="0" w:line="135" w:lineRule="exact"/>
              <w:rPr>
                <w:sz w:val="20"/>
                <w:szCs w:val="20"/>
                <w:color w:val="auto"/>
              </w:rPr>
            </w:pPr>
            <w:r>
              <w:rPr>
                <w:rFonts w:ascii="Arial" w:cs="Arial" w:eastAsia="Arial" w:hAnsi="Arial"/>
                <w:sz w:val="13"/>
                <w:szCs w:val="13"/>
                <w:b w:val="1"/>
                <w:bCs w:val="1"/>
                <w:color w:val="FFFFFF"/>
              </w:rPr>
              <w:t>(200%</w:t>
            </w:r>
          </w:p>
        </w:tc>
        <w:tc>
          <w:tcPr>
            <w:tcW w:w="220" w:type="dxa"/>
            <w:vAlign w:val="bottom"/>
            <w:shd w:val="clear" w:color="auto" w:fill="0E2A35"/>
          </w:tcPr>
          <w:p>
            <w:pPr>
              <w:spacing w:after="0"/>
              <w:rPr>
                <w:sz w:val="11"/>
                <w:szCs w:val="11"/>
                <w:color w:val="auto"/>
              </w:rPr>
            </w:pPr>
          </w:p>
        </w:tc>
        <w:tc>
          <w:tcPr>
            <w:tcW w:w="1080" w:type="dxa"/>
            <w:vAlign w:val="bottom"/>
            <w:shd w:val="clear" w:color="auto" w:fill="0E2A35"/>
          </w:tcPr>
          <w:p>
            <w:pPr>
              <w:jc w:val="center"/>
              <w:ind w:right="207"/>
              <w:spacing w:after="0" w:line="135" w:lineRule="exact"/>
              <w:rPr>
                <w:sz w:val="20"/>
                <w:szCs w:val="20"/>
                <w:color w:val="auto"/>
              </w:rPr>
            </w:pPr>
            <w:r>
              <w:rPr>
                <w:rFonts w:ascii="Arial" w:cs="Arial" w:eastAsia="Arial" w:hAnsi="Arial"/>
                <w:sz w:val="13"/>
                <w:szCs w:val="13"/>
                <w:b w:val="1"/>
                <w:bCs w:val="1"/>
                <w:color w:val="FFFFFF"/>
                <w:w w:val="97"/>
              </w:rPr>
              <w:t>Fiscal 2021</w:t>
            </w:r>
          </w:p>
        </w:tc>
        <w:tc>
          <w:tcPr>
            <w:tcW w:w="9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r>
      <w:tr>
        <w:trPr>
          <w:trHeight w:val="168"/>
        </w:trPr>
        <w:tc>
          <w:tcPr>
            <w:tcW w:w="1760" w:type="dxa"/>
            <w:vAlign w:val="bottom"/>
            <w:shd w:val="clear" w:color="auto" w:fill="0E2A35"/>
          </w:tcPr>
          <w:p>
            <w:pPr>
              <w:ind w:left="120"/>
              <w:spacing w:after="0"/>
              <w:rPr>
                <w:sz w:val="20"/>
                <w:szCs w:val="20"/>
                <w:color w:val="auto"/>
              </w:rPr>
            </w:pPr>
            <w:r>
              <w:rPr>
                <w:rFonts w:ascii="Arial" w:cs="Arial" w:eastAsia="Arial" w:hAnsi="Arial"/>
                <w:sz w:val="13"/>
                <w:szCs w:val="13"/>
                <w:b w:val="1"/>
                <w:bCs w:val="1"/>
                <w:color w:val="FFFFFF"/>
              </w:rPr>
              <w:t>Metric</w:t>
            </w:r>
          </w:p>
        </w:tc>
        <w:tc>
          <w:tcPr>
            <w:tcW w:w="800" w:type="dxa"/>
            <w:vAlign w:val="bottom"/>
            <w:shd w:val="clear" w:color="auto" w:fill="0E2A35"/>
          </w:tcPr>
          <w:p>
            <w:pPr>
              <w:jc w:val="right"/>
              <w:ind w:right="104"/>
              <w:spacing w:after="0"/>
              <w:rPr>
                <w:sz w:val="20"/>
                <w:szCs w:val="20"/>
                <w:color w:val="auto"/>
              </w:rPr>
            </w:pPr>
            <w:r>
              <w:rPr>
                <w:rFonts w:ascii="Arial" w:cs="Arial" w:eastAsia="Arial" w:hAnsi="Arial"/>
                <w:sz w:val="13"/>
                <w:szCs w:val="13"/>
                <w:b w:val="1"/>
                <w:bCs w:val="1"/>
                <w:color w:val="FFFFFF"/>
              </w:rPr>
              <w:t>Weight</w:t>
            </w:r>
          </w:p>
        </w:tc>
        <w:tc>
          <w:tcPr>
            <w:tcW w:w="220" w:type="dxa"/>
            <w:vAlign w:val="bottom"/>
            <w:shd w:val="clear" w:color="auto" w:fill="0E2A35"/>
          </w:tcPr>
          <w:p>
            <w:pPr>
              <w:spacing w:after="0"/>
              <w:rPr>
                <w:sz w:val="14"/>
                <w:szCs w:val="14"/>
                <w:color w:val="auto"/>
              </w:rPr>
            </w:pPr>
          </w:p>
        </w:tc>
        <w:tc>
          <w:tcPr>
            <w:tcW w:w="1040" w:type="dxa"/>
            <w:vAlign w:val="bottom"/>
            <w:shd w:val="clear" w:color="auto" w:fill="0E2A35"/>
          </w:tcPr>
          <w:p>
            <w:pPr>
              <w:jc w:val="center"/>
              <w:ind w:right="148"/>
              <w:spacing w:after="0"/>
              <w:rPr>
                <w:sz w:val="20"/>
                <w:szCs w:val="20"/>
                <w:color w:val="auto"/>
              </w:rPr>
            </w:pPr>
            <w:r>
              <w:rPr>
                <w:rFonts w:ascii="Arial" w:cs="Arial" w:eastAsia="Arial" w:hAnsi="Arial"/>
                <w:sz w:val="13"/>
                <w:szCs w:val="13"/>
                <w:b w:val="1"/>
                <w:bCs w:val="1"/>
                <w:color w:val="FFFFFF"/>
                <w:w w:val="96"/>
              </w:rPr>
              <w:t>Payout)</w:t>
            </w:r>
          </w:p>
        </w:tc>
        <w:tc>
          <w:tcPr>
            <w:tcW w:w="206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20" w:type="dxa"/>
            <w:vAlign w:val="bottom"/>
            <w:shd w:val="clear" w:color="auto" w:fill="0E2A35"/>
          </w:tcPr>
          <w:p>
            <w:pPr>
              <w:spacing w:after="0"/>
              <w:rPr>
                <w:sz w:val="14"/>
                <w:szCs w:val="14"/>
                <w:color w:val="auto"/>
              </w:rPr>
            </w:pPr>
          </w:p>
        </w:tc>
        <w:tc>
          <w:tcPr>
            <w:tcW w:w="980" w:type="dxa"/>
            <w:vAlign w:val="bottom"/>
            <w:shd w:val="clear" w:color="auto" w:fill="0E2A35"/>
          </w:tcPr>
          <w:p>
            <w:pPr>
              <w:jc w:val="center"/>
              <w:ind w:right="126"/>
              <w:spacing w:after="0"/>
              <w:rPr>
                <w:sz w:val="20"/>
                <w:szCs w:val="20"/>
                <w:color w:val="auto"/>
              </w:rPr>
            </w:pPr>
            <w:r>
              <w:rPr>
                <w:rFonts w:ascii="Arial" w:cs="Arial" w:eastAsia="Arial" w:hAnsi="Arial"/>
                <w:sz w:val="13"/>
                <w:szCs w:val="13"/>
                <w:b w:val="1"/>
                <w:bCs w:val="1"/>
                <w:color w:val="FFFFFF"/>
                <w:w w:val="96"/>
              </w:rPr>
              <w:t>Payout)</w:t>
            </w:r>
          </w:p>
        </w:tc>
        <w:tc>
          <w:tcPr>
            <w:tcW w:w="220" w:type="dxa"/>
            <w:vAlign w:val="bottom"/>
            <w:shd w:val="clear" w:color="auto" w:fill="0E2A35"/>
          </w:tcPr>
          <w:p>
            <w:pPr>
              <w:spacing w:after="0"/>
              <w:rPr>
                <w:sz w:val="14"/>
                <w:szCs w:val="14"/>
                <w:color w:val="auto"/>
              </w:rPr>
            </w:pPr>
          </w:p>
        </w:tc>
        <w:tc>
          <w:tcPr>
            <w:tcW w:w="1080" w:type="dxa"/>
            <w:vAlign w:val="bottom"/>
            <w:shd w:val="clear" w:color="auto" w:fill="0E2A35"/>
          </w:tcPr>
          <w:p>
            <w:pPr>
              <w:jc w:val="center"/>
              <w:ind w:right="167"/>
              <w:spacing w:after="0"/>
              <w:rPr>
                <w:sz w:val="20"/>
                <w:szCs w:val="20"/>
                <w:color w:val="auto"/>
              </w:rPr>
            </w:pPr>
            <w:r>
              <w:rPr>
                <w:rFonts w:ascii="Arial" w:cs="Arial" w:eastAsia="Arial" w:hAnsi="Arial"/>
                <w:sz w:val="13"/>
                <w:szCs w:val="13"/>
                <w:b w:val="1"/>
                <w:bCs w:val="1"/>
                <w:color w:val="FFFFFF"/>
                <w:w w:val="95"/>
              </w:rPr>
              <w:t>Performance</w:t>
            </w: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(Weighted)</w:t>
            </w:r>
          </w:p>
        </w:tc>
      </w:tr>
      <w:tr>
        <w:trPr>
          <w:trHeight w:val="97"/>
        </w:trPr>
        <w:tc>
          <w:tcPr>
            <w:tcW w:w="1760" w:type="dxa"/>
            <w:vAlign w:val="bottom"/>
            <w:shd w:val="clear" w:color="auto" w:fill="0E2A35"/>
          </w:tcPr>
          <w:p>
            <w:pPr>
              <w:spacing w:after="0"/>
              <w:rPr>
                <w:sz w:val="8"/>
                <w:szCs w:val="8"/>
                <w:color w:val="auto"/>
              </w:rPr>
            </w:pPr>
          </w:p>
        </w:tc>
        <w:tc>
          <w:tcPr>
            <w:tcW w:w="80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40" w:type="dxa"/>
            <w:vAlign w:val="bottom"/>
            <w:shd w:val="clear" w:color="auto" w:fill="0E2A35"/>
          </w:tcPr>
          <w:p>
            <w:pPr>
              <w:spacing w:after="0"/>
              <w:rPr>
                <w:sz w:val="8"/>
                <w:szCs w:val="8"/>
                <w:color w:val="auto"/>
              </w:rPr>
            </w:pPr>
          </w:p>
        </w:tc>
        <w:tc>
          <w:tcPr>
            <w:tcW w:w="98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86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98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80" w:type="dxa"/>
            <w:vAlign w:val="bottom"/>
            <w:shd w:val="clear" w:color="auto" w:fill="0E2A35"/>
          </w:tcPr>
          <w:p>
            <w:pPr>
              <w:spacing w:after="0"/>
              <w:rPr>
                <w:sz w:val="8"/>
                <w:szCs w:val="8"/>
                <w:color w:val="auto"/>
              </w:rPr>
            </w:pPr>
          </w:p>
        </w:tc>
        <w:tc>
          <w:tcPr>
            <w:tcW w:w="900" w:type="dxa"/>
            <w:vAlign w:val="bottom"/>
            <w:shd w:val="clear" w:color="auto" w:fill="0E2A35"/>
          </w:tcPr>
          <w:p>
            <w:pPr>
              <w:spacing w:after="0"/>
              <w:rPr>
                <w:sz w:val="8"/>
                <w:szCs w:val="8"/>
                <w:color w:val="auto"/>
              </w:rPr>
            </w:pPr>
          </w:p>
        </w:tc>
      </w:tr>
      <w:tr>
        <w:trPr>
          <w:trHeight w:val="305"/>
        </w:trPr>
        <w:tc>
          <w:tcPr>
            <w:tcW w:w="1760" w:type="dxa"/>
            <w:vAlign w:val="bottom"/>
          </w:tcPr>
          <w:p>
            <w:pPr>
              <w:ind w:left="120"/>
              <w:spacing w:after="0"/>
              <w:rPr>
                <w:sz w:val="20"/>
                <w:szCs w:val="20"/>
                <w:color w:val="auto"/>
              </w:rPr>
            </w:pPr>
            <w:r>
              <w:rPr>
                <w:rFonts w:ascii="Arial" w:cs="Arial" w:eastAsia="Arial" w:hAnsi="Arial"/>
                <w:sz w:val="16"/>
                <w:szCs w:val="16"/>
                <w:color w:val="0E2A35"/>
              </w:rPr>
              <w:t>Net Sales</w:t>
            </w:r>
          </w:p>
        </w:tc>
        <w:tc>
          <w:tcPr>
            <w:tcW w:w="800" w:type="dxa"/>
            <w:vAlign w:val="bottom"/>
          </w:tcPr>
          <w:p>
            <w:pPr>
              <w:jc w:val="right"/>
              <w:ind w:right="24"/>
              <w:spacing w:after="0"/>
              <w:rPr>
                <w:sz w:val="20"/>
                <w:szCs w:val="20"/>
                <w:color w:val="auto"/>
              </w:rPr>
            </w:pPr>
            <w:r>
              <w:rPr>
                <w:rFonts w:ascii="Arial" w:cs="Arial" w:eastAsia="Arial" w:hAnsi="Arial"/>
                <w:sz w:val="16"/>
                <w:szCs w:val="16"/>
                <w:color w:val="0E2A35"/>
              </w:rPr>
              <w:t>40.0%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40" w:type="dxa"/>
            <w:vAlign w:val="bottom"/>
          </w:tcPr>
          <w:p>
            <w:pPr>
              <w:jc w:val="right"/>
              <w:ind w:right="228"/>
              <w:spacing w:after="0"/>
              <w:rPr>
                <w:sz w:val="20"/>
                <w:szCs w:val="20"/>
                <w:color w:val="auto"/>
              </w:rPr>
            </w:pPr>
            <w:r>
              <w:rPr>
                <w:rFonts w:ascii="Arial" w:cs="Arial" w:eastAsia="Arial" w:hAnsi="Arial"/>
                <w:sz w:val="16"/>
                <w:szCs w:val="16"/>
                <w:color w:val="0E2A35"/>
              </w:rPr>
              <w:t>2,637,200</w:t>
            </w:r>
          </w:p>
        </w:tc>
        <w:tc>
          <w:tcPr>
            <w:tcW w:w="980" w:type="dxa"/>
            <w:vAlign w:val="bottom"/>
          </w:tcPr>
          <w:p>
            <w:pPr>
              <w:jc w:val="right"/>
              <w:spacing w:after="0"/>
              <w:rPr>
                <w:sz w:val="20"/>
                <w:szCs w:val="20"/>
                <w:color w:val="auto"/>
              </w:rPr>
            </w:pPr>
            <w:r>
              <w:rPr>
                <w:rFonts w:ascii="Arial" w:cs="Arial" w:eastAsia="Arial" w:hAnsi="Arial"/>
                <w:sz w:val="16"/>
                <w:szCs w:val="16"/>
                <w:color w:val="0E2A35"/>
              </w:rPr>
              <w:t>$3,040,600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3,164,700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980" w:type="dxa"/>
            <w:vAlign w:val="bottom"/>
          </w:tcPr>
          <w:p>
            <w:pPr>
              <w:jc w:val="right"/>
              <w:ind w:right="206"/>
              <w:spacing w:after="0"/>
              <w:rPr>
                <w:sz w:val="20"/>
                <w:szCs w:val="20"/>
                <w:color w:val="auto"/>
              </w:rPr>
            </w:pPr>
            <w:r>
              <w:rPr>
                <w:rFonts w:ascii="Arial" w:cs="Arial" w:eastAsia="Arial" w:hAnsi="Arial"/>
                <w:sz w:val="16"/>
                <w:szCs w:val="16"/>
                <w:color w:val="0E2A35"/>
                <w:w w:val="95"/>
              </w:rPr>
              <w:t>3,412,900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80" w:type="dxa"/>
            <w:vAlign w:val="bottom"/>
          </w:tcPr>
          <w:p>
            <w:pPr>
              <w:jc w:val="center"/>
              <w:ind w:right="247"/>
              <w:spacing w:after="0"/>
              <w:rPr>
                <w:sz w:val="20"/>
                <w:szCs w:val="20"/>
                <w:color w:val="auto"/>
              </w:rPr>
            </w:pPr>
            <w:r>
              <w:rPr>
                <w:rFonts w:ascii="Arial" w:cs="Arial" w:eastAsia="Arial" w:hAnsi="Arial"/>
                <w:sz w:val="16"/>
                <w:szCs w:val="16"/>
                <w:color w:val="0E2A35"/>
              </w:rPr>
              <w:t>3,629,847</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80.0%</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Operating Income</w:t>
            </w:r>
          </w:p>
        </w:tc>
        <w:tc>
          <w:tcPr>
            <w:tcW w:w="800" w:type="dxa"/>
            <w:vAlign w:val="bottom"/>
          </w:tcPr>
          <w:p>
            <w:pPr>
              <w:jc w:val="right"/>
              <w:ind w:right="24"/>
              <w:spacing w:after="0"/>
              <w:rPr>
                <w:sz w:val="20"/>
                <w:szCs w:val="20"/>
                <w:color w:val="auto"/>
              </w:rPr>
            </w:pPr>
            <w:r>
              <w:rPr>
                <w:rFonts w:ascii="Arial" w:cs="Arial" w:eastAsia="Arial" w:hAnsi="Arial"/>
                <w:sz w:val="16"/>
                <w:szCs w:val="16"/>
                <w:color w:val="0E2A35"/>
              </w:rPr>
              <w:t>50.0%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40" w:type="dxa"/>
            <w:vAlign w:val="bottom"/>
          </w:tcPr>
          <w:p>
            <w:pPr>
              <w:jc w:val="right"/>
              <w:ind w:right="228"/>
              <w:spacing w:after="0"/>
              <w:rPr>
                <w:sz w:val="20"/>
                <w:szCs w:val="20"/>
                <w:color w:val="auto"/>
              </w:rPr>
            </w:pPr>
            <w:r>
              <w:rPr>
                <w:rFonts w:ascii="Arial" w:cs="Arial" w:eastAsia="Arial" w:hAnsi="Arial"/>
                <w:sz w:val="16"/>
                <w:szCs w:val="16"/>
                <w:color w:val="0E2A35"/>
              </w:rPr>
              <w:t>169,800</w:t>
            </w:r>
          </w:p>
        </w:tc>
        <w:tc>
          <w:tcPr>
            <w:tcW w:w="980" w:type="dxa"/>
            <w:vAlign w:val="bottom"/>
          </w:tcPr>
          <w:p>
            <w:pPr>
              <w:jc w:val="right"/>
              <w:spacing w:after="0"/>
              <w:rPr>
                <w:sz w:val="20"/>
                <w:szCs w:val="20"/>
                <w:color w:val="auto"/>
              </w:rPr>
            </w:pPr>
            <w:r>
              <w:rPr>
                <w:rFonts w:ascii="Arial" w:cs="Arial" w:eastAsia="Arial" w:hAnsi="Arial"/>
                <w:sz w:val="16"/>
                <w:szCs w:val="16"/>
                <w:color w:val="0E2A35"/>
              </w:rPr>
              <w:t>$218,800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234,000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980" w:type="dxa"/>
            <w:vAlign w:val="bottom"/>
          </w:tcPr>
          <w:p>
            <w:pPr>
              <w:jc w:val="right"/>
              <w:ind w:right="206"/>
              <w:spacing w:after="0"/>
              <w:rPr>
                <w:sz w:val="20"/>
                <w:szCs w:val="20"/>
                <w:color w:val="auto"/>
              </w:rPr>
            </w:pPr>
            <w:r>
              <w:rPr>
                <w:rFonts w:ascii="Arial" w:cs="Arial" w:eastAsia="Arial" w:hAnsi="Arial"/>
                <w:sz w:val="16"/>
                <w:szCs w:val="16"/>
                <w:color w:val="0E2A35"/>
              </w:rPr>
              <w:t>260,300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80" w:type="dxa"/>
            <w:vAlign w:val="bottom"/>
          </w:tcPr>
          <w:p>
            <w:pPr>
              <w:jc w:val="right"/>
              <w:ind w:right="247"/>
              <w:spacing w:after="0"/>
              <w:rPr>
                <w:sz w:val="20"/>
                <w:szCs w:val="20"/>
                <w:color w:val="auto"/>
              </w:rPr>
            </w:pPr>
            <w:r>
              <w:rPr>
                <w:rFonts w:ascii="Arial" w:cs="Arial" w:eastAsia="Arial" w:hAnsi="Arial"/>
                <w:sz w:val="16"/>
                <w:szCs w:val="16"/>
                <w:color w:val="0E2A35"/>
              </w:rPr>
              <w:t>407,421</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100.0%</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2060" w:type="dxa"/>
            <w:vAlign w:val="bottom"/>
            <w:tcBorders>
              <w:bottom w:val="single" w:sz="8" w:color="0E2A35"/>
            </w:tcBorders>
            <w:gridSpan w:val="3"/>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Net Working Capital</w:t>
            </w:r>
          </w:p>
        </w:tc>
        <w:tc>
          <w:tcPr>
            <w:tcW w:w="800" w:type="dxa"/>
            <w:vAlign w:val="bottom"/>
          </w:tcPr>
          <w:p>
            <w:pPr>
              <w:jc w:val="right"/>
              <w:ind w:right="24"/>
              <w:spacing w:after="0"/>
              <w:rPr>
                <w:sz w:val="20"/>
                <w:szCs w:val="20"/>
                <w:color w:val="auto"/>
              </w:rPr>
            </w:pPr>
            <w:r>
              <w:rPr>
                <w:rFonts w:ascii="Arial" w:cs="Arial" w:eastAsia="Arial" w:hAnsi="Arial"/>
                <w:sz w:val="16"/>
                <w:szCs w:val="16"/>
                <w:color w:val="0E2A35"/>
              </w:rPr>
              <w:t>10.0%</w:t>
            </w:r>
          </w:p>
        </w:tc>
        <w:tc>
          <w:tcPr>
            <w:tcW w:w="2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6"/>
                <w:szCs w:val="16"/>
                <w:color w:val="0E2A35"/>
              </w:rPr>
              <w:t>12.3%</w:t>
            </w:r>
          </w:p>
        </w:tc>
        <w:tc>
          <w:tcPr>
            <w:tcW w:w="2060" w:type="dxa"/>
            <w:vAlign w:val="bottom"/>
            <w:gridSpan w:val="3"/>
          </w:tcPr>
          <w:p>
            <w:pPr>
              <w:jc w:val="center"/>
              <w:spacing w:after="0"/>
              <w:rPr>
                <w:sz w:val="20"/>
                <w:szCs w:val="20"/>
                <w:color w:val="auto"/>
              </w:rPr>
            </w:pPr>
            <w:r>
              <w:rPr>
                <w:rFonts w:ascii="Arial" w:cs="Arial" w:eastAsia="Arial" w:hAnsi="Arial"/>
                <w:sz w:val="16"/>
                <w:szCs w:val="16"/>
                <w:color w:val="0E2A35"/>
              </w:rPr>
              <w:t>10.9% — 10.5%</w:t>
            </w:r>
          </w:p>
        </w:tc>
        <w:tc>
          <w:tcPr>
            <w:tcW w:w="220" w:type="dxa"/>
            <w:vAlign w:val="bottom"/>
          </w:tcPr>
          <w:p>
            <w:pPr>
              <w:spacing w:after="0"/>
              <w:rPr>
                <w:sz w:val="24"/>
                <w:szCs w:val="24"/>
                <w:color w:val="auto"/>
              </w:rPr>
            </w:pPr>
          </w:p>
        </w:tc>
        <w:tc>
          <w:tcPr>
            <w:tcW w:w="980" w:type="dxa"/>
            <w:vAlign w:val="bottom"/>
          </w:tcPr>
          <w:p>
            <w:pPr>
              <w:jc w:val="right"/>
              <w:ind w:right="46"/>
              <w:spacing w:after="0"/>
              <w:rPr>
                <w:sz w:val="20"/>
                <w:szCs w:val="20"/>
                <w:color w:val="auto"/>
              </w:rPr>
            </w:pPr>
            <w:r>
              <w:rPr>
                <w:rFonts w:ascii="Arial" w:cs="Arial" w:eastAsia="Arial" w:hAnsi="Arial"/>
                <w:sz w:val="16"/>
                <w:szCs w:val="16"/>
                <w:color w:val="0E2A35"/>
              </w:rPr>
              <w:t>9.6%</w:t>
            </w:r>
          </w:p>
        </w:tc>
        <w:tc>
          <w:tcPr>
            <w:tcW w:w="220" w:type="dxa"/>
            <w:vAlign w:val="bottom"/>
          </w:tcPr>
          <w:p>
            <w:pPr>
              <w:spacing w:after="0"/>
              <w:rPr>
                <w:sz w:val="24"/>
                <w:szCs w:val="24"/>
                <w:color w:val="auto"/>
              </w:rPr>
            </w:pPr>
          </w:p>
        </w:tc>
        <w:tc>
          <w:tcPr>
            <w:tcW w:w="1080" w:type="dxa"/>
            <w:vAlign w:val="bottom"/>
          </w:tcPr>
          <w:p>
            <w:pPr>
              <w:jc w:val="right"/>
              <w:ind w:right="67"/>
              <w:spacing w:after="0"/>
              <w:rPr>
                <w:sz w:val="20"/>
                <w:szCs w:val="20"/>
                <w:color w:val="auto"/>
              </w:rPr>
            </w:pPr>
            <w:r>
              <w:rPr>
                <w:rFonts w:ascii="Arial" w:cs="Arial" w:eastAsia="Arial" w:hAnsi="Arial"/>
                <w:sz w:val="16"/>
                <w:szCs w:val="16"/>
                <w:color w:val="0E2A35"/>
              </w:rPr>
              <w:t>11.2%</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8.5%</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ind w:left="400"/>
              <w:spacing w:after="0"/>
              <w:rPr>
                <w:sz w:val="20"/>
                <w:szCs w:val="20"/>
                <w:color w:val="auto"/>
              </w:rPr>
            </w:pPr>
            <w:r>
              <w:rPr>
                <w:rFonts w:ascii="Arial" w:cs="Arial" w:eastAsia="Arial" w:hAnsi="Arial"/>
                <w:sz w:val="16"/>
                <w:szCs w:val="16"/>
                <w:color w:val="0E2A35"/>
              </w:rPr>
              <w:t>Total Payout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188.5%</w:t>
            </w:r>
          </w:p>
        </w:tc>
      </w:tr>
      <w:tr>
        <w:trPr>
          <w:trHeight w:val="100"/>
        </w:trPr>
        <w:tc>
          <w:tcPr>
            <w:tcW w:w="1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ind w:left="400"/>
              <w:spacing w:after="0"/>
              <w:rPr>
                <w:sz w:val="20"/>
                <w:szCs w:val="20"/>
                <w:color w:val="auto"/>
              </w:rPr>
            </w:pPr>
            <w:r>
              <w:rPr>
                <w:rFonts w:ascii="Arial" w:cs="Arial" w:eastAsia="Arial" w:hAnsi="Arial"/>
                <w:sz w:val="16"/>
                <w:szCs w:val="16"/>
                <w:color w:val="0E2A35"/>
              </w:rPr>
              <w:t>40% of Total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75.4%</w:t>
            </w:r>
          </w:p>
        </w:tc>
      </w:tr>
      <w:tr>
        <w:trPr>
          <w:trHeight w:val="47"/>
        </w:trPr>
        <w:tc>
          <w:tcPr>
            <w:tcW w:w="1760" w:type="dxa"/>
            <w:vAlign w:val="bottom"/>
            <w:tcBorders>
              <w:bottom w:val="single" w:sz="8" w:color="0E2A35"/>
            </w:tcBorders>
          </w:tcPr>
          <w:p>
            <w:pPr>
              <w:spacing w:after="0"/>
              <w:rPr>
                <w:sz w:val="4"/>
                <w:szCs w:val="4"/>
                <w:color w:val="auto"/>
              </w:rPr>
            </w:pPr>
          </w:p>
        </w:tc>
        <w:tc>
          <w:tcPr>
            <w:tcW w:w="80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40" w:type="dxa"/>
            <w:vAlign w:val="bottom"/>
            <w:tcBorders>
              <w:bottom w:val="single" w:sz="8" w:color="0E2A35"/>
            </w:tcBorders>
          </w:tcPr>
          <w:p>
            <w:pPr>
              <w:spacing w:after="0"/>
              <w:rPr>
                <w:sz w:val="4"/>
                <w:szCs w:val="4"/>
                <w:color w:val="auto"/>
              </w:rPr>
            </w:pPr>
          </w:p>
        </w:tc>
        <w:tc>
          <w:tcPr>
            <w:tcW w:w="98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86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98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80" w:type="dxa"/>
            <w:vAlign w:val="bottom"/>
            <w:tcBorders>
              <w:bottom w:val="single" w:sz="8" w:color="0E2A35"/>
            </w:tcBorders>
          </w:tcPr>
          <w:p>
            <w:pPr>
              <w:spacing w:after="0"/>
              <w:rPr>
                <w:sz w:val="4"/>
                <w:szCs w:val="4"/>
                <w:color w:val="auto"/>
              </w:rPr>
            </w:pPr>
          </w:p>
        </w:tc>
        <w:tc>
          <w:tcPr>
            <w:tcW w:w="90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28"/>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opportunity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1040" w:hanging="360"/>
        <w:spacing w:after="0" w:line="230" w:lineRule="auto"/>
        <w:tabs>
          <w:tab w:leader="none" w:pos="1220" w:val="left"/>
        </w:tabs>
        <w:numPr>
          <w:ilvl w:val="0"/>
          <w:numId w:val="28"/>
        </w:numPr>
        <w:rPr>
          <w:rFonts w:ascii="Arial" w:cs="Arial" w:eastAsia="Arial" w:hAnsi="Arial"/>
          <w:sz w:val="13"/>
          <w:szCs w:val="13"/>
          <w:color w:val="0E2A35"/>
        </w:rPr>
      </w:pPr>
      <w:r>
        <w:rPr>
          <w:rFonts w:ascii="Arial" w:cs="Arial" w:eastAsia="Arial" w:hAnsi="Arial"/>
          <w:sz w:val="13"/>
          <w:szCs w:val="13"/>
          <w:color w:val="0E2A35"/>
        </w:rPr>
        <w:t>Messrs. Bower’s and Hazelton's financial performance is based upon the Winnebago Outdoors and Winnebago-branded RV business units, respectively; and the financial performance metrics are weighted: (1)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28"/>
        </w:numPr>
        <w:rPr>
          <w:rFonts w:ascii="Arial" w:cs="Arial" w:eastAsia="Arial" w:hAnsi="Arial"/>
          <w:sz w:val="13"/>
          <w:szCs w:val="13"/>
          <w:color w:val="0E2A35"/>
        </w:rPr>
      </w:pPr>
      <w:r>
        <w:rPr>
          <w:rFonts w:ascii="Arial" w:cs="Arial" w:eastAsia="Arial" w:hAnsi="Arial"/>
          <w:sz w:val="13"/>
          <w:szCs w:val="13"/>
          <w:color w:val="0E2A35"/>
        </w:rPr>
        <w:t>The 12-month fiscal year OICP period is weighted at 40% of the overall OICP weighting.</w:t>
      </w:r>
    </w:p>
    <w:p>
      <w:pPr>
        <w:spacing w:after="0" w:line="182" w:lineRule="exact"/>
        <w:rPr>
          <w:sz w:val="20"/>
          <w:szCs w:val="20"/>
          <w:color w:val="auto"/>
        </w:rPr>
      </w:pPr>
    </w:p>
    <w:p>
      <w:pPr>
        <w:ind w:left="860" w:right="960"/>
        <w:spacing w:after="0" w:line="212"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the First Six-Month Fiscal Year Period</w:t>
      </w:r>
      <w:r>
        <w:rPr>
          <w:rFonts w:ascii="Arial" w:cs="Arial" w:eastAsia="Arial" w:hAnsi="Arial"/>
          <w:sz w:val="26"/>
          <w:szCs w:val="26"/>
          <w:color w:val="0E2A35"/>
          <w:vertAlign w:val="superscript"/>
        </w:rPr>
        <w:t>(1)(2)(3)</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760" w:type="dxa"/>
            <w:vAlign w:val="bottom"/>
            <w:shd w:val="clear" w:color="auto" w:fill="0E2A35"/>
          </w:tcPr>
          <w:p>
            <w:pPr>
              <w:spacing w:after="0"/>
              <w:rPr>
                <w:sz w:val="17"/>
                <w:szCs w:val="17"/>
                <w:color w:val="auto"/>
              </w:rPr>
            </w:pPr>
          </w:p>
        </w:tc>
        <w:tc>
          <w:tcPr>
            <w:tcW w:w="840" w:type="dxa"/>
            <w:vAlign w:val="bottom"/>
            <w:shd w:val="clear" w:color="auto" w:fill="0E2A35"/>
          </w:tcPr>
          <w:p>
            <w:pPr>
              <w:spacing w:after="0"/>
              <w:rPr>
                <w:sz w:val="17"/>
                <w:szCs w:val="17"/>
                <w:color w:val="auto"/>
              </w:rPr>
            </w:pPr>
          </w:p>
        </w:tc>
        <w:tc>
          <w:tcPr>
            <w:tcW w:w="180" w:type="dxa"/>
            <w:vAlign w:val="bottom"/>
            <w:shd w:val="clear" w:color="auto" w:fill="0E2A35"/>
          </w:tcPr>
          <w:p>
            <w:pPr>
              <w:spacing w:after="0"/>
              <w:rPr>
                <w:sz w:val="17"/>
                <w:szCs w:val="17"/>
                <w:color w:val="auto"/>
              </w:rPr>
            </w:pPr>
          </w:p>
        </w:tc>
        <w:tc>
          <w:tcPr>
            <w:tcW w:w="1020" w:type="dxa"/>
            <w:vAlign w:val="bottom"/>
            <w:shd w:val="clear" w:color="auto" w:fill="0E2A35"/>
          </w:tcPr>
          <w:p>
            <w:pPr>
              <w:jc w:val="center"/>
              <w:ind w:right="168"/>
              <w:spacing w:after="0"/>
              <w:rPr>
                <w:sz w:val="20"/>
                <w:szCs w:val="20"/>
                <w:color w:val="auto"/>
              </w:rPr>
            </w:pPr>
            <w:r>
              <w:rPr>
                <w:rFonts w:ascii="Arial" w:cs="Arial" w:eastAsia="Arial" w:hAnsi="Arial"/>
                <w:sz w:val="13"/>
                <w:szCs w:val="13"/>
                <w:b w:val="1"/>
                <w:bCs w:val="1"/>
                <w:color w:val="FFFFFF"/>
                <w:w w:val="98"/>
              </w:rPr>
              <w:t>Threshold</w:t>
            </w:r>
          </w:p>
        </w:tc>
        <w:tc>
          <w:tcPr>
            <w:tcW w:w="1200" w:type="dxa"/>
            <w:vAlign w:val="bottom"/>
            <w:gridSpan w:val="2"/>
            <w:shd w:val="clear" w:color="auto" w:fill="0E2A35"/>
          </w:tcPr>
          <w:p>
            <w:pPr>
              <w:jc w:val="center"/>
              <w:ind w:left="748"/>
              <w:spacing w:after="0"/>
              <w:rPr>
                <w:sz w:val="20"/>
                <w:szCs w:val="20"/>
                <w:color w:val="auto"/>
              </w:rPr>
            </w:pPr>
            <w:r>
              <w:rPr>
                <w:rFonts w:ascii="Arial" w:cs="Arial" w:eastAsia="Arial" w:hAnsi="Arial"/>
                <w:sz w:val="13"/>
                <w:szCs w:val="13"/>
                <w:b w:val="1"/>
                <w:bCs w:val="1"/>
                <w:color w:val="FFFFFF"/>
                <w:w w:val="95"/>
              </w:rPr>
              <w:t>Target</w:t>
            </w:r>
          </w:p>
        </w:tc>
        <w:tc>
          <w:tcPr>
            <w:tcW w:w="840" w:type="dxa"/>
            <w:vAlign w:val="bottom"/>
            <w:shd w:val="clear" w:color="auto" w:fill="0E2A35"/>
          </w:tcPr>
          <w:p>
            <w:pPr>
              <w:spacing w:after="0"/>
              <w:rPr>
                <w:sz w:val="17"/>
                <w:szCs w:val="17"/>
                <w:color w:val="auto"/>
              </w:rPr>
            </w:pPr>
          </w:p>
        </w:tc>
        <w:tc>
          <w:tcPr>
            <w:tcW w:w="260" w:type="dxa"/>
            <w:vAlign w:val="bottom"/>
            <w:shd w:val="clear" w:color="auto" w:fill="0E2A35"/>
          </w:tcPr>
          <w:p>
            <w:pPr>
              <w:spacing w:after="0"/>
              <w:rPr>
                <w:sz w:val="17"/>
                <w:szCs w:val="17"/>
                <w:color w:val="auto"/>
              </w:rPr>
            </w:pPr>
          </w:p>
        </w:tc>
        <w:tc>
          <w:tcPr>
            <w:tcW w:w="1060" w:type="dxa"/>
            <w:vAlign w:val="bottom"/>
            <w:shd w:val="clear" w:color="auto" w:fill="0E2A35"/>
          </w:tcPr>
          <w:p>
            <w:pPr>
              <w:jc w:val="center"/>
              <w:ind w:right="206"/>
              <w:spacing w:after="0"/>
              <w:rPr>
                <w:sz w:val="20"/>
                <w:szCs w:val="20"/>
                <w:color w:val="auto"/>
              </w:rPr>
            </w:pPr>
            <w:r>
              <w:rPr>
                <w:rFonts w:ascii="Arial" w:cs="Arial" w:eastAsia="Arial" w:hAnsi="Arial"/>
                <w:sz w:val="13"/>
                <w:szCs w:val="13"/>
                <w:b w:val="1"/>
                <w:bCs w:val="1"/>
                <w:color w:val="FFFFFF"/>
                <w:w w:val="96"/>
              </w:rPr>
              <w:t>Maximum</w:t>
            </w:r>
          </w:p>
        </w:tc>
        <w:tc>
          <w:tcPr>
            <w:tcW w:w="220" w:type="dxa"/>
            <w:vAlign w:val="bottom"/>
            <w:shd w:val="clear" w:color="auto" w:fill="0E2A35"/>
          </w:tcPr>
          <w:p>
            <w:pPr>
              <w:spacing w:after="0"/>
              <w:rPr>
                <w:sz w:val="17"/>
                <w:szCs w:val="17"/>
                <w:color w:val="auto"/>
              </w:rPr>
            </w:pPr>
          </w:p>
        </w:tc>
        <w:tc>
          <w:tcPr>
            <w:tcW w:w="1000" w:type="dxa"/>
            <w:vAlign w:val="bottom"/>
            <w:shd w:val="clear" w:color="auto" w:fill="0E2A35"/>
          </w:tcPr>
          <w:p>
            <w:pPr>
              <w:spacing w:after="0"/>
              <w:rPr>
                <w:sz w:val="17"/>
                <w:szCs w:val="17"/>
                <w:color w:val="auto"/>
              </w:rPr>
            </w:pP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Actual</w:t>
            </w:r>
          </w:p>
        </w:tc>
      </w:tr>
      <w:tr>
        <w:trPr>
          <w:trHeight w:val="135"/>
        </w:trPr>
        <w:tc>
          <w:tcPr>
            <w:tcW w:w="176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180" w:type="dxa"/>
            <w:vAlign w:val="bottom"/>
            <w:shd w:val="clear" w:color="auto" w:fill="0E2A35"/>
          </w:tcPr>
          <w:p>
            <w:pPr>
              <w:spacing w:after="0"/>
              <w:rPr>
                <w:sz w:val="11"/>
                <w:szCs w:val="11"/>
                <w:color w:val="auto"/>
              </w:rPr>
            </w:pPr>
          </w:p>
        </w:tc>
        <w:tc>
          <w:tcPr>
            <w:tcW w:w="1020" w:type="dxa"/>
            <w:vAlign w:val="bottom"/>
            <w:shd w:val="clear" w:color="auto" w:fill="0E2A35"/>
          </w:tcPr>
          <w:p>
            <w:pPr>
              <w:jc w:val="center"/>
              <w:ind w:right="168"/>
              <w:spacing w:after="0" w:line="135" w:lineRule="exact"/>
              <w:rPr>
                <w:sz w:val="20"/>
                <w:szCs w:val="20"/>
                <w:color w:val="auto"/>
              </w:rPr>
            </w:pPr>
            <w:r>
              <w:rPr>
                <w:rFonts w:ascii="Arial" w:cs="Arial" w:eastAsia="Arial" w:hAnsi="Arial"/>
                <w:sz w:val="13"/>
                <w:szCs w:val="13"/>
                <w:b w:val="1"/>
                <w:bCs w:val="1"/>
                <w:color w:val="FFFFFF"/>
                <w:w w:val="98"/>
              </w:rPr>
              <w:t>(25%</w:t>
            </w:r>
          </w:p>
        </w:tc>
        <w:tc>
          <w:tcPr>
            <w:tcW w:w="1200" w:type="dxa"/>
            <w:vAlign w:val="bottom"/>
            <w:gridSpan w:val="2"/>
            <w:shd w:val="clear" w:color="auto" w:fill="0E2A35"/>
          </w:tcPr>
          <w:p>
            <w:pPr>
              <w:jc w:val="center"/>
              <w:ind w:left="748"/>
              <w:spacing w:after="0" w:line="135" w:lineRule="exact"/>
              <w:rPr>
                <w:sz w:val="20"/>
                <w:szCs w:val="20"/>
                <w:color w:val="auto"/>
              </w:rPr>
            </w:pPr>
            <w:r>
              <w:rPr>
                <w:rFonts w:ascii="Arial" w:cs="Arial" w:eastAsia="Arial" w:hAnsi="Arial"/>
                <w:sz w:val="13"/>
                <w:szCs w:val="13"/>
                <w:b w:val="1"/>
                <w:bCs w:val="1"/>
                <w:color w:val="FFFFFF"/>
              </w:rPr>
              <w:t>(100%</w:t>
            </w:r>
          </w:p>
        </w:tc>
        <w:tc>
          <w:tcPr>
            <w:tcW w:w="840" w:type="dxa"/>
            <w:vAlign w:val="bottom"/>
            <w:shd w:val="clear" w:color="auto" w:fill="0E2A35"/>
          </w:tcPr>
          <w:p>
            <w:pPr>
              <w:spacing w:after="0"/>
              <w:rPr>
                <w:sz w:val="11"/>
                <w:szCs w:val="11"/>
                <w:color w:val="auto"/>
              </w:rPr>
            </w:pPr>
          </w:p>
        </w:tc>
        <w:tc>
          <w:tcPr>
            <w:tcW w:w="260" w:type="dxa"/>
            <w:vAlign w:val="bottom"/>
            <w:shd w:val="clear" w:color="auto" w:fill="0E2A35"/>
          </w:tcPr>
          <w:p>
            <w:pPr>
              <w:spacing w:after="0"/>
              <w:rPr>
                <w:sz w:val="11"/>
                <w:szCs w:val="11"/>
                <w:color w:val="auto"/>
              </w:rPr>
            </w:pPr>
          </w:p>
        </w:tc>
        <w:tc>
          <w:tcPr>
            <w:tcW w:w="1060" w:type="dxa"/>
            <w:vAlign w:val="bottom"/>
            <w:shd w:val="clear" w:color="auto" w:fill="0E2A35"/>
          </w:tcPr>
          <w:p>
            <w:pPr>
              <w:jc w:val="center"/>
              <w:ind w:right="226"/>
              <w:spacing w:after="0" w:line="135" w:lineRule="exact"/>
              <w:rPr>
                <w:sz w:val="20"/>
                <w:szCs w:val="20"/>
                <w:color w:val="auto"/>
              </w:rPr>
            </w:pPr>
            <w:r>
              <w:rPr>
                <w:rFonts w:ascii="Arial" w:cs="Arial" w:eastAsia="Arial" w:hAnsi="Arial"/>
                <w:sz w:val="13"/>
                <w:szCs w:val="13"/>
                <w:b w:val="1"/>
                <w:bCs w:val="1"/>
                <w:color w:val="FFFFFF"/>
                <w:w w:val="95"/>
              </w:rPr>
              <w:t>(200%</w:t>
            </w:r>
          </w:p>
        </w:tc>
        <w:tc>
          <w:tcPr>
            <w:tcW w:w="22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244"/>
              <w:spacing w:after="0" w:line="135" w:lineRule="exact"/>
              <w:rPr>
                <w:sz w:val="20"/>
                <w:szCs w:val="20"/>
                <w:color w:val="auto"/>
              </w:rPr>
            </w:pPr>
            <w:r>
              <w:rPr>
                <w:rFonts w:ascii="Arial" w:cs="Arial" w:eastAsia="Arial" w:hAnsi="Arial"/>
                <w:sz w:val="13"/>
                <w:szCs w:val="13"/>
                <w:b w:val="1"/>
                <w:bCs w:val="1"/>
                <w:color w:val="FFFFFF"/>
                <w:w w:val="97"/>
              </w:rPr>
              <w:t>Fiscal 2021</w:t>
            </w:r>
          </w:p>
        </w:tc>
        <w:tc>
          <w:tcPr>
            <w:tcW w:w="9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r>
      <w:tr>
        <w:trPr>
          <w:trHeight w:val="168"/>
        </w:trPr>
        <w:tc>
          <w:tcPr>
            <w:tcW w:w="1760" w:type="dxa"/>
            <w:vAlign w:val="bottom"/>
            <w:shd w:val="clear" w:color="auto" w:fill="0E2A35"/>
          </w:tcPr>
          <w:p>
            <w:pPr>
              <w:ind w:left="120"/>
              <w:spacing w:after="0"/>
              <w:rPr>
                <w:sz w:val="20"/>
                <w:szCs w:val="20"/>
                <w:color w:val="auto"/>
              </w:rPr>
            </w:pPr>
            <w:r>
              <w:rPr>
                <w:rFonts w:ascii="Arial" w:cs="Arial" w:eastAsia="Arial" w:hAnsi="Arial"/>
                <w:sz w:val="13"/>
                <w:szCs w:val="13"/>
                <w:b w:val="1"/>
                <w:bCs w:val="1"/>
                <w:color w:val="FFFFFF"/>
              </w:rPr>
              <w:t>Metric</w:t>
            </w:r>
          </w:p>
        </w:tc>
        <w:tc>
          <w:tcPr>
            <w:tcW w:w="840" w:type="dxa"/>
            <w:vAlign w:val="bottom"/>
            <w:shd w:val="clear" w:color="auto" w:fill="0E2A35"/>
          </w:tcPr>
          <w:p>
            <w:pPr>
              <w:jc w:val="right"/>
              <w:ind w:right="124"/>
              <w:spacing w:after="0"/>
              <w:rPr>
                <w:sz w:val="20"/>
                <w:szCs w:val="20"/>
                <w:color w:val="auto"/>
              </w:rPr>
            </w:pPr>
            <w:r>
              <w:rPr>
                <w:rFonts w:ascii="Arial" w:cs="Arial" w:eastAsia="Arial" w:hAnsi="Arial"/>
                <w:sz w:val="13"/>
                <w:szCs w:val="13"/>
                <w:b w:val="1"/>
                <w:bCs w:val="1"/>
                <w:color w:val="FFFFFF"/>
              </w:rPr>
              <w:t>Weight</w:t>
            </w:r>
          </w:p>
        </w:tc>
        <w:tc>
          <w:tcPr>
            <w:tcW w:w="180" w:type="dxa"/>
            <w:vAlign w:val="bottom"/>
            <w:shd w:val="clear" w:color="auto" w:fill="0E2A35"/>
          </w:tcPr>
          <w:p>
            <w:pPr>
              <w:spacing w:after="0"/>
              <w:rPr>
                <w:sz w:val="14"/>
                <w:szCs w:val="14"/>
                <w:color w:val="auto"/>
              </w:rPr>
            </w:pPr>
          </w:p>
        </w:tc>
        <w:tc>
          <w:tcPr>
            <w:tcW w:w="1020" w:type="dxa"/>
            <w:vAlign w:val="bottom"/>
            <w:shd w:val="clear" w:color="auto" w:fill="0E2A35"/>
          </w:tcPr>
          <w:p>
            <w:pPr>
              <w:jc w:val="center"/>
              <w:ind w:right="128"/>
              <w:spacing w:after="0"/>
              <w:rPr>
                <w:sz w:val="20"/>
                <w:szCs w:val="20"/>
                <w:color w:val="auto"/>
              </w:rPr>
            </w:pPr>
            <w:r>
              <w:rPr>
                <w:rFonts w:ascii="Arial" w:cs="Arial" w:eastAsia="Arial" w:hAnsi="Arial"/>
                <w:sz w:val="13"/>
                <w:szCs w:val="13"/>
                <w:b w:val="1"/>
                <w:bCs w:val="1"/>
                <w:color w:val="FFFFFF"/>
                <w:w w:val="96"/>
              </w:rPr>
              <w:t>Payout)</w:t>
            </w:r>
          </w:p>
        </w:tc>
        <w:tc>
          <w:tcPr>
            <w:tcW w:w="204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60" w:type="dxa"/>
            <w:vAlign w:val="bottom"/>
            <w:shd w:val="clear" w:color="auto" w:fill="0E2A35"/>
          </w:tcPr>
          <w:p>
            <w:pPr>
              <w:spacing w:after="0"/>
              <w:rPr>
                <w:sz w:val="14"/>
                <w:szCs w:val="14"/>
                <w:color w:val="auto"/>
              </w:rPr>
            </w:pPr>
          </w:p>
        </w:tc>
        <w:tc>
          <w:tcPr>
            <w:tcW w:w="1060" w:type="dxa"/>
            <w:vAlign w:val="bottom"/>
            <w:shd w:val="clear" w:color="auto" w:fill="0E2A35"/>
          </w:tcPr>
          <w:p>
            <w:pPr>
              <w:jc w:val="center"/>
              <w:ind w:right="186"/>
              <w:spacing w:after="0"/>
              <w:rPr>
                <w:sz w:val="20"/>
                <w:szCs w:val="20"/>
                <w:color w:val="auto"/>
              </w:rPr>
            </w:pPr>
            <w:r>
              <w:rPr>
                <w:rFonts w:ascii="Arial" w:cs="Arial" w:eastAsia="Arial" w:hAnsi="Arial"/>
                <w:sz w:val="13"/>
                <w:szCs w:val="13"/>
                <w:b w:val="1"/>
                <w:bCs w:val="1"/>
                <w:color w:val="FFFFFF"/>
              </w:rPr>
              <w:t>Payout)</w:t>
            </w:r>
          </w:p>
        </w:tc>
        <w:tc>
          <w:tcPr>
            <w:tcW w:w="122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Performance</w:t>
            </w:r>
          </w:p>
        </w:tc>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(Weighted)</w:t>
            </w:r>
          </w:p>
        </w:tc>
      </w:tr>
      <w:tr>
        <w:trPr>
          <w:trHeight w:val="97"/>
        </w:trPr>
        <w:tc>
          <w:tcPr>
            <w:tcW w:w="176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180" w:type="dxa"/>
            <w:vAlign w:val="bottom"/>
            <w:shd w:val="clear" w:color="auto" w:fill="0E2A35"/>
          </w:tcPr>
          <w:p>
            <w:pPr>
              <w:spacing w:after="0"/>
              <w:rPr>
                <w:sz w:val="8"/>
                <w:szCs w:val="8"/>
                <w:color w:val="auto"/>
              </w:rPr>
            </w:pPr>
          </w:p>
        </w:tc>
        <w:tc>
          <w:tcPr>
            <w:tcW w:w="1020" w:type="dxa"/>
            <w:vAlign w:val="bottom"/>
            <w:shd w:val="clear" w:color="auto" w:fill="0E2A35"/>
          </w:tcPr>
          <w:p>
            <w:pPr>
              <w:spacing w:after="0"/>
              <w:rPr>
                <w:sz w:val="8"/>
                <w:szCs w:val="8"/>
                <w:color w:val="auto"/>
              </w:rPr>
            </w:pPr>
          </w:p>
        </w:tc>
        <w:tc>
          <w:tcPr>
            <w:tcW w:w="960" w:type="dxa"/>
            <w:vAlign w:val="bottom"/>
            <w:shd w:val="clear" w:color="auto" w:fill="0E2A35"/>
          </w:tcPr>
          <w:p>
            <w:pPr>
              <w:spacing w:after="0"/>
              <w:rPr>
                <w:sz w:val="8"/>
                <w:szCs w:val="8"/>
                <w:color w:val="auto"/>
              </w:rPr>
            </w:pPr>
          </w:p>
        </w:tc>
        <w:tc>
          <w:tcPr>
            <w:tcW w:w="24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260" w:type="dxa"/>
            <w:vAlign w:val="bottom"/>
            <w:shd w:val="clear" w:color="auto" w:fill="0E2A35"/>
          </w:tcPr>
          <w:p>
            <w:pPr>
              <w:spacing w:after="0"/>
              <w:rPr>
                <w:sz w:val="8"/>
                <w:szCs w:val="8"/>
                <w:color w:val="auto"/>
              </w:rPr>
            </w:pPr>
          </w:p>
        </w:tc>
        <w:tc>
          <w:tcPr>
            <w:tcW w:w="106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900" w:type="dxa"/>
            <w:vAlign w:val="bottom"/>
            <w:shd w:val="clear" w:color="auto" w:fill="0E2A35"/>
          </w:tcPr>
          <w:p>
            <w:pPr>
              <w:spacing w:after="0"/>
              <w:rPr>
                <w:sz w:val="8"/>
                <w:szCs w:val="8"/>
                <w:color w:val="auto"/>
              </w:rPr>
            </w:pPr>
          </w:p>
        </w:tc>
      </w:tr>
      <w:tr>
        <w:trPr>
          <w:trHeight w:val="305"/>
        </w:trPr>
        <w:tc>
          <w:tcPr>
            <w:tcW w:w="1760" w:type="dxa"/>
            <w:vAlign w:val="bottom"/>
          </w:tcPr>
          <w:p>
            <w:pPr>
              <w:ind w:left="120"/>
              <w:spacing w:after="0"/>
              <w:rPr>
                <w:sz w:val="20"/>
                <w:szCs w:val="20"/>
                <w:color w:val="auto"/>
              </w:rPr>
            </w:pPr>
            <w:r>
              <w:rPr>
                <w:rFonts w:ascii="Arial" w:cs="Arial" w:eastAsia="Arial" w:hAnsi="Arial"/>
                <w:sz w:val="16"/>
                <w:szCs w:val="16"/>
                <w:color w:val="0E2A35"/>
              </w:rPr>
              <w:t>Net Sales</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40.0%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28"/>
              <w:spacing w:after="0"/>
              <w:rPr>
                <w:sz w:val="20"/>
                <w:szCs w:val="20"/>
                <w:color w:val="auto"/>
              </w:rPr>
            </w:pPr>
            <w:r>
              <w:rPr>
                <w:rFonts w:ascii="Arial" w:cs="Arial" w:eastAsia="Arial" w:hAnsi="Arial"/>
                <w:sz w:val="16"/>
                <w:szCs w:val="16"/>
                <w:color w:val="0E2A35"/>
                <w:w w:val="98"/>
              </w:rPr>
              <w:t>1,238,100</w:t>
            </w:r>
          </w:p>
        </w:tc>
        <w:tc>
          <w:tcPr>
            <w:tcW w:w="960" w:type="dxa"/>
            <w:vAlign w:val="bottom"/>
          </w:tcPr>
          <w:p>
            <w:pPr>
              <w:jc w:val="right"/>
              <w:spacing w:after="0"/>
              <w:rPr>
                <w:sz w:val="20"/>
                <w:szCs w:val="20"/>
                <w:color w:val="auto"/>
              </w:rPr>
            </w:pPr>
            <w:r>
              <w:rPr>
                <w:rFonts w:ascii="Arial" w:cs="Arial" w:eastAsia="Arial" w:hAnsi="Arial"/>
                <w:sz w:val="16"/>
                <w:szCs w:val="16"/>
                <w:color w:val="0E2A35"/>
              </w:rPr>
              <w:t>$1,427,458</w:t>
            </w:r>
          </w:p>
        </w:tc>
        <w:tc>
          <w:tcPr>
            <w:tcW w:w="240" w:type="dxa"/>
            <w:vAlign w:val="bottom"/>
          </w:tcPr>
          <w:p>
            <w:pPr>
              <w:ind w:left="40"/>
              <w:spacing w:after="0"/>
              <w:rPr>
                <w:sz w:val="20"/>
                <w:szCs w:val="20"/>
                <w:color w:val="auto"/>
              </w:rPr>
            </w:pPr>
            <w:r>
              <w:rPr>
                <w:rFonts w:ascii="Arial" w:cs="Arial" w:eastAsia="Arial" w:hAnsi="Arial"/>
                <w:sz w:val="16"/>
                <w:szCs w:val="16"/>
                <w:color w:val="0E2A35"/>
              </w:rPr>
              <w:t>—</w:t>
            </w:r>
          </w:p>
        </w:tc>
        <w:tc>
          <w:tcPr>
            <w:tcW w:w="840" w:type="dxa"/>
            <w:vAlign w:val="bottom"/>
          </w:tcPr>
          <w:p>
            <w:pPr>
              <w:spacing w:after="0"/>
              <w:rPr>
                <w:sz w:val="20"/>
                <w:szCs w:val="20"/>
                <w:color w:val="auto"/>
              </w:rPr>
            </w:pPr>
            <w:r>
              <w:rPr>
                <w:rFonts w:ascii="Arial" w:cs="Arial" w:eastAsia="Arial" w:hAnsi="Arial"/>
                <w:sz w:val="16"/>
                <w:szCs w:val="16"/>
                <w:color w:val="0E2A35"/>
              </w:rPr>
              <w:t>1,485,722</w:t>
            </w:r>
          </w:p>
        </w:tc>
        <w:tc>
          <w:tcPr>
            <w:tcW w:w="26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center"/>
              <w:ind w:right="246"/>
              <w:spacing w:after="0"/>
              <w:rPr>
                <w:sz w:val="20"/>
                <w:szCs w:val="20"/>
                <w:color w:val="auto"/>
              </w:rPr>
            </w:pPr>
            <w:r>
              <w:rPr>
                <w:rFonts w:ascii="Arial" w:cs="Arial" w:eastAsia="Arial" w:hAnsi="Arial"/>
                <w:sz w:val="16"/>
                <w:szCs w:val="16"/>
                <w:color w:val="0E2A35"/>
                <w:w w:val="98"/>
              </w:rPr>
              <w:t>1,602,200</w:t>
            </w:r>
          </w:p>
        </w:tc>
        <w:tc>
          <w:tcPr>
            <w:tcW w:w="220" w:type="dxa"/>
            <w:vAlign w:val="bottom"/>
          </w:tcPr>
          <w:p>
            <w:pPr>
              <w:jc w:val="center"/>
              <w:ind w:left="66"/>
              <w:spacing w:after="0"/>
              <w:rPr>
                <w:sz w:val="20"/>
                <w:szCs w:val="20"/>
                <w:color w:val="auto"/>
              </w:rPr>
            </w:pPr>
            <w:r>
              <w:rPr>
                <w:rFonts w:ascii="Arial" w:cs="Arial" w:eastAsia="Arial" w:hAnsi="Arial"/>
                <w:sz w:val="16"/>
                <w:szCs w:val="16"/>
                <w:color w:val="0E2A35"/>
                <w:w w:val="89"/>
              </w:rPr>
              <w:t>$</w:t>
            </w:r>
          </w:p>
        </w:tc>
        <w:tc>
          <w:tcPr>
            <w:tcW w:w="1000" w:type="dxa"/>
            <w:vAlign w:val="bottom"/>
          </w:tcPr>
          <w:p>
            <w:pPr>
              <w:jc w:val="center"/>
              <w:ind w:right="204"/>
              <w:spacing w:after="0"/>
              <w:rPr>
                <w:sz w:val="20"/>
                <w:szCs w:val="20"/>
                <w:color w:val="auto"/>
              </w:rPr>
            </w:pPr>
            <w:r>
              <w:rPr>
                <w:rFonts w:ascii="Arial" w:cs="Arial" w:eastAsia="Arial" w:hAnsi="Arial"/>
                <w:sz w:val="16"/>
                <w:szCs w:val="16"/>
                <w:color w:val="0E2A35"/>
              </w:rPr>
              <w:t>1,633,017</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80.0%</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Operating Income</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50.0%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28"/>
              <w:spacing w:after="0"/>
              <w:rPr>
                <w:sz w:val="20"/>
                <w:szCs w:val="20"/>
                <w:color w:val="auto"/>
              </w:rPr>
            </w:pPr>
            <w:r>
              <w:rPr>
                <w:rFonts w:ascii="Arial" w:cs="Arial" w:eastAsia="Arial" w:hAnsi="Arial"/>
                <w:sz w:val="16"/>
                <w:szCs w:val="16"/>
                <w:color w:val="0E2A35"/>
              </w:rPr>
              <w:t>71,610</w:t>
            </w:r>
          </w:p>
        </w:tc>
        <w:tc>
          <w:tcPr>
            <w:tcW w:w="960" w:type="dxa"/>
            <w:vAlign w:val="bottom"/>
          </w:tcPr>
          <w:p>
            <w:pPr>
              <w:jc w:val="right"/>
              <w:spacing w:after="0"/>
              <w:rPr>
                <w:sz w:val="20"/>
                <w:szCs w:val="20"/>
                <w:color w:val="auto"/>
              </w:rPr>
            </w:pPr>
            <w:r>
              <w:rPr>
                <w:rFonts w:ascii="Arial" w:cs="Arial" w:eastAsia="Arial" w:hAnsi="Arial"/>
                <w:sz w:val="16"/>
                <w:szCs w:val="16"/>
                <w:color w:val="0E2A35"/>
              </w:rPr>
              <w:t>$93,490</w:t>
            </w:r>
          </w:p>
        </w:tc>
        <w:tc>
          <w:tcPr>
            <w:tcW w:w="240" w:type="dxa"/>
            <w:vAlign w:val="bottom"/>
          </w:tcPr>
          <w:p>
            <w:pPr>
              <w:ind w:left="40"/>
              <w:spacing w:after="0"/>
              <w:rPr>
                <w:sz w:val="20"/>
                <w:szCs w:val="20"/>
                <w:color w:val="auto"/>
              </w:rPr>
            </w:pPr>
            <w:r>
              <w:rPr>
                <w:rFonts w:ascii="Arial" w:cs="Arial" w:eastAsia="Arial" w:hAnsi="Arial"/>
                <w:sz w:val="16"/>
                <w:szCs w:val="16"/>
                <w:color w:val="0E2A35"/>
              </w:rPr>
              <w:t>—</w:t>
            </w:r>
          </w:p>
        </w:tc>
        <w:tc>
          <w:tcPr>
            <w:tcW w:w="840" w:type="dxa"/>
            <w:vAlign w:val="bottom"/>
          </w:tcPr>
          <w:p>
            <w:pPr>
              <w:spacing w:after="0"/>
              <w:rPr>
                <w:sz w:val="20"/>
                <w:szCs w:val="20"/>
                <w:color w:val="auto"/>
              </w:rPr>
            </w:pPr>
            <w:r>
              <w:rPr>
                <w:rFonts w:ascii="Arial" w:cs="Arial" w:eastAsia="Arial" w:hAnsi="Arial"/>
                <w:sz w:val="16"/>
                <w:szCs w:val="16"/>
                <w:color w:val="0E2A35"/>
              </w:rPr>
              <w:t>97,500</w:t>
            </w:r>
          </w:p>
        </w:tc>
        <w:tc>
          <w:tcPr>
            <w:tcW w:w="26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right"/>
              <w:ind w:right="246"/>
              <w:spacing w:after="0"/>
              <w:rPr>
                <w:sz w:val="20"/>
                <w:szCs w:val="20"/>
                <w:color w:val="auto"/>
              </w:rPr>
            </w:pPr>
            <w:r>
              <w:rPr>
                <w:rFonts w:ascii="Arial" w:cs="Arial" w:eastAsia="Arial" w:hAnsi="Arial"/>
                <w:sz w:val="16"/>
                <w:szCs w:val="16"/>
                <w:color w:val="0E2A35"/>
              </w:rPr>
              <w:t>109,800</w:t>
            </w:r>
          </w:p>
        </w:tc>
        <w:tc>
          <w:tcPr>
            <w:tcW w:w="220" w:type="dxa"/>
            <w:vAlign w:val="bottom"/>
          </w:tcPr>
          <w:p>
            <w:pPr>
              <w:jc w:val="center"/>
              <w:ind w:left="66"/>
              <w:spacing w:after="0"/>
              <w:rPr>
                <w:sz w:val="20"/>
                <w:szCs w:val="20"/>
                <w:color w:val="auto"/>
              </w:rPr>
            </w:pPr>
            <w:r>
              <w:rPr>
                <w:rFonts w:ascii="Arial" w:cs="Arial" w:eastAsia="Arial" w:hAnsi="Arial"/>
                <w:sz w:val="16"/>
                <w:szCs w:val="16"/>
                <w:color w:val="0E2A35"/>
                <w:w w:val="89"/>
              </w:rPr>
              <w:t>$</w:t>
            </w:r>
          </w:p>
        </w:tc>
        <w:tc>
          <w:tcPr>
            <w:tcW w:w="1000" w:type="dxa"/>
            <w:vAlign w:val="bottom"/>
          </w:tcPr>
          <w:p>
            <w:pPr>
              <w:jc w:val="right"/>
              <w:ind w:right="244"/>
              <w:spacing w:after="0"/>
              <w:rPr>
                <w:sz w:val="20"/>
                <w:szCs w:val="20"/>
                <w:color w:val="auto"/>
              </w:rPr>
            </w:pPr>
            <w:r>
              <w:rPr>
                <w:rFonts w:ascii="Arial" w:cs="Arial" w:eastAsia="Arial" w:hAnsi="Arial"/>
                <w:sz w:val="16"/>
                <w:szCs w:val="16"/>
                <w:color w:val="0E2A35"/>
              </w:rPr>
              <w:t>184,989</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100.0%</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2040" w:type="dxa"/>
            <w:vAlign w:val="bottom"/>
            <w:tcBorders>
              <w:bottom w:val="single" w:sz="8" w:color="0E2A35"/>
            </w:tcBorders>
            <w:gridSpan w:val="3"/>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Net Working Capital</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10.0%</w:t>
            </w:r>
          </w:p>
        </w:tc>
        <w:tc>
          <w:tcPr>
            <w:tcW w:w="1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6"/>
                <w:szCs w:val="16"/>
                <w:color w:val="0E2A35"/>
              </w:rPr>
              <w:t>14.4%</w:t>
            </w:r>
          </w:p>
        </w:tc>
        <w:tc>
          <w:tcPr>
            <w:tcW w:w="2040" w:type="dxa"/>
            <w:vAlign w:val="bottom"/>
            <w:gridSpan w:val="3"/>
          </w:tcPr>
          <w:p>
            <w:pPr>
              <w:jc w:val="center"/>
              <w:spacing w:after="0"/>
              <w:rPr>
                <w:sz w:val="20"/>
                <w:szCs w:val="20"/>
                <w:color w:val="auto"/>
              </w:rPr>
            </w:pPr>
            <w:r>
              <w:rPr>
                <w:rFonts w:ascii="Arial" w:cs="Arial" w:eastAsia="Arial" w:hAnsi="Arial"/>
                <w:sz w:val="16"/>
                <w:szCs w:val="16"/>
                <w:color w:val="0E2A35"/>
              </w:rPr>
              <w:t>12.8% — 12.3%</w:t>
            </w:r>
          </w:p>
        </w:tc>
        <w:tc>
          <w:tcPr>
            <w:tcW w:w="260" w:type="dxa"/>
            <w:vAlign w:val="bottom"/>
          </w:tcPr>
          <w:p>
            <w:pPr>
              <w:spacing w:after="0"/>
              <w:rPr>
                <w:sz w:val="24"/>
                <w:szCs w:val="24"/>
                <w:color w:val="auto"/>
              </w:rPr>
            </w:pPr>
          </w:p>
        </w:tc>
        <w:tc>
          <w:tcPr>
            <w:tcW w:w="1060" w:type="dxa"/>
            <w:vAlign w:val="bottom"/>
          </w:tcPr>
          <w:p>
            <w:pPr>
              <w:jc w:val="right"/>
              <w:ind w:right="86"/>
              <w:spacing w:after="0"/>
              <w:rPr>
                <w:sz w:val="20"/>
                <w:szCs w:val="20"/>
                <w:color w:val="auto"/>
              </w:rPr>
            </w:pPr>
            <w:r>
              <w:rPr>
                <w:rFonts w:ascii="Arial" w:cs="Arial" w:eastAsia="Arial" w:hAnsi="Arial"/>
                <w:sz w:val="16"/>
                <w:szCs w:val="16"/>
                <w:color w:val="0E2A35"/>
              </w:rPr>
              <w:t>11.3%</w:t>
            </w:r>
          </w:p>
        </w:tc>
        <w:tc>
          <w:tcPr>
            <w:tcW w:w="220" w:type="dxa"/>
            <w:vAlign w:val="bottom"/>
          </w:tcPr>
          <w:p>
            <w:pPr>
              <w:spacing w:after="0"/>
              <w:rPr>
                <w:sz w:val="24"/>
                <w:szCs w:val="24"/>
                <w:color w:val="auto"/>
              </w:rPr>
            </w:pPr>
          </w:p>
        </w:tc>
        <w:tc>
          <w:tcPr>
            <w:tcW w:w="1000" w:type="dxa"/>
            <w:vAlign w:val="bottom"/>
          </w:tcPr>
          <w:p>
            <w:pPr>
              <w:jc w:val="right"/>
              <w:ind w:right="84"/>
              <w:spacing w:after="0"/>
              <w:rPr>
                <w:sz w:val="20"/>
                <w:szCs w:val="20"/>
                <w:color w:val="auto"/>
              </w:rPr>
            </w:pPr>
            <w:r>
              <w:rPr>
                <w:rFonts w:ascii="Arial" w:cs="Arial" w:eastAsia="Arial" w:hAnsi="Arial"/>
                <w:sz w:val="16"/>
                <w:szCs w:val="16"/>
                <w:color w:val="0E2A35"/>
              </w:rPr>
              <w:t>13.9%</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4.8%</w:t>
            </w:r>
          </w:p>
        </w:tc>
      </w:tr>
      <w:tr>
        <w:trPr>
          <w:trHeight w:val="101"/>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left="186"/>
              <w:spacing w:after="0"/>
              <w:rPr>
                <w:sz w:val="20"/>
                <w:szCs w:val="20"/>
                <w:color w:val="auto"/>
              </w:rPr>
            </w:pPr>
            <w:r>
              <w:rPr>
                <w:rFonts w:ascii="Arial" w:cs="Arial" w:eastAsia="Arial" w:hAnsi="Arial"/>
                <w:sz w:val="16"/>
                <w:szCs w:val="16"/>
                <w:color w:val="0E2A35"/>
                <w:w w:val="98"/>
              </w:rPr>
              <w:t>Total Payout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184.8%</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2280" w:type="dxa"/>
            <w:vAlign w:val="bottom"/>
            <w:tcBorders>
              <w:bottom w:val="single" w:sz="8" w:color="0E2A35"/>
            </w:tcBorders>
            <w:gridSpan w:val="3"/>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left="186"/>
              <w:spacing w:after="0"/>
              <w:rPr>
                <w:sz w:val="20"/>
                <w:szCs w:val="20"/>
                <w:color w:val="auto"/>
              </w:rPr>
            </w:pPr>
            <w:r>
              <w:rPr>
                <w:rFonts w:ascii="Arial" w:cs="Arial" w:eastAsia="Arial" w:hAnsi="Arial"/>
                <w:sz w:val="16"/>
                <w:szCs w:val="16"/>
                <w:color w:val="0E2A35"/>
                <w:w w:val="98"/>
              </w:rPr>
              <w:t>30% of Total Percentage</w:t>
            </w:r>
          </w:p>
        </w:tc>
        <w:tc>
          <w:tcPr>
            <w:tcW w:w="900" w:type="dxa"/>
            <w:vAlign w:val="bottom"/>
          </w:tcPr>
          <w:p>
            <w:pPr>
              <w:jc w:val="right"/>
              <w:ind w:right="6"/>
              <w:spacing w:after="0"/>
              <w:rPr>
                <w:sz w:val="20"/>
                <w:szCs w:val="20"/>
                <w:color w:val="auto"/>
              </w:rPr>
            </w:pPr>
            <w:r>
              <w:rPr>
                <w:rFonts w:ascii="Arial" w:cs="Arial" w:eastAsia="Arial" w:hAnsi="Arial"/>
                <w:sz w:val="16"/>
                <w:szCs w:val="16"/>
                <w:color w:val="0E2A35"/>
              </w:rPr>
              <w:t>55.4%</w:t>
            </w:r>
          </w:p>
        </w:tc>
      </w:tr>
      <w:tr>
        <w:trPr>
          <w:trHeight w:val="47"/>
        </w:trPr>
        <w:tc>
          <w:tcPr>
            <w:tcW w:w="176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180" w:type="dxa"/>
            <w:vAlign w:val="bottom"/>
            <w:tcBorders>
              <w:bottom w:val="single" w:sz="8" w:color="0E2A35"/>
            </w:tcBorders>
          </w:tcPr>
          <w:p>
            <w:pPr>
              <w:spacing w:after="0"/>
              <w:rPr>
                <w:sz w:val="4"/>
                <w:szCs w:val="4"/>
                <w:color w:val="auto"/>
              </w:rPr>
            </w:pPr>
          </w:p>
        </w:tc>
        <w:tc>
          <w:tcPr>
            <w:tcW w:w="1020" w:type="dxa"/>
            <w:vAlign w:val="bottom"/>
            <w:tcBorders>
              <w:bottom w:val="single" w:sz="8" w:color="0E2A35"/>
            </w:tcBorders>
          </w:tcPr>
          <w:p>
            <w:pPr>
              <w:spacing w:after="0"/>
              <w:rPr>
                <w:sz w:val="4"/>
                <w:szCs w:val="4"/>
                <w:color w:val="auto"/>
              </w:rPr>
            </w:pPr>
          </w:p>
        </w:tc>
        <w:tc>
          <w:tcPr>
            <w:tcW w:w="960" w:type="dxa"/>
            <w:vAlign w:val="bottom"/>
            <w:tcBorders>
              <w:bottom w:val="single" w:sz="8" w:color="0E2A35"/>
            </w:tcBorders>
          </w:tcPr>
          <w:p>
            <w:pPr>
              <w:spacing w:after="0"/>
              <w:rPr>
                <w:sz w:val="4"/>
                <w:szCs w:val="4"/>
                <w:color w:val="auto"/>
              </w:rPr>
            </w:pPr>
          </w:p>
        </w:tc>
        <w:tc>
          <w:tcPr>
            <w:tcW w:w="24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260" w:type="dxa"/>
            <w:vAlign w:val="bottom"/>
            <w:tcBorders>
              <w:bottom w:val="single" w:sz="8" w:color="0E2A35"/>
            </w:tcBorders>
          </w:tcPr>
          <w:p>
            <w:pPr>
              <w:spacing w:after="0"/>
              <w:rPr>
                <w:sz w:val="4"/>
                <w:szCs w:val="4"/>
                <w:color w:val="auto"/>
              </w:rPr>
            </w:pPr>
          </w:p>
        </w:tc>
        <w:tc>
          <w:tcPr>
            <w:tcW w:w="106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00" w:type="dxa"/>
            <w:vAlign w:val="bottom"/>
            <w:tcBorders>
              <w:bottom w:val="single" w:sz="8" w:color="0E2A35"/>
            </w:tcBorders>
          </w:tcPr>
          <w:p>
            <w:pPr>
              <w:spacing w:after="0"/>
              <w:rPr>
                <w:sz w:val="4"/>
                <w:szCs w:val="4"/>
                <w:color w:val="auto"/>
              </w:rPr>
            </w:pPr>
          </w:p>
        </w:tc>
        <w:tc>
          <w:tcPr>
            <w:tcW w:w="90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opportunity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Messrs. Bower’s and Hazelton’s financial performance is based upon the Winnebago Outdoors and Winnebago-Brand RVs business units, respectively; and the financial performance metrics are weighted: (i)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29"/>
        </w:numPr>
        <w:rPr>
          <w:rFonts w:ascii="Arial" w:cs="Arial" w:eastAsia="Arial" w:hAnsi="Arial"/>
          <w:sz w:val="13"/>
          <w:szCs w:val="13"/>
          <w:color w:val="0E2A35"/>
        </w:rPr>
      </w:pPr>
      <w:r>
        <w:rPr>
          <w:rFonts w:ascii="Arial" w:cs="Arial" w:eastAsia="Arial" w:hAnsi="Arial"/>
          <w:sz w:val="13"/>
          <w:szCs w:val="13"/>
          <w:color w:val="0E2A35"/>
        </w:rPr>
        <w:t>The first 6-month fiscal year OICP period is weighted at 30% of the overall OICP weighting.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 w:name="page49"/>
    <w:bookmarkEnd w:id="4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320"/>
        <w:spacing w:after="0" w:line="212"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the Second Six-Month Fiscal Year Period</w:t>
      </w:r>
      <w:r>
        <w:rPr>
          <w:rFonts w:ascii="Arial" w:cs="Arial" w:eastAsia="Arial" w:hAnsi="Arial"/>
          <w:sz w:val="26"/>
          <w:szCs w:val="26"/>
          <w:color w:val="0E2A35"/>
          <w:vertAlign w:val="superscript"/>
        </w:rPr>
        <w:t>(1)(2)(3)</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1760" w:type="dxa"/>
            <w:vAlign w:val="bottom"/>
            <w:shd w:val="clear" w:color="auto" w:fill="0E2A35"/>
          </w:tcPr>
          <w:p>
            <w:pPr>
              <w:spacing w:after="0"/>
              <w:rPr>
                <w:sz w:val="17"/>
                <w:szCs w:val="17"/>
                <w:color w:val="auto"/>
              </w:rPr>
            </w:pPr>
          </w:p>
        </w:tc>
        <w:tc>
          <w:tcPr>
            <w:tcW w:w="840" w:type="dxa"/>
            <w:vAlign w:val="bottom"/>
            <w:shd w:val="clear" w:color="auto" w:fill="0E2A35"/>
          </w:tcPr>
          <w:p>
            <w:pPr>
              <w:spacing w:after="0"/>
              <w:rPr>
                <w:sz w:val="17"/>
                <w:szCs w:val="17"/>
                <w:color w:val="auto"/>
              </w:rPr>
            </w:pPr>
          </w:p>
        </w:tc>
        <w:tc>
          <w:tcPr>
            <w:tcW w:w="180" w:type="dxa"/>
            <w:vAlign w:val="bottom"/>
            <w:shd w:val="clear" w:color="auto" w:fill="0E2A35"/>
          </w:tcPr>
          <w:p>
            <w:pPr>
              <w:spacing w:after="0"/>
              <w:rPr>
                <w:sz w:val="17"/>
                <w:szCs w:val="17"/>
                <w:color w:val="auto"/>
              </w:rPr>
            </w:pPr>
          </w:p>
        </w:tc>
        <w:tc>
          <w:tcPr>
            <w:tcW w:w="1000" w:type="dxa"/>
            <w:vAlign w:val="bottom"/>
            <w:shd w:val="clear" w:color="auto" w:fill="0E2A35"/>
          </w:tcPr>
          <w:p>
            <w:pPr>
              <w:jc w:val="center"/>
              <w:ind w:right="168"/>
              <w:spacing w:after="0"/>
              <w:rPr>
                <w:sz w:val="20"/>
                <w:szCs w:val="20"/>
                <w:color w:val="auto"/>
              </w:rPr>
            </w:pPr>
            <w:r>
              <w:rPr>
                <w:rFonts w:ascii="Arial" w:cs="Arial" w:eastAsia="Arial" w:hAnsi="Arial"/>
                <w:sz w:val="13"/>
                <w:szCs w:val="13"/>
                <w:b w:val="1"/>
                <w:bCs w:val="1"/>
                <w:color w:val="FFFFFF"/>
                <w:w w:val="95"/>
              </w:rPr>
              <w:t>Threshold</w:t>
            </w:r>
          </w:p>
        </w:tc>
        <w:tc>
          <w:tcPr>
            <w:tcW w:w="1200" w:type="dxa"/>
            <w:vAlign w:val="bottom"/>
            <w:gridSpan w:val="2"/>
            <w:shd w:val="clear" w:color="auto" w:fill="0E2A35"/>
          </w:tcPr>
          <w:p>
            <w:pPr>
              <w:jc w:val="center"/>
              <w:ind w:left="748"/>
              <w:spacing w:after="0"/>
              <w:rPr>
                <w:sz w:val="20"/>
                <w:szCs w:val="20"/>
                <w:color w:val="auto"/>
              </w:rPr>
            </w:pPr>
            <w:r>
              <w:rPr>
                <w:rFonts w:ascii="Arial" w:cs="Arial" w:eastAsia="Arial" w:hAnsi="Arial"/>
                <w:sz w:val="13"/>
                <w:szCs w:val="13"/>
                <w:b w:val="1"/>
                <w:bCs w:val="1"/>
                <w:color w:val="FFFFFF"/>
                <w:w w:val="95"/>
              </w:rPr>
              <w:t>Target</w:t>
            </w:r>
          </w:p>
        </w:tc>
        <w:tc>
          <w:tcPr>
            <w:tcW w:w="86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1000" w:type="dxa"/>
            <w:vAlign w:val="bottom"/>
            <w:shd w:val="clear" w:color="auto" w:fill="0E2A35"/>
          </w:tcPr>
          <w:p>
            <w:pPr>
              <w:jc w:val="center"/>
              <w:ind w:right="146"/>
              <w:spacing w:after="0"/>
              <w:rPr>
                <w:sz w:val="20"/>
                <w:szCs w:val="20"/>
                <w:color w:val="auto"/>
              </w:rPr>
            </w:pPr>
            <w:r>
              <w:rPr>
                <w:rFonts w:ascii="Arial" w:cs="Arial" w:eastAsia="Arial" w:hAnsi="Arial"/>
                <w:sz w:val="13"/>
                <w:szCs w:val="13"/>
                <w:b w:val="1"/>
                <w:bCs w:val="1"/>
                <w:color w:val="FFFFFF"/>
                <w:w w:val="96"/>
              </w:rPr>
              <w:t>Maximum</w:t>
            </w:r>
          </w:p>
        </w:tc>
        <w:tc>
          <w:tcPr>
            <w:tcW w:w="240" w:type="dxa"/>
            <w:vAlign w:val="bottom"/>
            <w:shd w:val="clear" w:color="auto" w:fill="0E2A35"/>
          </w:tcPr>
          <w:p>
            <w:pPr>
              <w:spacing w:after="0"/>
              <w:rPr>
                <w:sz w:val="17"/>
                <w:szCs w:val="17"/>
                <w:color w:val="auto"/>
              </w:rPr>
            </w:pPr>
          </w:p>
        </w:tc>
        <w:tc>
          <w:tcPr>
            <w:tcW w:w="1060" w:type="dxa"/>
            <w:vAlign w:val="bottom"/>
            <w:shd w:val="clear" w:color="auto" w:fill="0E2A35"/>
          </w:tcPr>
          <w:p>
            <w:pPr>
              <w:spacing w:after="0"/>
              <w:rPr>
                <w:sz w:val="17"/>
                <w:szCs w:val="17"/>
                <w:color w:val="auto"/>
              </w:rPr>
            </w:pPr>
          </w:p>
        </w:tc>
        <w:tc>
          <w:tcPr>
            <w:tcW w:w="9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Actual</w:t>
            </w:r>
          </w:p>
        </w:tc>
      </w:tr>
      <w:tr>
        <w:trPr>
          <w:trHeight w:val="135"/>
        </w:trPr>
        <w:tc>
          <w:tcPr>
            <w:tcW w:w="176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18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168"/>
              <w:spacing w:after="0" w:line="135" w:lineRule="exact"/>
              <w:rPr>
                <w:sz w:val="20"/>
                <w:szCs w:val="20"/>
                <w:color w:val="auto"/>
              </w:rPr>
            </w:pPr>
            <w:r>
              <w:rPr>
                <w:rFonts w:ascii="Arial" w:cs="Arial" w:eastAsia="Arial" w:hAnsi="Arial"/>
                <w:sz w:val="13"/>
                <w:szCs w:val="13"/>
                <w:b w:val="1"/>
                <w:bCs w:val="1"/>
                <w:color w:val="FFFFFF"/>
                <w:w w:val="92"/>
              </w:rPr>
              <w:t>(25%</w:t>
            </w:r>
          </w:p>
        </w:tc>
        <w:tc>
          <w:tcPr>
            <w:tcW w:w="1200" w:type="dxa"/>
            <w:vAlign w:val="bottom"/>
            <w:gridSpan w:val="2"/>
            <w:shd w:val="clear" w:color="auto" w:fill="0E2A35"/>
          </w:tcPr>
          <w:p>
            <w:pPr>
              <w:jc w:val="center"/>
              <w:ind w:left="768"/>
              <w:spacing w:after="0" w:line="135" w:lineRule="exact"/>
              <w:rPr>
                <w:sz w:val="20"/>
                <w:szCs w:val="20"/>
                <w:color w:val="auto"/>
              </w:rPr>
            </w:pPr>
            <w:r>
              <w:rPr>
                <w:rFonts w:ascii="Arial" w:cs="Arial" w:eastAsia="Arial" w:hAnsi="Arial"/>
                <w:sz w:val="13"/>
                <w:szCs w:val="13"/>
                <w:b w:val="1"/>
                <w:bCs w:val="1"/>
                <w:color w:val="FFFFFF"/>
                <w:w w:val="95"/>
              </w:rPr>
              <w:t>(100%</w:t>
            </w:r>
          </w:p>
        </w:tc>
        <w:tc>
          <w:tcPr>
            <w:tcW w:w="860" w:type="dxa"/>
            <w:vAlign w:val="bottom"/>
            <w:shd w:val="clear" w:color="auto" w:fill="0E2A35"/>
          </w:tcPr>
          <w:p>
            <w:pPr>
              <w:spacing w:after="0"/>
              <w:rPr>
                <w:sz w:val="11"/>
                <w:szCs w:val="11"/>
                <w:color w:val="auto"/>
              </w:rPr>
            </w:pPr>
          </w:p>
        </w:tc>
        <w:tc>
          <w:tcPr>
            <w:tcW w:w="220" w:type="dxa"/>
            <w:vAlign w:val="bottom"/>
            <w:shd w:val="clear" w:color="auto" w:fill="0E2A35"/>
          </w:tcPr>
          <w:p>
            <w:pPr>
              <w:spacing w:after="0"/>
              <w:rPr>
                <w:sz w:val="11"/>
                <w:szCs w:val="11"/>
                <w:color w:val="auto"/>
              </w:rPr>
            </w:pPr>
          </w:p>
        </w:tc>
        <w:tc>
          <w:tcPr>
            <w:tcW w:w="1000" w:type="dxa"/>
            <w:vAlign w:val="bottom"/>
            <w:shd w:val="clear" w:color="auto" w:fill="0E2A35"/>
          </w:tcPr>
          <w:p>
            <w:pPr>
              <w:jc w:val="center"/>
              <w:ind w:right="166"/>
              <w:spacing w:after="0" w:line="135" w:lineRule="exact"/>
              <w:rPr>
                <w:sz w:val="20"/>
                <w:szCs w:val="20"/>
                <w:color w:val="auto"/>
              </w:rPr>
            </w:pPr>
            <w:r>
              <w:rPr>
                <w:rFonts w:ascii="Arial" w:cs="Arial" w:eastAsia="Arial" w:hAnsi="Arial"/>
                <w:sz w:val="13"/>
                <w:szCs w:val="13"/>
                <w:b w:val="1"/>
                <w:bCs w:val="1"/>
                <w:color w:val="FFFFFF"/>
                <w:w w:val="95"/>
              </w:rPr>
              <w:t>(200%</w:t>
            </w:r>
          </w:p>
        </w:tc>
        <w:tc>
          <w:tcPr>
            <w:tcW w:w="240" w:type="dxa"/>
            <w:vAlign w:val="bottom"/>
            <w:shd w:val="clear" w:color="auto" w:fill="0E2A35"/>
          </w:tcPr>
          <w:p>
            <w:pPr>
              <w:spacing w:after="0"/>
              <w:rPr>
                <w:sz w:val="11"/>
                <w:szCs w:val="11"/>
                <w:color w:val="auto"/>
              </w:rPr>
            </w:pPr>
          </w:p>
        </w:tc>
        <w:tc>
          <w:tcPr>
            <w:tcW w:w="1060" w:type="dxa"/>
            <w:vAlign w:val="bottom"/>
            <w:shd w:val="clear" w:color="auto" w:fill="0E2A35"/>
          </w:tcPr>
          <w:p>
            <w:pPr>
              <w:jc w:val="center"/>
              <w:ind w:right="227"/>
              <w:spacing w:after="0" w:line="135" w:lineRule="exact"/>
              <w:rPr>
                <w:sz w:val="20"/>
                <w:szCs w:val="20"/>
                <w:color w:val="auto"/>
              </w:rPr>
            </w:pPr>
            <w:r>
              <w:rPr>
                <w:rFonts w:ascii="Arial" w:cs="Arial" w:eastAsia="Arial" w:hAnsi="Arial"/>
                <w:sz w:val="13"/>
                <w:szCs w:val="13"/>
                <w:b w:val="1"/>
                <w:bCs w:val="1"/>
                <w:color w:val="FFFFFF"/>
                <w:w w:val="97"/>
              </w:rPr>
              <w:t>Fiscal 2021</w:t>
            </w:r>
          </w:p>
        </w:tc>
        <w:tc>
          <w:tcPr>
            <w:tcW w:w="9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r>
      <w:tr>
        <w:trPr>
          <w:trHeight w:val="168"/>
        </w:trPr>
        <w:tc>
          <w:tcPr>
            <w:tcW w:w="1760" w:type="dxa"/>
            <w:vAlign w:val="bottom"/>
            <w:shd w:val="clear" w:color="auto" w:fill="0E2A35"/>
          </w:tcPr>
          <w:p>
            <w:pPr>
              <w:ind w:left="120"/>
              <w:spacing w:after="0"/>
              <w:rPr>
                <w:sz w:val="20"/>
                <w:szCs w:val="20"/>
                <w:color w:val="auto"/>
              </w:rPr>
            </w:pPr>
            <w:r>
              <w:rPr>
                <w:rFonts w:ascii="Arial" w:cs="Arial" w:eastAsia="Arial" w:hAnsi="Arial"/>
                <w:sz w:val="13"/>
                <w:szCs w:val="13"/>
                <w:b w:val="1"/>
                <w:bCs w:val="1"/>
                <w:color w:val="FFFFFF"/>
              </w:rPr>
              <w:t>Metric</w:t>
            </w:r>
          </w:p>
        </w:tc>
        <w:tc>
          <w:tcPr>
            <w:tcW w:w="840" w:type="dxa"/>
            <w:vAlign w:val="bottom"/>
            <w:shd w:val="clear" w:color="auto" w:fill="0E2A35"/>
          </w:tcPr>
          <w:p>
            <w:pPr>
              <w:jc w:val="right"/>
              <w:ind w:right="124"/>
              <w:spacing w:after="0"/>
              <w:rPr>
                <w:sz w:val="20"/>
                <w:szCs w:val="20"/>
                <w:color w:val="auto"/>
              </w:rPr>
            </w:pPr>
            <w:r>
              <w:rPr>
                <w:rFonts w:ascii="Arial" w:cs="Arial" w:eastAsia="Arial" w:hAnsi="Arial"/>
                <w:sz w:val="13"/>
                <w:szCs w:val="13"/>
                <w:b w:val="1"/>
                <w:bCs w:val="1"/>
                <w:color w:val="FFFFFF"/>
              </w:rPr>
              <w:t>Weight</w:t>
            </w:r>
          </w:p>
        </w:tc>
        <w:tc>
          <w:tcPr>
            <w:tcW w:w="180" w:type="dxa"/>
            <w:vAlign w:val="bottom"/>
            <w:shd w:val="clear" w:color="auto" w:fill="0E2A35"/>
          </w:tcPr>
          <w:p>
            <w:pPr>
              <w:spacing w:after="0"/>
              <w:rPr>
                <w:sz w:val="14"/>
                <w:szCs w:val="14"/>
                <w:color w:val="auto"/>
              </w:rPr>
            </w:pPr>
          </w:p>
        </w:tc>
        <w:tc>
          <w:tcPr>
            <w:tcW w:w="1000" w:type="dxa"/>
            <w:vAlign w:val="bottom"/>
            <w:shd w:val="clear" w:color="auto" w:fill="0E2A35"/>
          </w:tcPr>
          <w:p>
            <w:pPr>
              <w:jc w:val="center"/>
              <w:ind w:right="128"/>
              <w:spacing w:after="0"/>
              <w:rPr>
                <w:sz w:val="20"/>
                <w:szCs w:val="20"/>
                <w:color w:val="auto"/>
              </w:rPr>
            </w:pPr>
            <w:r>
              <w:rPr>
                <w:rFonts w:ascii="Arial" w:cs="Arial" w:eastAsia="Arial" w:hAnsi="Arial"/>
                <w:sz w:val="13"/>
                <w:szCs w:val="13"/>
                <w:b w:val="1"/>
                <w:bCs w:val="1"/>
                <w:color w:val="FFFFFF"/>
              </w:rPr>
              <w:t>Payout)</w:t>
            </w:r>
          </w:p>
        </w:tc>
        <w:tc>
          <w:tcPr>
            <w:tcW w:w="206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20" w:type="dxa"/>
            <w:vAlign w:val="bottom"/>
            <w:shd w:val="clear" w:color="auto" w:fill="0E2A35"/>
          </w:tcPr>
          <w:p>
            <w:pPr>
              <w:spacing w:after="0"/>
              <w:rPr>
                <w:sz w:val="14"/>
                <w:szCs w:val="14"/>
                <w:color w:val="auto"/>
              </w:rPr>
            </w:pPr>
          </w:p>
        </w:tc>
        <w:tc>
          <w:tcPr>
            <w:tcW w:w="1000" w:type="dxa"/>
            <w:vAlign w:val="bottom"/>
            <w:shd w:val="clear" w:color="auto" w:fill="0E2A35"/>
          </w:tcPr>
          <w:p>
            <w:pPr>
              <w:jc w:val="center"/>
              <w:ind w:right="126"/>
              <w:spacing w:after="0"/>
              <w:rPr>
                <w:sz w:val="20"/>
                <w:szCs w:val="20"/>
                <w:color w:val="auto"/>
              </w:rPr>
            </w:pPr>
            <w:r>
              <w:rPr>
                <w:rFonts w:ascii="Arial" w:cs="Arial" w:eastAsia="Arial" w:hAnsi="Arial"/>
                <w:sz w:val="13"/>
                <w:szCs w:val="13"/>
                <w:b w:val="1"/>
                <w:bCs w:val="1"/>
                <w:color w:val="FFFFFF"/>
              </w:rPr>
              <w:t>Payout)</w:t>
            </w:r>
          </w:p>
        </w:tc>
        <w:tc>
          <w:tcPr>
            <w:tcW w:w="240" w:type="dxa"/>
            <w:vAlign w:val="bottom"/>
            <w:shd w:val="clear" w:color="auto" w:fill="0E2A35"/>
          </w:tcPr>
          <w:p>
            <w:pPr>
              <w:spacing w:after="0"/>
              <w:rPr>
                <w:sz w:val="14"/>
                <w:szCs w:val="14"/>
                <w:color w:val="auto"/>
              </w:rPr>
            </w:pPr>
          </w:p>
        </w:tc>
        <w:tc>
          <w:tcPr>
            <w:tcW w:w="1060" w:type="dxa"/>
            <w:vAlign w:val="bottom"/>
            <w:shd w:val="clear" w:color="auto" w:fill="0E2A35"/>
          </w:tcPr>
          <w:p>
            <w:pPr>
              <w:jc w:val="center"/>
              <w:ind w:right="187"/>
              <w:spacing w:after="0"/>
              <w:rPr>
                <w:sz w:val="20"/>
                <w:szCs w:val="20"/>
                <w:color w:val="auto"/>
              </w:rPr>
            </w:pPr>
            <w:r>
              <w:rPr>
                <w:rFonts w:ascii="Arial" w:cs="Arial" w:eastAsia="Arial" w:hAnsi="Arial"/>
                <w:sz w:val="13"/>
                <w:szCs w:val="13"/>
                <w:b w:val="1"/>
                <w:bCs w:val="1"/>
                <w:color w:val="FFFFFF"/>
                <w:w w:val="95"/>
              </w:rPr>
              <w:t>Performance</w:t>
            </w:r>
          </w:p>
        </w:tc>
        <w:tc>
          <w:tcPr>
            <w:tcW w:w="9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(Weighted)</w:t>
            </w:r>
          </w:p>
        </w:tc>
      </w:tr>
      <w:tr>
        <w:trPr>
          <w:trHeight w:val="97"/>
        </w:trPr>
        <w:tc>
          <w:tcPr>
            <w:tcW w:w="176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18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98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86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240" w:type="dxa"/>
            <w:vAlign w:val="bottom"/>
            <w:shd w:val="clear" w:color="auto" w:fill="0E2A35"/>
          </w:tcPr>
          <w:p>
            <w:pPr>
              <w:spacing w:after="0"/>
              <w:rPr>
                <w:sz w:val="8"/>
                <w:szCs w:val="8"/>
                <w:color w:val="auto"/>
              </w:rPr>
            </w:pPr>
          </w:p>
        </w:tc>
        <w:tc>
          <w:tcPr>
            <w:tcW w:w="1060" w:type="dxa"/>
            <w:vAlign w:val="bottom"/>
            <w:shd w:val="clear" w:color="auto" w:fill="0E2A35"/>
          </w:tcPr>
          <w:p>
            <w:pPr>
              <w:spacing w:after="0"/>
              <w:rPr>
                <w:sz w:val="8"/>
                <w:szCs w:val="8"/>
                <w:color w:val="auto"/>
              </w:rPr>
            </w:pPr>
          </w:p>
        </w:tc>
        <w:tc>
          <w:tcPr>
            <w:tcW w:w="920" w:type="dxa"/>
            <w:vAlign w:val="bottom"/>
            <w:shd w:val="clear" w:color="auto" w:fill="0E2A35"/>
          </w:tcPr>
          <w:p>
            <w:pPr>
              <w:spacing w:after="0"/>
              <w:rPr>
                <w:sz w:val="8"/>
                <w:szCs w:val="8"/>
                <w:color w:val="auto"/>
              </w:rPr>
            </w:pPr>
          </w:p>
        </w:tc>
      </w:tr>
      <w:tr>
        <w:trPr>
          <w:trHeight w:val="304"/>
        </w:trPr>
        <w:tc>
          <w:tcPr>
            <w:tcW w:w="1760" w:type="dxa"/>
            <w:vAlign w:val="bottom"/>
          </w:tcPr>
          <w:p>
            <w:pPr>
              <w:ind w:left="120"/>
              <w:spacing w:after="0"/>
              <w:rPr>
                <w:sz w:val="20"/>
                <w:szCs w:val="20"/>
                <w:color w:val="auto"/>
              </w:rPr>
            </w:pPr>
            <w:r>
              <w:rPr>
                <w:rFonts w:ascii="Arial" w:cs="Arial" w:eastAsia="Arial" w:hAnsi="Arial"/>
                <w:sz w:val="16"/>
                <w:szCs w:val="16"/>
                <w:color w:val="0E2A35"/>
              </w:rPr>
              <w:t>Net Sales</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40.0%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8"/>
              <w:spacing w:after="0"/>
              <w:rPr>
                <w:sz w:val="20"/>
                <w:szCs w:val="20"/>
                <w:color w:val="auto"/>
              </w:rPr>
            </w:pPr>
            <w:r>
              <w:rPr>
                <w:rFonts w:ascii="Arial" w:cs="Arial" w:eastAsia="Arial" w:hAnsi="Arial"/>
                <w:sz w:val="16"/>
                <w:szCs w:val="16"/>
                <w:color w:val="0E2A35"/>
                <w:w w:val="98"/>
              </w:rPr>
              <w:t>1,399,100</w:t>
            </w:r>
          </w:p>
        </w:tc>
        <w:tc>
          <w:tcPr>
            <w:tcW w:w="980" w:type="dxa"/>
            <w:vAlign w:val="bottom"/>
          </w:tcPr>
          <w:p>
            <w:pPr>
              <w:jc w:val="right"/>
              <w:spacing w:after="0"/>
              <w:rPr>
                <w:sz w:val="20"/>
                <w:szCs w:val="20"/>
                <w:color w:val="auto"/>
              </w:rPr>
            </w:pPr>
            <w:r>
              <w:rPr>
                <w:rFonts w:ascii="Arial" w:cs="Arial" w:eastAsia="Arial" w:hAnsi="Arial"/>
                <w:sz w:val="16"/>
                <w:szCs w:val="16"/>
                <w:color w:val="0E2A35"/>
              </w:rPr>
              <w:t>$1,613,100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1,679,000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26"/>
              <w:spacing w:after="0"/>
              <w:rPr>
                <w:sz w:val="20"/>
                <w:szCs w:val="20"/>
                <w:color w:val="auto"/>
              </w:rPr>
            </w:pPr>
            <w:r>
              <w:rPr>
                <w:rFonts w:ascii="Arial" w:cs="Arial" w:eastAsia="Arial" w:hAnsi="Arial"/>
                <w:sz w:val="16"/>
                <w:szCs w:val="16"/>
                <w:color w:val="0E2A35"/>
                <w:w w:val="95"/>
              </w:rPr>
              <w:t>1,810,600</w:t>
            </w:r>
          </w:p>
        </w:tc>
        <w:tc>
          <w:tcPr>
            <w:tcW w:w="24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center"/>
              <w:ind w:right="187"/>
              <w:spacing w:after="0"/>
              <w:rPr>
                <w:sz w:val="20"/>
                <w:szCs w:val="20"/>
                <w:color w:val="auto"/>
              </w:rPr>
            </w:pPr>
            <w:r>
              <w:rPr>
                <w:rFonts w:ascii="Arial" w:cs="Arial" w:eastAsia="Arial" w:hAnsi="Arial"/>
                <w:sz w:val="16"/>
                <w:szCs w:val="16"/>
                <w:color w:val="0E2A35"/>
              </w:rPr>
              <w:t>1,996,830</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80.0%</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Operating Income</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50.0%</w:t>
            </w:r>
          </w:p>
        </w:tc>
        <w:tc>
          <w:tcPr>
            <w:tcW w:w="18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8"/>
              <w:spacing w:after="0"/>
              <w:rPr>
                <w:sz w:val="20"/>
                <w:szCs w:val="20"/>
                <w:color w:val="auto"/>
              </w:rPr>
            </w:pPr>
            <w:r>
              <w:rPr>
                <w:rFonts w:ascii="Arial" w:cs="Arial" w:eastAsia="Arial" w:hAnsi="Arial"/>
                <w:sz w:val="16"/>
                <w:szCs w:val="16"/>
                <w:color w:val="0E2A35"/>
              </w:rPr>
              <w:t>98,200</w:t>
            </w:r>
          </w:p>
        </w:tc>
        <w:tc>
          <w:tcPr>
            <w:tcW w:w="980" w:type="dxa"/>
            <w:vAlign w:val="bottom"/>
          </w:tcPr>
          <w:p>
            <w:pPr>
              <w:jc w:val="right"/>
              <w:spacing w:after="0"/>
              <w:rPr>
                <w:sz w:val="20"/>
                <w:szCs w:val="20"/>
                <w:color w:val="auto"/>
              </w:rPr>
            </w:pPr>
            <w:r>
              <w:rPr>
                <w:rFonts w:ascii="Arial" w:cs="Arial" w:eastAsia="Arial" w:hAnsi="Arial"/>
                <w:sz w:val="16"/>
                <w:szCs w:val="16"/>
                <w:color w:val="0E2A35"/>
              </w:rPr>
              <w:t>$125,300</w:t>
            </w:r>
          </w:p>
        </w:tc>
        <w:tc>
          <w:tcPr>
            <w:tcW w:w="220" w:type="dxa"/>
            <w:vAlign w:val="bottom"/>
          </w:tcPr>
          <w:p>
            <w:pPr>
              <w:ind w:left="20"/>
              <w:spacing w:after="0"/>
              <w:rPr>
                <w:sz w:val="20"/>
                <w:szCs w:val="20"/>
                <w:color w:val="auto"/>
              </w:rPr>
            </w:pPr>
            <w:r>
              <w:rPr>
                <w:rFonts w:ascii="Arial" w:cs="Arial" w:eastAsia="Arial" w:hAnsi="Arial"/>
                <w:sz w:val="16"/>
                <w:szCs w:val="16"/>
                <w:color w:val="0E2A35"/>
              </w:rPr>
              <w:t>—</w:t>
            </w:r>
          </w:p>
        </w:tc>
        <w:tc>
          <w:tcPr>
            <w:tcW w:w="860" w:type="dxa"/>
            <w:vAlign w:val="bottom"/>
          </w:tcPr>
          <w:p>
            <w:pPr>
              <w:spacing w:after="0"/>
              <w:rPr>
                <w:sz w:val="20"/>
                <w:szCs w:val="20"/>
                <w:color w:val="auto"/>
              </w:rPr>
            </w:pPr>
            <w:r>
              <w:rPr>
                <w:rFonts w:ascii="Arial" w:cs="Arial" w:eastAsia="Arial" w:hAnsi="Arial"/>
                <w:sz w:val="16"/>
                <w:szCs w:val="16"/>
                <w:color w:val="0E2A35"/>
              </w:rPr>
              <w:t>136,500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00" w:type="dxa"/>
            <w:vAlign w:val="bottom"/>
          </w:tcPr>
          <w:p>
            <w:pPr>
              <w:jc w:val="right"/>
              <w:ind w:right="206"/>
              <w:spacing w:after="0"/>
              <w:rPr>
                <w:sz w:val="20"/>
                <w:szCs w:val="20"/>
                <w:color w:val="auto"/>
              </w:rPr>
            </w:pPr>
            <w:r>
              <w:rPr>
                <w:rFonts w:ascii="Arial" w:cs="Arial" w:eastAsia="Arial" w:hAnsi="Arial"/>
                <w:sz w:val="16"/>
                <w:szCs w:val="16"/>
                <w:color w:val="0E2A35"/>
              </w:rPr>
              <w:t>150,500</w:t>
            </w:r>
          </w:p>
        </w:tc>
        <w:tc>
          <w:tcPr>
            <w:tcW w:w="240" w:type="dxa"/>
            <w:vAlign w:val="bottom"/>
          </w:tcPr>
          <w:p>
            <w:pPr>
              <w:jc w:val="right"/>
              <w:spacing w:after="0"/>
              <w:rPr>
                <w:sz w:val="20"/>
                <w:szCs w:val="20"/>
                <w:color w:val="auto"/>
              </w:rPr>
            </w:pPr>
            <w:r>
              <w:rPr>
                <w:rFonts w:ascii="Arial" w:cs="Arial" w:eastAsia="Arial" w:hAnsi="Arial"/>
                <w:sz w:val="16"/>
                <w:szCs w:val="16"/>
                <w:color w:val="0E2A35"/>
              </w:rPr>
              <w:t>$</w:t>
            </w:r>
          </w:p>
        </w:tc>
        <w:tc>
          <w:tcPr>
            <w:tcW w:w="1060" w:type="dxa"/>
            <w:vAlign w:val="bottom"/>
          </w:tcPr>
          <w:p>
            <w:pPr>
              <w:jc w:val="right"/>
              <w:ind w:right="267"/>
              <w:spacing w:after="0"/>
              <w:rPr>
                <w:sz w:val="20"/>
                <w:szCs w:val="20"/>
                <w:color w:val="auto"/>
              </w:rPr>
            </w:pPr>
            <w:r>
              <w:rPr>
                <w:rFonts w:ascii="Arial" w:cs="Arial" w:eastAsia="Arial" w:hAnsi="Arial"/>
                <w:sz w:val="16"/>
                <w:szCs w:val="16"/>
                <w:color w:val="0E2A35"/>
              </w:rPr>
              <w:t>222,432</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100.0%</w:t>
            </w:r>
          </w:p>
        </w:tc>
      </w:tr>
      <w:tr>
        <w:trPr>
          <w:trHeight w:val="101"/>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060" w:type="dxa"/>
            <w:vAlign w:val="bottom"/>
            <w:tcBorders>
              <w:bottom w:val="single" w:sz="8" w:color="0E2A35"/>
            </w:tcBorders>
            <w:gridSpan w:val="3"/>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ind w:left="120"/>
              <w:spacing w:after="0"/>
              <w:rPr>
                <w:sz w:val="20"/>
                <w:szCs w:val="20"/>
                <w:color w:val="auto"/>
              </w:rPr>
            </w:pPr>
            <w:r>
              <w:rPr>
                <w:rFonts w:ascii="Arial" w:cs="Arial" w:eastAsia="Arial" w:hAnsi="Arial"/>
                <w:sz w:val="16"/>
                <w:szCs w:val="16"/>
                <w:color w:val="0E2A35"/>
              </w:rPr>
              <w:t>Net Working Capital</w:t>
            </w:r>
          </w:p>
        </w:tc>
        <w:tc>
          <w:tcPr>
            <w:tcW w:w="840" w:type="dxa"/>
            <w:vAlign w:val="bottom"/>
          </w:tcPr>
          <w:p>
            <w:pPr>
              <w:jc w:val="right"/>
              <w:ind w:right="44"/>
              <w:spacing w:after="0"/>
              <w:rPr>
                <w:sz w:val="20"/>
                <w:szCs w:val="20"/>
                <w:color w:val="auto"/>
              </w:rPr>
            </w:pPr>
            <w:r>
              <w:rPr>
                <w:rFonts w:ascii="Arial" w:cs="Arial" w:eastAsia="Arial" w:hAnsi="Arial"/>
                <w:sz w:val="16"/>
                <w:szCs w:val="16"/>
                <w:color w:val="0E2A35"/>
              </w:rPr>
              <w:t>10.0%</w:t>
            </w:r>
          </w:p>
        </w:tc>
        <w:tc>
          <w:tcPr>
            <w:tcW w:w="1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6"/>
                <w:szCs w:val="16"/>
                <w:color w:val="0E2A35"/>
              </w:rPr>
              <w:t>12.7%</w:t>
            </w:r>
          </w:p>
        </w:tc>
        <w:tc>
          <w:tcPr>
            <w:tcW w:w="2060" w:type="dxa"/>
            <w:vAlign w:val="bottom"/>
            <w:gridSpan w:val="3"/>
          </w:tcPr>
          <w:p>
            <w:pPr>
              <w:jc w:val="center"/>
              <w:spacing w:after="0"/>
              <w:rPr>
                <w:sz w:val="20"/>
                <w:szCs w:val="20"/>
                <w:color w:val="auto"/>
              </w:rPr>
            </w:pPr>
            <w:r>
              <w:rPr>
                <w:rFonts w:ascii="Arial" w:cs="Arial" w:eastAsia="Arial" w:hAnsi="Arial"/>
                <w:sz w:val="16"/>
                <w:szCs w:val="16"/>
                <w:color w:val="0E2A35"/>
              </w:rPr>
              <w:t>11.2% — 10.8%</w:t>
            </w:r>
          </w:p>
        </w:tc>
        <w:tc>
          <w:tcPr>
            <w:tcW w:w="22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6"/>
                <w:szCs w:val="16"/>
                <w:color w:val="0E2A35"/>
              </w:rPr>
              <w:t>9.9%</w:t>
            </w:r>
          </w:p>
        </w:tc>
        <w:tc>
          <w:tcPr>
            <w:tcW w:w="2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Arial" w:cs="Arial" w:eastAsia="Arial" w:hAnsi="Arial"/>
                <w:sz w:val="16"/>
                <w:szCs w:val="16"/>
                <w:color w:val="0E2A35"/>
              </w:rPr>
              <w:t>11.8%</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7.2%</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300" w:type="dxa"/>
            <w:vAlign w:val="bottom"/>
            <w:tcBorders>
              <w:bottom w:val="single" w:sz="8" w:color="0E2A35"/>
            </w:tcBorders>
            <w:gridSpan w:val="3"/>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3"/>
          </w:tcPr>
          <w:p>
            <w:pPr>
              <w:ind w:left="420"/>
              <w:spacing w:after="0"/>
              <w:rPr>
                <w:sz w:val="20"/>
                <w:szCs w:val="20"/>
                <w:color w:val="auto"/>
              </w:rPr>
            </w:pPr>
            <w:r>
              <w:rPr>
                <w:rFonts w:ascii="Arial" w:cs="Arial" w:eastAsia="Arial" w:hAnsi="Arial"/>
                <w:sz w:val="16"/>
                <w:szCs w:val="16"/>
                <w:color w:val="0E2A35"/>
              </w:rPr>
              <w:t>Total Payout Percentage</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187.2%</w:t>
            </w:r>
          </w:p>
        </w:tc>
      </w:tr>
      <w:tr>
        <w:trPr>
          <w:trHeight w:val="100"/>
        </w:trPr>
        <w:tc>
          <w:tcPr>
            <w:tcW w:w="17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2300" w:type="dxa"/>
            <w:vAlign w:val="bottom"/>
            <w:tcBorders>
              <w:bottom w:val="single" w:sz="8" w:color="0E2A35"/>
            </w:tcBorders>
            <w:gridSpan w:val="3"/>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r>
      <w:tr>
        <w:trPr>
          <w:trHeight w:val="298"/>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3"/>
          </w:tcPr>
          <w:p>
            <w:pPr>
              <w:ind w:left="420"/>
              <w:spacing w:after="0"/>
              <w:rPr>
                <w:sz w:val="20"/>
                <w:szCs w:val="20"/>
                <w:color w:val="auto"/>
              </w:rPr>
            </w:pPr>
            <w:r>
              <w:rPr>
                <w:rFonts w:ascii="Arial" w:cs="Arial" w:eastAsia="Arial" w:hAnsi="Arial"/>
                <w:sz w:val="16"/>
                <w:szCs w:val="16"/>
                <w:color w:val="0E2A35"/>
              </w:rPr>
              <w:t>30% of Total Percentage</w:t>
            </w:r>
          </w:p>
        </w:tc>
        <w:tc>
          <w:tcPr>
            <w:tcW w:w="920" w:type="dxa"/>
            <w:vAlign w:val="bottom"/>
          </w:tcPr>
          <w:p>
            <w:pPr>
              <w:jc w:val="right"/>
              <w:ind w:right="6"/>
              <w:spacing w:after="0"/>
              <w:rPr>
                <w:sz w:val="20"/>
                <w:szCs w:val="20"/>
                <w:color w:val="auto"/>
              </w:rPr>
            </w:pPr>
            <w:r>
              <w:rPr>
                <w:rFonts w:ascii="Arial" w:cs="Arial" w:eastAsia="Arial" w:hAnsi="Arial"/>
                <w:sz w:val="16"/>
                <w:szCs w:val="16"/>
                <w:color w:val="0E2A35"/>
              </w:rPr>
              <w:t>56.2%</w:t>
            </w:r>
          </w:p>
        </w:tc>
      </w:tr>
      <w:tr>
        <w:trPr>
          <w:trHeight w:val="46"/>
        </w:trPr>
        <w:tc>
          <w:tcPr>
            <w:tcW w:w="176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180" w:type="dxa"/>
            <w:vAlign w:val="bottom"/>
            <w:tcBorders>
              <w:bottom w:val="single" w:sz="8" w:color="0E2A35"/>
            </w:tcBorders>
          </w:tcPr>
          <w:p>
            <w:pPr>
              <w:spacing w:after="0"/>
              <w:rPr>
                <w:sz w:val="4"/>
                <w:szCs w:val="4"/>
                <w:color w:val="auto"/>
              </w:rPr>
            </w:pPr>
          </w:p>
        </w:tc>
        <w:tc>
          <w:tcPr>
            <w:tcW w:w="1000" w:type="dxa"/>
            <w:vAlign w:val="bottom"/>
            <w:tcBorders>
              <w:bottom w:val="single" w:sz="8" w:color="0E2A35"/>
            </w:tcBorders>
          </w:tcPr>
          <w:p>
            <w:pPr>
              <w:spacing w:after="0"/>
              <w:rPr>
                <w:sz w:val="4"/>
                <w:szCs w:val="4"/>
                <w:color w:val="auto"/>
              </w:rPr>
            </w:pPr>
          </w:p>
        </w:tc>
        <w:tc>
          <w:tcPr>
            <w:tcW w:w="98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860" w:type="dxa"/>
            <w:vAlign w:val="bottom"/>
            <w:tcBorders>
              <w:bottom w:val="single" w:sz="8" w:color="0E2A35"/>
            </w:tcBorders>
          </w:tcPr>
          <w:p>
            <w:pPr>
              <w:spacing w:after="0"/>
              <w:rPr>
                <w:sz w:val="4"/>
                <w:szCs w:val="4"/>
                <w:color w:val="auto"/>
              </w:rPr>
            </w:pPr>
          </w:p>
        </w:tc>
        <w:tc>
          <w:tcPr>
            <w:tcW w:w="220" w:type="dxa"/>
            <w:vAlign w:val="bottom"/>
            <w:tcBorders>
              <w:bottom w:val="single" w:sz="8" w:color="0E2A35"/>
            </w:tcBorders>
          </w:tcPr>
          <w:p>
            <w:pPr>
              <w:spacing w:after="0"/>
              <w:rPr>
                <w:sz w:val="4"/>
                <w:szCs w:val="4"/>
                <w:color w:val="auto"/>
              </w:rPr>
            </w:pPr>
          </w:p>
        </w:tc>
        <w:tc>
          <w:tcPr>
            <w:tcW w:w="1000" w:type="dxa"/>
            <w:vAlign w:val="bottom"/>
            <w:tcBorders>
              <w:bottom w:val="single" w:sz="8" w:color="0E2A35"/>
            </w:tcBorders>
          </w:tcPr>
          <w:p>
            <w:pPr>
              <w:spacing w:after="0"/>
              <w:rPr>
                <w:sz w:val="4"/>
                <w:szCs w:val="4"/>
                <w:color w:val="auto"/>
              </w:rPr>
            </w:pPr>
          </w:p>
        </w:tc>
        <w:tc>
          <w:tcPr>
            <w:tcW w:w="240" w:type="dxa"/>
            <w:vAlign w:val="bottom"/>
            <w:tcBorders>
              <w:bottom w:val="single" w:sz="8" w:color="0E2A35"/>
            </w:tcBorders>
          </w:tcPr>
          <w:p>
            <w:pPr>
              <w:spacing w:after="0"/>
              <w:rPr>
                <w:sz w:val="4"/>
                <w:szCs w:val="4"/>
                <w:color w:val="auto"/>
              </w:rPr>
            </w:pPr>
          </w:p>
        </w:tc>
        <w:tc>
          <w:tcPr>
            <w:tcW w:w="1060" w:type="dxa"/>
            <w:vAlign w:val="bottom"/>
            <w:tcBorders>
              <w:bottom w:val="single" w:sz="8" w:color="0E2A35"/>
            </w:tcBorders>
          </w:tcPr>
          <w:p>
            <w:pPr>
              <w:spacing w:after="0"/>
              <w:rPr>
                <w:sz w:val="4"/>
                <w:szCs w:val="4"/>
                <w:color w:val="auto"/>
              </w:rPr>
            </w:pPr>
          </w:p>
        </w:tc>
        <w:tc>
          <w:tcPr>
            <w:tcW w:w="92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opportunity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Messrs. Bower’s and Hazelton’s financial performance is based upon the Winnebago Outdoors and Winnebago-Brand RVs business units, respectively; and the Financial Performance metrics are weighted: (i)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The second 6-Month Fiscal Year OICP period is weighted at 30% of the overall OICP weighting.</w:t>
      </w:r>
    </w:p>
    <w:p>
      <w:pPr>
        <w:spacing w:after="0" w:line="182" w:lineRule="exact"/>
        <w:rPr>
          <w:sz w:val="20"/>
          <w:szCs w:val="20"/>
          <w:color w:val="auto"/>
        </w:rPr>
      </w:pPr>
    </w:p>
    <w:p>
      <w:pPr>
        <w:ind w:left="860" w:right="920"/>
        <w:spacing w:after="0" w:line="257" w:lineRule="auto"/>
        <w:rPr>
          <w:sz w:val="20"/>
          <w:szCs w:val="20"/>
          <w:color w:val="auto"/>
        </w:rPr>
      </w:pPr>
      <w:r>
        <w:rPr>
          <w:rFonts w:ascii="Arial" w:cs="Arial" w:eastAsia="Arial" w:hAnsi="Arial"/>
          <w:sz w:val="16"/>
          <w:szCs w:val="16"/>
          <w:color w:val="0E2A35"/>
        </w:rPr>
        <w:t>Enterprise-Wide Financial Performance Metrics (65% of the OICP for Messrs. Happe, Hughes, Bower and Hazelton) for all Three Performance Periods - Total Financial Results</w:t>
      </w:r>
      <w:r>
        <w:rPr>
          <w:rFonts w:ascii="Arial" w:cs="Arial" w:eastAsia="Arial" w:hAnsi="Arial"/>
          <w:sz w:val="26"/>
          <w:szCs w:val="26"/>
          <w:color w:val="0E2A35"/>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-54610</wp:posOffset>
            </wp:positionV>
            <wp:extent cx="5897880" cy="394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97880" cy="394335"/>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3"/>
          <w:szCs w:val="13"/>
          <w:b w:val="1"/>
          <w:bCs w:val="1"/>
          <w:color w:val="FFFFFF"/>
        </w:rPr>
        <w:t>Actual Total</w:t>
      </w:r>
    </w:p>
    <w:p>
      <w:pPr>
        <w:jc w:val="center"/>
        <w:ind w:left="7120"/>
        <w:spacing w:after="0" w:line="216" w:lineRule="auto"/>
        <w:rPr>
          <w:sz w:val="20"/>
          <w:szCs w:val="20"/>
          <w:color w:val="auto"/>
        </w:rPr>
      </w:pPr>
      <w:r>
        <w:rPr>
          <w:rFonts w:ascii="Arial" w:cs="Arial" w:eastAsia="Arial" w:hAnsi="Arial"/>
          <w:sz w:val="13"/>
          <w:szCs w:val="13"/>
          <w:b w:val="1"/>
          <w:bCs w:val="1"/>
          <w:color w:val="FFFFFF"/>
        </w:rPr>
        <w:t>Financial Payout</w:t>
      </w:r>
    </w:p>
    <w:p>
      <w:pPr>
        <w:jc w:val="center"/>
        <w:ind w:left="7120"/>
        <w:spacing w:after="0"/>
        <w:rPr>
          <w:sz w:val="20"/>
          <w:szCs w:val="20"/>
          <w:color w:val="auto"/>
        </w:rPr>
      </w:pPr>
      <w:r>
        <w:rPr>
          <w:rFonts w:ascii="Arial" w:cs="Arial" w:eastAsia="Arial" w:hAnsi="Arial"/>
          <w:sz w:val="13"/>
          <w:szCs w:val="13"/>
          <w:b w:val="1"/>
          <w:bCs w:val="1"/>
          <w:color w:val="FFFFFF"/>
        </w:rPr>
        <w:t>% (Weighted)</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7760" w:type="dxa"/>
            <w:vAlign w:val="bottom"/>
          </w:tcPr>
          <w:p>
            <w:pPr>
              <w:ind w:left="2280"/>
              <w:spacing w:after="0"/>
              <w:rPr>
                <w:sz w:val="20"/>
                <w:szCs w:val="20"/>
                <w:color w:val="auto"/>
              </w:rPr>
            </w:pPr>
            <w:r>
              <w:rPr>
                <w:rFonts w:ascii="Arial" w:cs="Arial" w:eastAsia="Arial" w:hAnsi="Arial"/>
                <w:sz w:val="16"/>
                <w:szCs w:val="16"/>
                <w:color w:val="0E2A35"/>
              </w:rPr>
              <w:t>Total Fiscal Year Financial Performance Metrics Payout Percentage</w:t>
            </w:r>
          </w:p>
        </w:tc>
        <w:tc>
          <w:tcPr>
            <w:tcW w:w="1520" w:type="dxa"/>
            <w:vAlign w:val="bottom"/>
          </w:tcPr>
          <w:p>
            <w:pPr>
              <w:jc w:val="right"/>
              <w:ind w:right="200"/>
              <w:spacing w:after="0"/>
              <w:rPr>
                <w:sz w:val="20"/>
                <w:szCs w:val="20"/>
                <w:color w:val="auto"/>
              </w:rPr>
            </w:pPr>
            <w:r>
              <w:rPr>
                <w:rFonts w:ascii="Arial" w:cs="Arial" w:eastAsia="Arial" w:hAnsi="Arial"/>
                <w:sz w:val="16"/>
                <w:szCs w:val="16"/>
                <w:color w:val="0E2A35"/>
              </w:rPr>
              <w:t>187.0%</w:t>
            </w:r>
          </w:p>
        </w:tc>
      </w:tr>
      <w:tr>
        <w:trPr>
          <w:trHeight w:val="46"/>
        </w:trPr>
        <w:tc>
          <w:tcPr>
            <w:tcW w:w="7760" w:type="dxa"/>
            <w:vAlign w:val="bottom"/>
            <w:tcBorders>
              <w:bottom w:val="single" w:sz="8" w:color="0E2A35"/>
            </w:tcBorders>
          </w:tcPr>
          <w:p>
            <w:pPr>
              <w:spacing w:after="0"/>
              <w:rPr>
                <w:sz w:val="4"/>
                <w:szCs w:val="4"/>
                <w:color w:val="auto"/>
              </w:rPr>
            </w:pPr>
          </w:p>
        </w:tc>
        <w:tc>
          <w:tcPr>
            <w:tcW w:w="1520" w:type="dxa"/>
            <w:vAlign w:val="bottom"/>
            <w:tcBorders>
              <w:bottom w:val="single" w:sz="8" w:color="0E2A35"/>
            </w:tcBorders>
          </w:tcPr>
          <w:p>
            <w:pPr>
              <w:spacing w:after="0"/>
              <w:rPr>
                <w:sz w:val="4"/>
                <w:szCs w:val="4"/>
                <w:color w:val="auto"/>
              </w:rPr>
            </w:pPr>
          </w:p>
        </w:tc>
      </w:tr>
    </w:tbl>
    <w:p>
      <w:pPr>
        <w:spacing w:after="0" w:line="102" w:lineRule="exact"/>
        <w:rPr>
          <w:sz w:val="20"/>
          <w:szCs w:val="20"/>
          <w:color w:val="auto"/>
        </w:rPr>
      </w:pPr>
    </w:p>
    <w:p>
      <w:pPr>
        <w:ind w:left="1220" w:right="940" w:hanging="360"/>
        <w:spacing w:after="0" w:line="230" w:lineRule="auto"/>
        <w:tabs>
          <w:tab w:leader="none" w:pos="122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35% of his target bonus opportunities tied to individualized annual objectives, which are assessed by the CEO (or, the committee, in the case of the CEO), and the proposed bonus amount is approved by the committee.</w:t>
      </w:r>
    </w:p>
    <w:p>
      <w:pPr>
        <w:spacing w:after="0" w:line="37" w:lineRule="exact"/>
        <w:rPr>
          <w:rFonts w:ascii="Arial" w:cs="Arial" w:eastAsia="Arial" w:hAnsi="Arial"/>
          <w:sz w:val="13"/>
          <w:szCs w:val="13"/>
          <w:color w:val="0E2A35"/>
        </w:rPr>
      </w:pPr>
    </w:p>
    <w:p>
      <w:pPr>
        <w:ind w:left="1220" w:right="1000" w:hanging="360"/>
        <w:spacing w:after="0" w:line="230" w:lineRule="auto"/>
        <w:tabs>
          <w:tab w:leader="none" w:pos="122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Messrs. Bower and Hazelton’s financial performance is based upon the Winnebago Outdoors and Winnebago-Brand RVs business units, respectively; and the financial performance metrics are weighted: (i) 40% Net Sales, (ii) 40% Operating Income and (iii) 20% Net Working Capital.</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This represents the combined total payout results for the full-year performance period and the two 6-month performance periods.</w:t>
      </w:r>
    </w:p>
    <w:p>
      <w:pPr>
        <w:spacing w:after="0" w:line="169"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The committee then considered and reviewed the CEO’s evaluation of each eligible NEO’s performance, other than himself. It determined that each of the participating NEOs outperformed expectations and earned his individual performance goal opportunity at a level of 105% of target for Mr. Bower, 110% of target for Mr. Hazelton and 107.5% of target for Mr. Hughes. The committee also determined, in its sole discretion, that Mr. Happe’s level of achievement of his individual objectives was 110% of target.</w:t>
      </w:r>
    </w:p>
    <w:p>
      <w:pPr>
        <w:spacing w:after="0" w:line="162" w:lineRule="exact"/>
        <w:rPr>
          <w:sz w:val="20"/>
          <w:szCs w:val="20"/>
          <w:color w:val="auto"/>
        </w:rPr>
      </w:pPr>
    </w:p>
    <w:p>
      <w:pPr>
        <w:ind w:left="860" w:right="1180"/>
        <w:spacing w:after="0" w:line="251" w:lineRule="auto"/>
        <w:rPr>
          <w:sz w:val="20"/>
          <w:szCs w:val="20"/>
          <w:color w:val="auto"/>
        </w:rPr>
      </w:pPr>
      <w:r>
        <w:rPr>
          <w:rFonts w:ascii="Arial" w:cs="Arial" w:eastAsia="Arial" w:hAnsi="Arial"/>
          <w:sz w:val="16"/>
          <w:szCs w:val="16"/>
          <w:color w:val="0E2A35"/>
        </w:rPr>
        <w:t>The following table reflects the fiscal 2021 year-end salary, target OICP percentage and dollar amounts, and actual OICP percentage and dollar amounts earned by the NEOs, each as approved by the committee. The calculated portion of the OICP payout related to achievement of the metrics set at the beginning of the fiscal year is reported in the Summary Compensation Table under the “Non-Equity Incentive Plan Compensation” column.</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2260" w:type="dxa"/>
            <w:vAlign w:val="bottom"/>
            <w:shd w:val="clear" w:color="auto" w:fill="0E2A35"/>
          </w:tcPr>
          <w:p>
            <w:pPr>
              <w:spacing w:after="0"/>
              <w:rPr>
                <w:sz w:val="22"/>
                <w:szCs w:val="22"/>
                <w:color w:val="auto"/>
              </w:rPr>
            </w:pPr>
          </w:p>
        </w:tc>
        <w:tc>
          <w:tcPr>
            <w:tcW w:w="2240" w:type="dxa"/>
            <w:vAlign w:val="bottom"/>
            <w:shd w:val="clear" w:color="auto" w:fill="0E2A35"/>
          </w:tcPr>
          <w:p>
            <w:pPr>
              <w:spacing w:after="0"/>
              <w:rPr>
                <w:sz w:val="22"/>
                <w:szCs w:val="22"/>
                <w:color w:val="auto"/>
              </w:rPr>
            </w:pPr>
          </w:p>
        </w:tc>
        <w:tc>
          <w:tcPr>
            <w:tcW w:w="2700" w:type="dxa"/>
            <w:vAlign w:val="bottom"/>
            <w:gridSpan w:val="2"/>
            <w:shd w:val="clear" w:color="auto" w:fill="0E2A35"/>
          </w:tcPr>
          <w:p>
            <w:pPr>
              <w:jc w:val="right"/>
              <w:ind w:right="670"/>
              <w:spacing w:after="0"/>
              <w:rPr>
                <w:sz w:val="20"/>
                <w:szCs w:val="20"/>
                <w:color w:val="auto"/>
              </w:rPr>
            </w:pPr>
            <w:r>
              <w:rPr>
                <w:rFonts w:ascii="Arial" w:cs="Arial" w:eastAsia="Arial" w:hAnsi="Arial"/>
                <w:sz w:val="13"/>
                <w:szCs w:val="13"/>
                <w:b w:val="1"/>
                <w:bCs w:val="1"/>
                <w:color w:val="FFFFFF"/>
              </w:rPr>
              <w:t>Fiscal 2021 Target OICP</w:t>
            </w:r>
          </w:p>
        </w:tc>
        <w:tc>
          <w:tcPr>
            <w:tcW w:w="2080" w:type="dxa"/>
            <w:vAlign w:val="bottom"/>
            <w:gridSpan w:val="2"/>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Fiscal 2021 Actual OICP</w:t>
            </w:r>
          </w:p>
        </w:tc>
      </w:tr>
      <w:tr>
        <w:trPr>
          <w:trHeight w:val="318"/>
        </w:trPr>
        <w:tc>
          <w:tcPr>
            <w:tcW w:w="2260" w:type="dxa"/>
            <w:vAlign w:val="bottom"/>
            <w:shd w:val="clear" w:color="auto" w:fill="0E2A35"/>
          </w:tcPr>
          <w:p>
            <w:pPr>
              <w:spacing w:after="0"/>
              <w:rPr>
                <w:sz w:val="24"/>
                <w:szCs w:val="24"/>
                <w:color w:val="auto"/>
              </w:rPr>
            </w:pPr>
          </w:p>
        </w:tc>
        <w:tc>
          <w:tcPr>
            <w:tcW w:w="2240" w:type="dxa"/>
            <w:vAlign w:val="bottom"/>
            <w:shd w:val="clear" w:color="auto" w:fill="0E2A35"/>
          </w:tcPr>
          <w:p>
            <w:pPr>
              <w:jc w:val="right"/>
              <w:ind w:right="391"/>
              <w:spacing w:after="0"/>
              <w:rPr>
                <w:sz w:val="20"/>
                <w:szCs w:val="20"/>
                <w:color w:val="auto"/>
              </w:rPr>
            </w:pPr>
            <w:r>
              <w:rPr>
                <w:rFonts w:ascii="Arial" w:cs="Arial" w:eastAsia="Arial" w:hAnsi="Arial"/>
                <w:sz w:val="13"/>
                <w:szCs w:val="13"/>
                <w:b w:val="1"/>
                <w:bCs w:val="1"/>
                <w:color w:val="FFFFFF"/>
              </w:rPr>
              <w:t>Fiscal 2021</w:t>
            </w:r>
          </w:p>
        </w:tc>
        <w:tc>
          <w:tcPr>
            <w:tcW w:w="1160" w:type="dxa"/>
            <w:vAlign w:val="bottom"/>
            <w:shd w:val="clear" w:color="auto" w:fill="0E2A35"/>
          </w:tcPr>
          <w:p>
            <w:pPr>
              <w:spacing w:after="0"/>
              <w:rPr>
                <w:sz w:val="24"/>
                <w:szCs w:val="24"/>
                <w:color w:val="auto"/>
              </w:rPr>
            </w:pPr>
          </w:p>
        </w:tc>
        <w:tc>
          <w:tcPr>
            <w:tcW w:w="1540" w:type="dxa"/>
            <w:vAlign w:val="bottom"/>
            <w:shd w:val="clear" w:color="auto" w:fill="0E2A35"/>
          </w:tcPr>
          <w:p>
            <w:pPr>
              <w:spacing w:after="0"/>
              <w:rPr>
                <w:sz w:val="24"/>
                <w:szCs w:val="24"/>
                <w:color w:val="auto"/>
              </w:rPr>
            </w:pPr>
          </w:p>
        </w:tc>
        <w:tc>
          <w:tcPr>
            <w:tcW w:w="1000" w:type="dxa"/>
            <w:vAlign w:val="bottom"/>
            <w:shd w:val="clear" w:color="auto" w:fill="0E2A35"/>
          </w:tcPr>
          <w:p>
            <w:pPr>
              <w:spacing w:after="0"/>
              <w:rPr>
                <w:sz w:val="24"/>
                <w:szCs w:val="24"/>
                <w:color w:val="auto"/>
              </w:rPr>
            </w:pPr>
          </w:p>
        </w:tc>
        <w:tc>
          <w:tcPr>
            <w:tcW w:w="1080" w:type="dxa"/>
            <w:vAlign w:val="bottom"/>
            <w:shd w:val="clear" w:color="auto" w:fill="0E2A35"/>
          </w:tcPr>
          <w:p>
            <w:pPr>
              <w:spacing w:after="0"/>
              <w:rPr>
                <w:sz w:val="24"/>
                <w:szCs w:val="24"/>
                <w:color w:val="auto"/>
              </w:rPr>
            </w:pPr>
          </w:p>
        </w:tc>
      </w:tr>
      <w:tr>
        <w:trPr>
          <w:trHeight w:val="168"/>
        </w:trPr>
        <w:tc>
          <w:tcPr>
            <w:tcW w:w="226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2240" w:type="dxa"/>
            <w:vAlign w:val="bottom"/>
            <w:shd w:val="clear" w:color="auto" w:fill="0E2A35"/>
          </w:tcPr>
          <w:p>
            <w:pPr>
              <w:jc w:val="right"/>
              <w:ind w:right="191"/>
              <w:spacing w:after="0"/>
              <w:rPr>
                <w:sz w:val="20"/>
                <w:szCs w:val="20"/>
                <w:color w:val="auto"/>
              </w:rPr>
            </w:pPr>
            <w:r>
              <w:rPr>
                <w:rFonts w:ascii="Arial" w:cs="Arial" w:eastAsia="Arial" w:hAnsi="Arial"/>
                <w:sz w:val="13"/>
                <w:szCs w:val="13"/>
                <w:b w:val="1"/>
                <w:bCs w:val="1"/>
                <w:color w:val="FFFFFF"/>
              </w:rPr>
              <w:t>Eligible Earnings</w:t>
            </w:r>
          </w:p>
        </w:tc>
        <w:tc>
          <w:tcPr>
            <w:tcW w:w="1160" w:type="dxa"/>
            <w:vAlign w:val="bottom"/>
            <w:shd w:val="clear" w:color="auto" w:fill="0E2A35"/>
          </w:tcPr>
          <w:p>
            <w:pPr>
              <w:jc w:val="right"/>
              <w:ind w:right="192"/>
              <w:spacing w:after="0"/>
              <w:rPr>
                <w:sz w:val="20"/>
                <w:szCs w:val="20"/>
                <w:color w:val="auto"/>
              </w:rPr>
            </w:pPr>
            <w:r>
              <w:rPr>
                <w:rFonts w:ascii="Arial" w:cs="Arial" w:eastAsia="Arial" w:hAnsi="Arial"/>
                <w:sz w:val="13"/>
                <w:szCs w:val="13"/>
                <w:b w:val="1"/>
                <w:bCs w:val="1"/>
                <w:color w:val="FFFFFF"/>
              </w:rPr>
              <w:t>% of Salary</w:t>
            </w:r>
          </w:p>
        </w:tc>
        <w:tc>
          <w:tcPr>
            <w:tcW w:w="1540" w:type="dxa"/>
            <w:vAlign w:val="bottom"/>
            <w:shd w:val="clear" w:color="auto" w:fill="0E2A35"/>
          </w:tcPr>
          <w:p>
            <w:pPr>
              <w:jc w:val="right"/>
              <w:ind w:right="430"/>
              <w:spacing w:after="0"/>
              <w:rPr>
                <w:sz w:val="20"/>
                <w:szCs w:val="20"/>
                <w:color w:val="auto"/>
              </w:rPr>
            </w:pPr>
            <w:r>
              <w:rPr>
                <w:rFonts w:ascii="Arial" w:cs="Arial" w:eastAsia="Arial" w:hAnsi="Arial"/>
                <w:sz w:val="13"/>
                <w:szCs w:val="13"/>
                <w:b w:val="1"/>
                <w:bCs w:val="1"/>
                <w:color w:val="FFFFFF"/>
              </w:rPr>
              <w:t>Target Award</w:t>
            </w:r>
          </w:p>
        </w:tc>
        <w:tc>
          <w:tcPr>
            <w:tcW w:w="1000" w:type="dxa"/>
            <w:vAlign w:val="bottom"/>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w w:val="98"/>
              </w:rPr>
              <w:t>% of Target</w:t>
            </w:r>
          </w:p>
        </w:tc>
        <w:tc>
          <w:tcPr>
            <w:tcW w:w="1080" w:type="dxa"/>
            <w:vAlign w:val="bottom"/>
            <w:shd w:val="clear" w:color="auto" w:fill="0E2A35"/>
          </w:tcPr>
          <w:p>
            <w:pPr>
              <w:jc w:val="right"/>
              <w:ind w:right="210"/>
              <w:spacing w:after="0"/>
              <w:rPr>
                <w:sz w:val="20"/>
                <w:szCs w:val="20"/>
                <w:color w:val="auto"/>
              </w:rPr>
            </w:pPr>
            <w:r>
              <w:rPr>
                <w:rFonts w:ascii="Arial" w:cs="Arial" w:eastAsia="Arial" w:hAnsi="Arial"/>
                <w:sz w:val="13"/>
                <w:szCs w:val="13"/>
                <w:b w:val="1"/>
                <w:bCs w:val="1"/>
                <w:color w:val="FFFFFF"/>
              </w:rPr>
              <w:t>Payout</w:t>
            </w:r>
          </w:p>
        </w:tc>
      </w:tr>
      <w:tr>
        <w:trPr>
          <w:trHeight w:val="97"/>
        </w:trPr>
        <w:tc>
          <w:tcPr>
            <w:tcW w:w="2260" w:type="dxa"/>
            <w:vAlign w:val="bottom"/>
            <w:shd w:val="clear" w:color="auto" w:fill="0E2A35"/>
          </w:tcPr>
          <w:p>
            <w:pPr>
              <w:spacing w:after="0"/>
              <w:rPr>
                <w:sz w:val="8"/>
                <w:szCs w:val="8"/>
                <w:color w:val="auto"/>
              </w:rPr>
            </w:pPr>
          </w:p>
        </w:tc>
        <w:tc>
          <w:tcPr>
            <w:tcW w:w="2240" w:type="dxa"/>
            <w:vAlign w:val="bottom"/>
            <w:shd w:val="clear" w:color="auto" w:fill="0E2A35"/>
          </w:tcPr>
          <w:p>
            <w:pPr>
              <w:spacing w:after="0"/>
              <w:rPr>
                <w:sz w:val="8"/>
                <w:szCs w:val="8"/>
                <w:color w:val="auto"/>
              </w:rPr>
            </w:pPr>
          </w:p>
        </w:tc>
        <w:tc>
          <w:tcPr>
            <w:tcW w:w="1160" w:type="dxa"/>
            <w:vAlign w:val="bottom"/>
            <w:shd w:val="clear" w:color="auto" w:fill="0E2A35"/>
          </w:tcPr>
          <w:p>
            <w:pPr>
              <w:spacing w:after="0"/>
              <w:rPr>
                <w:sz w:val="8"/>
                <w:szCs w:val="8"/>
                <w:color w:val="auto"/>
              </w:rPr>
            </w:pPr>
          </w:p>
        </w:tc>
        <w:tc>
          <w:tcPr>
            <w:tcW w:w="1540" w:type="dxa"/>
            <w:vAlign w:val="bottom"/>
            <w:shd w:val="clear" w:color="auto" w:fill="0E2A35"/>
          </w:tcPr>
          <w:p>
            <w:pPr>
              <w:spacing w:after="0"/>
              <w:rPr>
                <w:sz w:val="8"/>
                <w:szCs w:val="8"/>
                <w:color w:val="auto"/>
              </w:rPr>
            </w:pPr>
          </w:p>
        </w:tc>
        <w:tc>
          <w:tcPr>
            <w:tcW w:w="1000" w:type="dxa"/>
            <w:vAlign w:val="bottom"/>
            <w:shd w:val="clear" w:color="auto" w:fill="0E2A35"/>
          </w:tcPr>
          <w:p>
            <w:pPr>
              <w:spacing w:after="0"/>
              <w:rPr>
                <w:sz w:val="8"/>
                <w:szCs w:val="8"/>
                <w:color w:val="auto"/>
              </w:rPr>
            </w:pPr>
          </w:p>
        </w:tc>
        <w:tc>
          <w:tcPr>
            <w:tcW w:w="1080" w:type="dxa"/>
            <w:vAlign w:val="bottom"/>
            <w:shd w:val="clear" w:color="auto" w:fill="0E2A35"/>
          </w:tcPr>
          <w:p>
            <w:pPr>
              <w:spacing w:after="0"/>
              <w:rPr>
                <w:sz w:val="8"/>
                <w:szCs w:val="8"/>
                <w:color w:val="auto"/>
              </w:rPr>
            </w:pPr>
          </w:p>
        </w:tc>
      </w:tr>
      <w:tr>
        <w:trPr>
          <w:trHeight w:val="373"/>
        </w:trPr>
        <w:tc>
          <w:tcPr>
            <w:tcW w:w="226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Michael J. Happe</w:t>
            </w:r>
          </w:p>
        </w:tc>
        <w:tc>
          <w:tcPr>
            <w:tcW w:w="2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$900,000</w:t>
            </w:r>
          </w:p>
        </w:tc>
        <w:tc>
          <w:tcPr>
            <w:tcW w:w="1160" w:type="dxa"/>
            <w:vAlign w:val="bottom"/>
            <w:tcBorders>
              <w:bottom w:val="single" w:sz="8" w:color="0E2A35"/>
            </w:tcBorders>
          </w:tcPr>
          <w:p>
            <w:pPr>
              <w:jc w:val="right"/>
              <w:ind w:right="252"/>
              <w:spacing w:after="0"/>
              <w:rPr>
                <w:sz w:val="20"/>
                <w:szCs w:val="20"/>
                <w:color w:val="auto"/>
              </w:rPr>
            </w:pPr>
            <w:r>
              <w:rPr>
                <w:rFonts w:ascii="Arial" w:cs="Arial" w:eastAsia="Arial" w:hAnsi="Arial"/>
                <w:sz w:val="28"/>
                <w:szCs w:val="28"/>
                <w:color w:val="0E2A35"/>
                <w:vertAlign w:val="subscript"/>
              </w:rPr>
              <w:t>N/A</w:t>
            </w:r>
            <w:r>
              <w:rPr>
                <w:rFonts w:ascii="Arial" w:cs="Arial" w:eastAsia="Arial" w:hAnsi="Arial"/>
                <w:sz w:val="12"/>
                <w:szCs w:val="12"/>
                <w:color w:val="0E2A35"/>
              </w:rPr>
              <w:t>(1)</w:t>
            </w:r>
          </w:p>
        </w:tc>
        <w:tc>
          <w:tcPr>
            <w:tcW w:w="1540" w:type="dxa"/>
            <w:vAlign w:val="bottom"/>
            <w:tcBorders>
              <w:bottom w:val="single" w:sz="8" w:color="0E2A35"/>
            </w:tcBorders>
          </w:tcPr>
          <w:p>
            <w:pPr>
              <w:jc w:val="right"/>
              <w:ind w:right="370"/>
              <w:spacing w:after="0"/>
              <w:rPr>
                <w:sz w:val="20"/>
                <w:szCs w:val="20"/>
                <w:color w:val="auto"/>
              </w:rPr>
            </w:pPr>
            <w:r>
              <w:rPr>
                <w:rFonts w:ascii="Arial" w:cs="Arial" w:eastAsia="Arial" w:hAnsi="Arial"/>
                <w:sz w:val="14"/>
                <w:szCs w:val="14"/>
                <w:color w:val="0E2A35"/>
              </w:rPr>
              <w:t>$1,000,000</w:t>
            </w:r>
          </w:p>
        </w:tc>
        <w:tc>
          <w:tcPr>
            <w:tcW w:w="1000" w:type="dxa"/>
            <w:vAlign w:val="bottom"/>
            <w:tcBorders>
              <w:bottom w:val="single" w:sz="8" w:color="0E2A35"/>
            </w:tcBorders>
          </w:tcPr>
          <w:p>
            <w:pPr>
              <w:jc w:val="right"/>
              <w:ind w:right="191"/>
              <w:spacing w:after="0"/>
              <w:rPr>
                <w:sz w:val="20"/>
                <w:szCs w:val="20"/>
                <w:color w:val="auto"/>
              </w:rPr>
            </w:pPr>
            <w:r>
              <w:rPr>
                <w:rFonts w:ascii="Arial" w:cs="Arial" w:eastAsia="Arial" w:hAnsi="Arial"/>
                <w:sz w:val="14"/>
                <w:szCs w:val="14"/>
                <w:color w:val="0E2A35"/>
              </w:rPr>
              <w:t>160.0</w:t>
            </w:r>
          </w:p>
        </w:tc>
        <w:tc>
          <w:tcPr>
            <w:tcW w:w="108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$1,600,000</w:t>
            </w:r>
          </w:p>
        </w:tc>
      </w:tr>
      <w:tr>
        <w:trPr>
          <w:trHeight w:val="284"/>
        </w:trPr>
        <w:tc>
          <w:tcPr>
            <w:tcW w:w="2260" w:type="dxa"/>
            <w:vAlign w:val="bottom"/>
          </w:tcPr>
          <w:p>
            <w:pPr>
              <w:ind w:left="160"/>
              <w:spacing w:after="0"/>
              <w:rPr>
                <w:sz w:val="20"/>
                <w:szCs w:val="20"/>
                <w:color w:val="auto"/>
              </w:rPr>
            </w:pPr>
            <w:r>
              <w:rPr>
                <w:rFonts w:ascii="Arial" w:cs="Arial" w:eastAsia="Arial" w:hAnsi="Arial"/>
                <w:sz w:val="14"/>
                <w:szCs w:val="14"/>
                <w:color w:val="0E2A35"/>
              </w:rPr>
              <w:t>Bryan L. Hughes</w:t>
            </w:r>
          </w:p>
        </w:tc>
        <w:tc>
          <w:tcPr>
            <w:tcW w:w="2240" w:type="dxa"/>
            <w:vAlign w:val="bottom"/>
          </w:tcPr>
          <w:p>
            <w:pPr>
              <w:jc w:val="right"/>
              <w:ind w:right="171"/>
              <w:spacing w:after="0"/>
              <w:rPr>
                <w:sz w:val="20"/>
                <w:szCs w:val="20"/>
                <w:color w:val="auto"/>
              </w:rPr>
            </w:pPr>
            <w:r>
              <w:rPr>
                <w:rFonts w:ascii="Arial" w:cs="Arial" w:eastAsia="Arial" w:hAnsi="Arial"/>
                <w:sz w:val="14"/>
                <w:szCs w:val="14"/>
                <w:color w:val="0E2A35"/>
              </w:rPr>
              <w:t>525,000</w:t>
            </w:r>
          </w:p>
        </w:tc>
        <w:tc>
          <w:tcPr>
            <w:tcW w:w="1160" w:type="dxa"/>
            <w:vAlign w:val="bottom"/>
          </w:tcPr>
          <w:p>
            <w:pPr>
              <w:jc w:val="right"/>
              <w:ind w:right="272"/>
              <w:spacing w:after="0"/>
              <w:rPr>
                <w:sz w:val="20"/>
                <w:szCs w:val="20"/>
                <w:color w:val="auto"/>
              </w:rPr>
            </w:pPr>
            <w:r>
              <w:rPr>
                <w:rFonts w:ascii="Arial" w:cs="Arial" w:eastAsia="Arial" w:hAnsi="Arial"/>
                <w:sz w:val="14"/>
                <w:szCs w:val="14"/>
                <w:color w:val="0E2A35"/>
              </w:rPr>
              <w:t>80.0%</w:t>
            </w:r>
          </w:p>
        </w:tc>
        <w:tc>
          <w:tcPr>
            <w:tcW w:w="1540" w:type="dxa"/>
            <w:vAlign w:val="bottom"/>
          </w:tcPr>
          <w:p>
            <w:pPr>
              <w:jc w:val="right"/>
              <w:ind w:right="370"/>
              <w:spacing w:after="0"/>
              <w:rPr>
                <w:sz w:val="20"/>
                <w:szCs w:val="20"/>
                <w:color w:val="auto"/>
              </w:rPr>
            </w:pPr>
            <w:r>
              <w:rPr>
                <w:rFonts w:ascii="Arial" w:cs="Arial" w:eastAsia="Arial" w:hAnsi="Arial"/>
                <w:sz w:val="14"/>
                <w:szCs w:val="14"/>
                <w:color w:val="0E2A35"/>
              </w:rPr>
              <w:t>420,000</w:t>
            </w:r>
          </w:p>
        </w:tc>
        <w:tc>
          <w:tcPr>
            <w:tcW w:w="1000" w:type="dxa"/>
            <w:vAlign w:val="bottom"/>
          </w:tcPr>
          <w:p>
            <w:pPr>
              <w:jc w:val="right"/>
              <w:ind w:right="191"/>
              <w:spacing w:after="0"/>
              <w:rPr>
                <w:sz w:val="20"/>
                <w:szCs w:val="20"/>
                <w:color w:val="auto"/>
              </w:rPr>
            </w:pPr>
            <w:r>
              <w:rPr>
                <w:rFonts w:ascii="Arial" w:cs="Arial" w:eastAsia="Arial" w:hAnsi="Arial"/>
                <w:sz w:val="14"/>
                <w:szCs w:val="14"/>
                <w:color w:val="0E2A35"/>
              </w:rPr>
              <w:t>159.2</w:t>
            </w:r>
          </w:p>
        </w:tc>
        <w:tc>
          <w:tcPr>
            <w:tcW w:w="1080" w:type="dxa"/>
            <w:vAlign w:val="bottom"/>
          </w:tcPr>
          <w:p>
            <w:pPr>
              <w:jc w:val="right"/>
              <w:ind w:right="10"/>
              <w:spacing w:after="0"/>
              <w:rPr>
                <w:sz w:val="20"/>
                <w:szCs w:val="20"/>
                <w:color w:val="auto"/>
              </w:rPr>
            </w:pPr>
            <w:r>
              <w:rPr>
                <w:rFonts w:ascii="Arial" w:cs="Arial" w:eastAsia="Arial" w:hAnsi="Arial"/>
                <w:sz w:val="14"/>
                <w:szCs w:val="14"/>
                <w:color w:val="0E2A35"/>
              </w:rPr>
              <w:t>668,535</w:t>
            </w:r>
          </w:p>
        </w:tc>
      </w:tr>
      <w:tr>
        <w:trPr>
          <w:trHeight w:val="93"/>
        </w:trPr>
        <w:tc>
          <w:tcPr>
            <w:tcW w:w="2260" w:type="dxa"/>
            <w:vAlign w:val="bottom"/>
            <w:tcBorders>
              <w:bottom w:val="single" w:sz="8" w:color="0E2A35"/>
            </w:tcBorders>
          </w:tcPr>
          <w:p>
            <w:pPr>
              <w:spacing w:after="0"/>
              <w:rPr>
                <w:sz w:val="8"/>
                <w:szCs w:val="8"/>
                <w:color w:val="auto"/>
              </w:rPr>
            </w:pPr>
          </w:p>
        </w:tc>
        <w:tc>
          <w:tcPr>
            <w:tcW w:w="2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r>
      <w:tr>
        <w:trPr>
          <w:trHeight w:val="278"/>
        </w:trPr>
        <w:tc>
          <w:tcPr>
            <w:tcW w:w="2260" w:type="dxa"/>
            <w:vAlign w:val="bottom"/>
          </w:tcPr>
          <w:p>
            <w:pPr>
              <w:ind w:left="160"/>
              <w:spacing w:after="0"/>
              <w:rPr>
                <w:sz w:val="20"/>
                <w:szCs w:val="20"/>
                <w:color w:val="auto"/>
              </w:rPr>
            </w:pPr>
            <w:r>
              <w:rPr>
                <w:rFonts w:ascii="Arial" w:cs="Arial" w:eastAsia="Arial" w:hAnsi="Arial"/>
                <w:sz w:val="14"/>
                <w:szCs w:val="14"/>
                <w:color w:val="0E2A35"/>
              </w:rPr>
              <w:t>Huw S. Bower</w:t>
            </w:r>
          </w:p>
        </w:tc>
        <w:tc>
          <w:tcPr>
            <w:tcW w:w="2240" w:type="dxa"/>
            <w:vAlign w:val="bottom"/>
          </w:tcPr>
          <w:p>
            <w:pPr>
              <w:jc w:val="right"/>
              <w:ind w:right="171"/>
              <w:spacing w:after="0"/>
              <w:rPr>
                <w:sz w:val="20"/>
                <w:szCs w:val="20"/>
                <w:color w:val="auto"/>
              </w:rPr>
            </w:pPr>
            <w:r>
              <w:rPr>
                <w:rFonts w:ascii="Arial" w:cs="Arial" w:eastAsia="Arial" w:hAnsi="Arial"/>
                <w:sz w:val="14"/>
                <w:szCs w:val="14"/>
                <w:color w:val="0E2A35"/>
              </w:rPr>
              <w:t>486,539</w:t>
            </w:r>
          </w:p>
        </w:tc>
        <w:tc>
          <w:tcPr>
            <w:tcW w:w="1160" w:type="dxa"/>
            <w:vAlign w:val="bottom"/>
          </w:tcPr>
          <w:p>
            <w:pPr>
              <w:jc w:val="right"/>
              <w:ind w:right="252"/>
              <w:spacing w:after="0"/>
              <w:rPr>
                <w:sz w:val="20"/>
                <w:szCs w:val="20"/>
                <w:color w:val="auto"/>
              </w:rPr>
            </w:pPr>
            <w:r>
              <w:rPr>
                <w:rFonts w:ascii="Arial" w:cs="Arial" w:eastAsia="Arial" w:hAnsi="Arial"/>
                <w:sz w:val="14"/>
                <w:szCs w:val="14"/>
                <w:color w:val="0E2A35"/>
              </w:rPr>
              <w:t>85.0%</w:t>
            </w:r>
          </w:p>
        </w:tc>
        <w:tc>
          <w:tcPr>
            <w:tcW w:w="1540" w:type="dxa"/>
            <w:vAlign w:val="bottom"/>
          </w:tcPr>
          <w:p>
            <w:pPr>
              <w:jc w:val="right"/>
              <w:ind w:right="370"/>
              <w:spacing w:after="0"/>
              <w:rPr>
                <w:sz w:val="20"/>
                <w:szCs w:val="20"/>
                <w:color w:val="auto"/>
              </w:rPr>
            </w:pPr>
            <w:r>
              <w:rPr>
                <w:rFonts w:ascii="Arial" w:cs="Arial" w:eastAsia="Arial" w:hAnsi="Arial"/>
                <w:sz w:val="14"/>
                <w:szCs w:val="14"/>
                <w:color w:val="0E2A35"/>
              </w:rPr>
              <w:t>413,558</w:t>
            </w:r>
          </w:p>
        </w:tc>
        <w:tc>
          <w:tcPr>
            <w:tcW w:w="1000" w:type="dxa"/>
            <w:vAlign w:val="bottom"/>
          </w:tcPr>
          <w:p>
            <w:pPr>
              <w:jc w:val="right"/>
              <w:ind w:right="191"/>
              <w:spacing w:after="0"/>
              <w:rPr>
                <w:sz w:val="20"/>
                <w:szCs w:val="20"/>
                <w:color w:val="auto"/>
              </w:rPr>
            </w:pPr>
            <w:r>
              <w:rPr>
                <w:rFonts w:ascii="Arial" w:cs="Arial" w:eastAsia="Arial" w:hAnsi="Arial"/>
                <w:sz w:val="14"/>
                <w:szCs w:val="14"/>
                <w:color w:val="0E2A35"/>
              </w:rPr>
              <w:t>156.0</w:t>
            </w:r>
          </w:p>
        </w:tc>
        <w:tc>
          <w:tcPr>
            <w:tcW w:w="1080" w:type="dxa"/>
            <w:vAlign w:val="bottom"/>
          </w:tcPr>
          <w:p>
            <w:pPr>
              <w:jc w:val="right"/>
              <w:ind w:right="10"/>
              <w:spacing w:after="0"/>
              <w:rPr>
                <w:sz w:val="20"/>
                <w:szCs w:val="20"/>
                <w:color w:val="auto"/>
              </w:rPr>
            </w:pPr>
            <w:r>
              <w:rPr>
                <w:rFonts w:ascii="Arial" w:cs="Arial" w:eastAsia="Arial" w:hAnsi="Arial"/>
                <w:sz w:val="14"/>
                <w:szCs w:val="14"/>
                <w:color w:val="0E2A35"/>
              </w:rPr>
              <w:t>645,254</w:t>
            </w:r>
          </w:p>
        </w:tc>
      </w:tr>
      <w:tr>
        <w:trPr>
          <w:trHeight w:val="93"/>
        </w:trPr>
        <w:tc>
          <w:tcPr>
            <w:tcW w:w="2260" w:type="dxa"/>
            <w:vAlign w:val="bottom"/>
            <w:tcBorders>
              <w:bottom w:val="single" w:sz="8" w:color="0E2A35"/>
            </w:tcBorders>
          </w:tcPr>
          <w:p>
            <w:pPr>
              <w:spacing w:after="0"/>
              <w:rPr>
                <w:sz w:val="8"/>
                <w:szCs w:val="8"/>
                <w:color w:val="auto"/>
              </w:rPr>
            </w:pPr>
          </w:p>
        </w:tc>
        <w:tc>
          <w:tcPr>
            <w:tcW w:w="2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r>
      <w:tr>
        <w:trPr>
          <w:trHeight w:val="372"/>
        </w:trPr>
        <w:tc>
          <w:tcPr>
            <w:tcW w:w="226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Donald J. Clark</w:t>
            </w:r>
            <w:r>
              <w:rPr>
                <w:rFonts w:ascii="Arial" w:cs="Arial" w:eastAsia="Arial" w:hAnsi="Arial"/>
                <w:sz w:val="23"/>
                <w:szCs w:val="23"/>
                <w:color w:val="0E2A35"/>
                <w:vertAlign w:val="superscript"/>
              </w:rPr>
              <w:t>(2)</w:t>
            </w:r>
          </w:p>
        </w:tc>
        <w:tc>
          <w:tcPr>
            <w:tcW w:w="224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N/A</w:t>
            </w:r>
          </w:p>
        </w:tc>
        <w:tc>
          <w:tcPr>
            <w:tcW w:w="1160" w:type="dxa"/>
            <w:vAlign w:val="bottom"/>
            <w:tcBorders>
              <w:bottom w:val="single" w:sz="8" w:color="0E2A35"/>
            </w:tcBorders>
          </w:tcPr>
          <w:p>
            <w:pPr>
              <w:jc w:val="right"/>
              <w:ind w:right="392"/>
              <w:spacing w:after="0"/>
              <w:rPr>
                <w:sz w:val="20"/>
                <w:szCs w:val="20"/>
                <w:color w:val="auto"/>
              </w:rPr>
            </w:pPr>
            <w:r>
              <w:rPr>
                <w:rFonts w:ascii="Arial" w:cs="Arial" w:eastAsia="Arial" w:hAnsi="Arial"/>
                <w:sz w:val="14"/>
                <w:szCs w:val="14"/>
                <w:color w:val="0E2A35"/>
              </w:rPr>
              <w:t>N/A</w:t>
            </w:r>
          </w:p>
        </w:tc>
        <w:tc>
          <w:tcPr>
            <w:tcW w:w="1540" w:type="dxa"/>
            <w:vAlign w:val="bottom"/>
            <w:tcBorders>
              <w:bottom w:val="single" w:sz="8" w:color="0E2A35"/>
            </w:tcBorders>
          </w:tcPr>
          <w:p>
            <w:pPr>
              <w:jc w:val="right"/>
              <w:ind w:right="370"/>
              <w:spacing w:after="0"/>
              <w:rPr>
                <w:sz w:val="20"/>
                <w:szCs w:val="20"/>
                <w:color w:val="auto"/>
              </w:rPr>
            </w:pPr>
            <w:r>
              <w:rPr>
                <w:rFonts w:ascii="Arial" w:cs="Arial" w:eastAsia="Arial" w:hAnsi="Arial"/>
                <w:sz w:val="14"/>
                <w:szCs w:val="14"/>
                <w:color w:val="0E2A35"/>
              </w:rPr>
              <w:t>N/A</w:t>
            </w:r>
          </w:p>
        </w:tc>
        <w:tc>
          <w:tcPr>
            <w:tcW w:w="1000" w:type="dxa"/>
            <w:vAlign w:val="bottom"/>
            <w:tcBorders>
              <w:bottom w:val="single" w:sz="8" w:color="0E2A35"/>
            </w:tcBorders>
          </w:tcPr>
          <w:p>
            <w:pPr>
              <w:jc w:val="right"/>
              <w:ind w:right="191"/>
              <w:spacing w:after="0"/>
              <w:rPr>
                <w:sz w:val="20"/>
                <w:szCs w:val="20"/>
                <w:color w:val="auto"/>
              </w:rPr>
            </w:pPr>
            <w:r>
              <w:rPr>
                <w:rFonts w:ascii="Arial" w:cs="Arial" w:eastAsia="Arial" w:hAnsi="Arial"/>
                <w:sz w:val="14"/>
                <w:szCs w:val="14"/>
                <w:color w:val="0E2A35"/>
              </w:rPr>
              <w:t>N/A</w:t>
            </w:r>
          </w:p>
        </w:tc>
        <w:tc>
          <w:tcPr>
            <w:tcW w:w="1080" w:type="dxa"/>
            <w:vAlign w:val="bottom"/>
            <w:tcBorders>
              <w:bottom w:val="single" w:sz="8" w:color="0E2A35"/>
            </w:tcBorders>
          </w:tcPr>
          <w:p>
            <w:pPr>
              <w:jc w:val="right"/>
              <w:ind w:right="10"/>
              <w:spacing w:after="0"/>
              <w:rPr>
                <w:sz w:val="20"/>
                <w:szCs w:val="20"/>
                <w:color w:val="auto"/>
              </w:rPr>
            </w:pPr>
            <w:r>
              <w:rPr>
                <w:rFonts w:ascii="Arial" w:cs="Arial" w:eastAsia="Arial" w:hAnsi="Arial"/>
                <w:sz w:val="14"/>
                <w:szCs w:val="14"/>
                <w:color w:val="0E2A35"/>
              </w:rPr>
              <w:t>N/A</w:t>
            </w:r>
          </w:p>
        </w:tc>
      </w:tr>
      <w:tr>
        <w:trPr>
          <w:trHeight w:val="279"/>
        </w:trPr>
        <w:tc>
          <w:tcPr>
            <w:tcW w:w="2260" w:type="dxa"/>
            <w:vAlign w:val="bottom"/>
          </w:tcPr>
          <w:p>
            <w:pPr>
              <w:ind w:left="160"/>
              <w:spacing w:after="0"/>
              <w:rPr>
                <w:sz w:val="20"/>
                <w:szCs w:val="20"/>
                <w:color w:val="auto"/>
              </w:rPr>
            </w:pPr>
            <w:r>
              <w:rPr>
                <w:rFonts w:ascii="Arial" w:cs="Arial" w:eastAsia="Arial" w:hAnsi="Arial"/>
                <w:sz w:val="14"/>
                <w:szCs w:val="14"/>
                <w:color w:val="0E2A35"/>
              </w:rPr>
              <w:t>Brian D. Hazelton</w:t>
            </w:r>
          </w:p>
        </w:tc>
        <w:tc>
          <w:tcPr>
            <w:tcW w:w="2240" w:type="dxa"/>
            <w:vAlign w:val="bottom"/>
          </w:tcPr>
          <w:p>
            <w:pPr>
              <w:jc w:val="right"/>
              <w:ind w:right="171"/>
              <w:spacing w:after="0"/>
              <w:rPr>
                <w:sz w:val="20"/>
                <w:szCs w:val="20"/>
                <w:color w:val="auto"/>
              </w:rPr>
            </w:pPr>
            <w:r>
              <w:rPr>
                <w:rFonts w:ascii="Arial" w:cs="Arial" w:eastAsia="Arial" w:hAnsi="Arial"/>
                <w:sz w:val="14"/>
                <w:szCs w:val="14"/>
                <w:color w:val="0E2A35"/>
              </w:rPr>
              <w:t>512,500</w:t>
            </w:r>
          </w:p>
        </w:tc>
        <w:tc>
          <w:tcPr>
            <w:tcW w:w="1160" w:type="dxa"/>
            <w:vAlign w:val="bottom"/>
          </w:tcPr>
          <w:p>
            <w:pPr>
              <w:jc w:val="right"/>
              <w:ind w:right="252"/>
              <w:spacing w:after="0"/>
              <w:rPr>
                <w:sz w:val="20"/>
                <w:szCs w:val="20"/>
                <w:color w:val="auto"/>
              </w:rPr>
            </w:pPr>
            <w:r>
              <w:rPr>
                <w:rFonts w:ascii="Arial" w:cs="Arial" w:eastAsia="Arial" w:hAnsi="Arial"/>
                <w:sz w:val="14"/>
                <w:szCs w:val="14"/>
                <w:color w:val="0E2A35"/>
              </w:rPr>
              <w:t>75.0%</w:t>
            </w:r>
          </w:p>
        </w:tc>
        <w:tc>
          <w:tcPr>
            <w:tcW w:w="1540" w:type="dxa"/>
            <w:vAlign w:val="bottom"/>
          </w:tcPr>
          <w:p>
            <w:pPr>
              <w:jc w:val="right"/>
              <w:ind w:right="370"/>
              <w:spacing w:after="0"/>
              <w:rPr>
                <w:sz w:val="20"/>
                <w:szCs w:val="20"/>
                <w:color w:val="auto"/>
              </w:rPr>
            </w:pPr>
            <w:r>
              <w:rPr>
                <w:rFonts w:ascii="Arial" w:cs="Arial" w:eastAsia="Arial" w:hAnsi="Arial"/>
                <w:sz w:val="14"/>
                <w:szCs w:val="14"/>
                <w:color w:val="0E2A35"/>
              </w:rPr>
              <w:t>384,375</w:t>
            </w:r>
          </w:p>
        </w:tc>
        <w:tc>
          <w:tcPr>
            <w:tcW w:w="1000" w:type="dxa"/>
            <w:vAlign w:val="bottom"/>
          </w:tcPr>
          <w:p>
            <w:pPr>
              <w:jc w:val="right"/>
              <w:ind w:right="191"/>
              <w:spacing w:after="0"/>
              <w:rPr>
                <w:sz w:val="20"/>
                <w:szCs w:val="20"/>
                <w:color w:val="auto"/>
              </w:rPr>
            </w:pPr>
            <w:r>
              <w:rPr>
                <w:rFonts w:ascii="Arial" w:cs="Arial" w:eastAsia="Arial" w:hAnsi="Arial"/>
                <w:sz w:val="14"/>
                <w:szCs w:val="14"/>
                <w:color w:val="0E2A35"/>
              </w:rPr>
              <w:t>159.1</w:t>
            </w:r>
          </w:p>
        </w:tc>
        <w:tc>
          <w:tcPr>
            <w:tcW w:w="1080" w:type="dxa"/>
            <w:vAlign w:val="bottom"/>
          </w:tcPr>
          <w:p>
            <w:pPr>
              <w:jc w:val="right"/>
              <w:ind w:right="10"/>
              <w:spacing w:after="0"/>
              <w:rPr>
                <w:sz w:val="20"/>
                <w:szCs w:val="20"/>
                <w:color w:val="auto"/>
              </w:rPr>
            </w:pPr>
            <w:r>
              <w:rPr>
                <w:rFonts w:ascii="Arial" w:cs="Arial" w:eastAsia="Arial" w:hAnsi="Arial"/>
                <w:sz w:val="14"/>
                <w:szCs w:val="14"/>
                <w:color w:val="0E2A35"/>
              </w:rPr>
              <w:t>611,694</w:t>
            </w:r>
          </w:p>
        </w:tc>
      </w:tr>
      <w:tr>
        <w:trPr>
          <w:trHeight w:val="39"/>
        </w:trPr>
        <w:tc>
          <w:tcPr>
            <w:tcW w:w="2260" w:type="dxa"/>
            <w:vAlign w:val="bottom"/>
            <w:tcBorders>
              <w:bottom w:val="single" w:sz="8" w:color="0E2A35"/>
            </w:tcBorders>
          </w:tcPr>
          <w:p>
            <w:pPr>
              <w:spacing w:after="0"/>
              <w:rPr>
                <w:sz w:val="3"/>
                <w:szCs w:val="3"/>
                <w:color w:val="auto"/>
              </w:rPr>
            </w:pPr>
          </w:p>
        </w:tc>
        <w:tc>
          <w:tcPr>
            <w:tcW w:w="22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540" w:type="dxa"/>
            <w:vAlign w:val="bottom"/>
            <w:tcBorders>
              <w:bottom w:val="single" w:sz="8" w:color="0E2A35"/>
            </w:tcBorders>
          </w:tcPr>
          <w:p>
            <w:pPr>
              <w:spacing w:after="0"/>
              <w:rPr>
                <w:sz w:val="3"/>
                <w:szCs w:val="3"/>
                <w:color w:val="auto"/>
              </w:rPr>
            </w:pPr>
          </w:p>
        </w:tc>
        <w:tc>
          <w:tcPr>
            <w:tcW w:w="100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-1516380</wp:posOffset>
            </wp:positionV>
            <wp:extent cx="2837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82" w:lineRule="exact"/>
        <w:rPr>
          <w:sz w:val="20"/>
          <w:szCs w:val="20"/>
          <w:color w:val="auto"/>
        </w:rPr>
      </w:pPr>
    </w:p>
    <w:p>
      <w:pPr>
        <w:ind w:left="1220" w:hanging="360"/>
        <w:spacing w:after="0"/>
        <w:tabs>
          <w:tab w:leader="none" w:pos="122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Mr. Happe’s target OICP is set at the listed target award amount and is not calculated as a percent of his eligible earnings.</w:t>
      </w:r>
    </w:p>
    <w:p>
      <w:pPr>
        <w:spacing w:after="0" w:line="39" w:lineRule="exact"/>
        <w:rPr>
          <w:rFonts w:ascii="Arial" w:cs="Arial" w:eastAsia="Arial" w:hAnsi="Arial"/>
          <w:sz w:val="13"/>
          <w:szCs w:val="13"/>
          <w:color w:val="0E2A35"/>
        </w:rPr>
      </w:pPr>
    </w:p>
    <w:p>
      <w:pPr>
        <w:ind w:left="1220" w:right="1040" w:hanging="360"/>
        <w:spacing w:after="0" w:line="246" w:lineRule="auto"/>
        <w:tabs>
          <w:tab w:leader="none" w:pos="1220" w:val="left"/>
        </w:tabs>
        <w:numPr>
          <w:ilvl w:val="0"/>
          <w:numId w:val="32"/>
        </w:numPr>
        <w:rPr>
          <w:rFonts w:ascii="Arial" w:cs="Arial" w:eastAsia="Arial" w:hAnsi="Arial"/>
          <w:sz w:val="12"/>
          <w:szCs w:val="12"/>
          <w:color w:val="0E2A35"/>
        </w:rPr>
      </w:pPr>
      <w:r>
        <w:rPr>
          <w:rFonts w:ascii="Arial" w:cs="Arial" w:eastAsia="Arial" w:hAnsi="Arial"/>
          <w:sz w:val="12"/>
          <w:szCs w:val="12"/>
          <w:color w:val="0E2A35"/>
        </w:rPr>
        <w:t>Mr. Clark does not participate in the OICP. For fiscal 2021, Mr. Clark received an incentive bonus of $10,119,403 under the Grand Design MIP that he participates in, which is an 83% increase compared to his fiscal 2020 bonus, based on the strong performance of Grand Design during fiscal 2021. Mr. Clark’s incentive under such plan is calculated as 3.5% of the pretax net income of Grand Design (before taking into account any bonus payments thereunder).</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9" w:name="page50"/>
    <w:bookmarkEnd w:id="4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Equity Awards</w:t>
      </w:r>
    </w:p>
    <w:p>
      <w:pPr>
        <w:spacing w:after="0" w:line="213" w:lineRule="exact"/>
        <w:rPr>
          <w:sz w:val="20"/>
          <w:szCs w:val="20"/>
          <w:color w:val="auto"/>
        </w:rPr>
      </w:pPr>
    </w:p>
    <w:p>
      <w:pPr>
        <w:ind w:left="860" w:right="1140"/>
        <w:spacing w:after="0" w:line="253" w:lineRule="auto"/>
        <w:rPr>
          <w:sz w:val="20"/>
          <w:szCs w:val="20"/>
          <w:color w:val="auto"/>
        </w:rPr>
      </w:pPr>
      <w:r>
        <w:rPr>
          <w:rFonts w:ascii="Arial" w:cs="Arial" w:eastAsia="Arial" w:hAnsi="Arial"/>
          <w:sz w:val="16"/>
          <w:szCs w:val="16"/>
          <w:color w:val="0E2A35"/>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61" w:lineRule="exact"/>
        <w:rPr>
          <w:sz w:val="20"/>
          <w:szCs w:val="20"/>
          <w:color w:val="auto"/>
        </w:rPr>
      </w:pPr>
    </w:p>
    <w:p>
      <w:pPr>
        <w:ind w:left="860" w:right="900"/>
        <w:spacing w:after="0" w:line="260" w:lineRule="auto"/>
        <w:rPr>
          <w:sz w:val="20"/>
          <w:szCs w:val="20"/>
          <w:color w:val="auto"/>
        </w:rPr>
      </w:pPr>
      <w:r>
        <w:rPr>
          <w:rFonts w:ascii="Arial" w:cs="Arial" w:eastAsia="Arial" w:hAnsi="Arial"/>
          <w:sz w:val="16"/>
          <w:szCs w:val="16"/>
          <w:color w:val="0E2A35"/>
        </w:rPr>
        <w:t>In fiscal 2021, we awarded long-term incentives under our 2019 Plan. We awarded equity in the form of annual LTIP performance share units, restricted stock units and stock options, as well as certain PSUs specific to fiscal 2021.</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LTIP / Performance Share Units</w:t>
      </w:r>
    </w:p>
    <w:p>
      <w:pPr>
        <w:spacing w:after="0" w:line="200" w:lineRule="exact"/>
        <w:rPr>
          <w:sz w:val="20"/>
          <w:szCs w:val="20"/>
          <w:color w:val="auto"/>
        </w:rPr>
      </w:pPr>
    </w:p>
    <w:p>
      <w:pPr>
        <w:ind w:left="860" w:right="1040"/>
        <w:spacing w:after="0" w:line="250" w:lineRule="auto"/>
        <w:rPr>
          <w:sz w:val="20"/>
          <w:szCs w:val="20"/>
          <w:color w:val="auto"/>
        </w:rPr>
      </w:pPr>
      <w:r>
        <w:rPr>
          <w:rFonts w:ascii="Arial" w:cs="Arial" w:eastAsia="Arial" w:hAnsi="Arial"/>
          <w:sz w:val="16"/>
          <w:szCs w:val="16"/>
          <w:color w:val="0E2A35"/>
        </w:rPr>
        <w:t>Each year, the committee establishes a three-year performance plan to promote our long-term growth and profitability and to attract and retain executives by providing the officers an opportunity for an incentive award consisting of performance shares of the Company’s common 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62"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In general, the awards are based upon our financial performance as measured against the specific three-year plan established by the committee. The committee has established financial measurements and weightings for each specific three-year plan (as set forth in the following chart).</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For the fiscal 2021-2023 LTIP performance share units, the committee selected the following Company performance metrics for</w:t>
      </w:r>
    </w:p>
    <w:p>
      <w:pPr>
        <w:ind w:left="860"/>
        <w:spacing w:after="0" w:line="208" w:lineRule="auto"/>
        <w:rPr>
          <w:sz w:val="20"/>
          <w:szCs w:val="20"/>
          <w:color w:val="auto"/>
        </w:rPr>
      </w:pPr>
      <w:r>
        <w:rPr>
          <w:rFonts w:ascii="Arial" w:cs="Arial" w:eastAsia="Arial" w:hAnsi="Arial"/>
          <w:sz w:val="16"/>
          <w:szCs w:val="16"/>
          <w:color w:val="0E2A35"/>
        </w:rPr>
        <w:t>Messrs. Happe, Hughes, Bower, and Hazelton</w:t>
      </w:r>
      <w:r>
        <w:rPr>
          <w:rFonts w:ascii="Arial" w:cs="Arial" w:eastAsia="Arial" w:hAnsi="Arial"/>
          <w:sz w:val="26"/>
          <w:szCs w:val="26"/>
          <w:color w:val="0E2A35"/>
          <w:vertAlign w:val="superscript"/>
        </w:rPr>
        <w:t>(1)</w:t>
      </w:r>
      <w:r>
        <w:rPr>
          <w:rFonts w:ascii="Arial" w:cs="Arial" w:eastAsia="Arial" w:hAnsi="Arial"/>
          <w:sz w:val="16"/>
          <w:szCs w:val="16"/>
          <w:color w:val="0E2A35"/>
        </w:rPr>
        <w:t>:</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9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Metric</w:t>
            </w:r>
          </w:p>
        </w:tc>
        <w:tc>
          <w:tcPr>
            <w:tcW w:w="4360" w:type="dxa"/>
            <w:vAlign w:val="bottom"/>
            <w:shd w:val="clear" w:color="auto" w:fill="0E2A35"/>
          </w:tcPr>
          <w:p>
            <w:pPr>
              <w:jc w:val="right"/>
              <w:ind w:right="51"/>
              <w:spacing w:after="0"/>
              <w:rPr>
                <w:sz w:val="20"/>
                <w:szCs w:val="20"/>
                <w:color w:val="auto"/>
              </w:rPr>
            </w:pPr>
            <w:r>
              <w:rPr>
                <w:rFonts w:ascii="Arial" w:cs="Arial" w:eastAsia="Arial" w:hAnsi="Arial"/>
                <w:sz w:val="13"/>
                <w:szCs w:val="13"/>
                <w:b w:val="1"/>
                <w:bCs w:val="1"/>
                <w:color w:val="FFFFFF"/>
              </w:rPr>
              <w:t>Weight</w:t>
            </w:r>
          </w:p>
        </w:tc>
      </w:tr>
      <w:tr>
        <w:trPr>
          <w:trHeight w:val="97"/>
        </w:trPr>
        <w:tc>
          <w:tcPr>
            <w:tcW w:w="4920" w:type="dxa"/>
            <w:vAlign w:val="bottom"/>
            <w:shd w:val="clear" w:color="auto" w:fill="0E2A35"/>
          </w:tcPr>
          <w:p>
            <w:pPr>
              <w:spacing w:after="0"/>
              <w:rPr>
                <w:sz w:val="8"/>
                <w:szCs w:val="8"/>
                <w:color w:val="auto"/>
              </w:rPr>
            </w:pPr>
          </w:p>
        </w:tc>
        <w:tc>
          <w:tcPr>
            <w:tcW w:w="4360" w:type="dxa"/>
            <w:vAlign w:val="bottom"/>
            <w:shd w:val="clear" w:color="auto" w:fill="0E2A35"/>
          </w:tcPr>
          <w:p>
            <w:pPr>
              <w:spacing w:after="0"/>
              <w:rPr>
                <w:sz w:val="8"/>
                <w:szCs w:val="8"/>
                <w:color w:val="auto"/>
              </w:rPr>
            </w:pPr>
          </w:p>
        </w:tc>
      </w:tr>
      <w:tr>
        <w:trPr>
          <w:trHeight w:val="285"/>
        </w:trPr>
        <w:tc>
          <w:tcPr>
            <w:tcW w:w="4920" w:type="dxa"/>
            <w:vAlign w:val="bottom"/>
          </w:tcPr>
          <w:p>
            <w:pPr>
              <w:ind w:left="140"/>
              <w:spacing w:after="0"/>
              <w:rPr>
                <w:sz w:val="20"/>
                <w:szCs w:val="20"/>
                <w:color w:val="auto"/>
              </w:rPr>
            </w:pPr>
            <w:r>
              <w:rPr>
                <w:rFonts w:ascii="Arial" w:cs="Arial" w:eastAsia="Arial" w:hAnsi="Arial"/>
                <w:sz w:val="14"/>
                <w:szCs w:val="14"/>
                <w:color w:val="0E2A35"/>
              </w:rPr>
              <w:t>Incentive ROIC</w:t>
            </w:r>
          </w:p>
        </w:tc>
        <w:tc>
          <w:tcPr>
            <w:tcW w:w="4360" w:type="dxa"/>
            <w:vAlign w:val="bottom"/>
          </w:tcPr>
          <w:p>
            <w:pPr>
              <w:jc w:val="right"/>
              <w:ind w:right="51"/>
              <w:spacing w:after="0"/>
              <w:rPr>
                <w:sz w:val="20"/>
                <w:szCs w:val="20"/>
                <w:color w:val="auto"/>
              </w:rPr>
            </w:pPr>
            <w:r>
              <w:rPr>
                <w:rFonts w:ascii="Arial" w:cs="Arial" w:eastAsia="Arial" w:hAnsi="Arial"/>
                <w:sz w:val="14"/>
                <w:szCs w:val="14"/>
                <w:color w:val="0E2A35"/>
              </w:rPr>
              <w:t>50%</w:t>
            </w:r>
          </w:p>
        </w:tc>
      </w:tr>
      <w:tr>
        <w:trPr>
          <w:trHeight w:val="93"/>
        </w:trPr>
        <w:tc>
          <w:tcPr>
            <w:tcW w:w="4920" w:type="dxa"/>
            <w:vAlign w:val="bottom"/>
            <w:tcBorders>
              <w:bottom w:val="single" w:sz="8" w:color="0E2A35"/>
            </w:tcBorders>
          </w:tcPr>
          <w:p>
            <w:pPr>
              <w:spacing w:after="0"/>
              <w:rPr>
                <w:sz w:val="8"/>
                <w:szCs w:val="8"/>
                <w:color w:val="auto"/>
              </w:rPr>
            </w:pPr>
          </w:p>
        </w:tc>
        <w:tc>
          <w:tcPr>
            <w:tcW w:w="4360" w:type="dxa"/>
            <w:vAlign w:val="bottom"/>
            <w:tcBorders>
              <w:bottom w:val="single" w:sz="8" w:color="0E2A35"/>
            </w:tcBorders>
          </w:tcPr>
          <w:p>
            <w:pPr>
              <w:spacing w:after="0"/>
              <w:rPr>
                <w:sz w:val="8"/>
                <w:szCs w:val="8"/>
                <w:color w:val="auto"/>
              </w:rPr>
            </w:pPr>
          </w:p>
        </w:tc>
      </w:tr>
      <w:tr>
        <w:trPr>
          <w:trHeight w:val="278"/>
        </w:trPr>
        <w:tc>
          <w:tcPr>
            <w:tcW w:w="4920" w:type="dxa"/>
            <w:vAlign w:val="bottom"/>
          </w:tcPr>
          <w:p>
            <w:pPr>
              <w:ind w:left="140"/>
              <w:spacing w:after="0"/>
              <w:rPr>
                <w:sz w:val="20"/>
                <w:szCs w:val="20"/>
                <w:color w:val="auto"/>
              </w:rPr>
            </w:pPr>
            <w:r>
              <w:rPr>
                <w:rFonts w:ascii="Arial" w:cs="Arial" w:eastAsia="Arial" w:hAnsi="Arial"/>
                <w:sz w:val="14"/>
                <w:szCs w:val="14"/>
                <w:color w:val="0E2A35"/>
              </w:rPr>
              <w:t>Incentive EPS</w:t>
            </w:r>
          </w:p>
        </w:tc>
        <w:tc>
          <w:tcPr>
            <w:tcW w:w="4360" w:type="dxa"/>
            <w:vAlign w:val="bottom"/>
          </w:tcPr>
          <w:p>
            <w:pPr>
              <w:jc w:val="right"/>
              <w:ind w:right="51"/>
              <w:spacing w:after="0"/>
              <w:rPr>
                <w:sz w:val="20"/>
                <w:szCs w:val="20"/>
                <w:color w:val="auto"/>
              </w:rPr>
            </w:pPr>
            <w:r>
              <w:rPr>
                <w:rFonts w:ascii="Arial" w:cs="Arial" w:eastAsia="Arial" w:hAnsi="Arial"/>
                <w:sz w:val="14"/>
                <w:szCs w:val="14"/>
                <w:color w:val="0E2A35"/>
              </w:rPr>
              <w:t>50%</w:t>
            </w:r>
          </w:p>
        </w:tc>
      </w:tr>
      <w:tr>
        <w:trPr>
          <w:trHeight w:val="39"/>
        </w:trPr>
        <w:tc>
          <w:tcPr>
            <w:tcW w:w="4920" w:type="dxa"/>
            <w:vAlign w:val="bottom"/>
            <w:tcBorders>
              <w:bottom w:val="single" w:sz="8" w:color="0E2A35"/>
            </w:tcBorders>
          </w:tcPr>
          <w:p>
            <w:pPr>
              <w:spacing w:after="0"/>
              <w:rPr>
                <w:sz w:val="3"/>
                <w:szCs w:val="3"/>
                <w:color w:val="auto"/>
              </w:rPr>
            </w:pPr>
          </w:p>
        </w:tc>
        <w:tc>
          <w:tcPr>
            <w:tcW w:w="436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200" w:hanging="360"/>
        <w:spacing w:after="0" w:line="230" w:lineRule="auto"/>
        <w:tabs>
          <w:tab w:leader="none" w:pos="1220" w:val="left"/>
        </w:tabs>
        <w:numPr>
          <w:ilvl w:val="0"/>
          <w:numId w:val="33"/>
        </w:numPr>
        <w:rPr>
          <w:rFonts w:ascii="Arial" w:cs="Arial" w:eastAsia="Arial" w:hAnsi="Arial"/>
          <w:sz w:val="13"/>
          <w:szCs w:val="13"/>
          <w:color w:val="0E2A35"/>
        </w:rPr>
      </w:pPr>
      <w:r>
        <w:rPr>
          <w:rFonts w:ascii="Arial" w:cs="Arial" w:eastAsia="Arial" w:hAnsi="Arial"/>
          <w:sz w:val="13"/>
          <w:szCs w:val="13"/>
          <w:color w:val="0E2A35"/>
        </w:rPr>
        <w:t>Mr. Hazelton served as SVP, Winnebago-brand RVs until his appointment to President, Newmar in August 2021, and has 50% of his fiscal 2021-2023 LTIP based upon the above Company performance metrics and 50% based upon the below Winnebago-branded RV performance metric.</w:t>
      </w:r>
    </w:p>
    <w:p>
      <w:pPr>
        <w:spacing w:after="0" w:line="167" w:lineRule="exact"/>
        <w:rPr>
          <w:sz w:val="20"/>
          <w:szCs w:val="20"/>
          <w:color w:val="auto"/>
        </w:rPr>
      </w:pPr>
    </w:p>
    <w:p>
      <w:pPr>
        <w:ind w:left="860" w:right="1000"/>
        <w:spacing w:after="0" w:line="227" w:lineRule="auto"/>
        <w:rPr>
          <w:sz w:val="20"/>
          <w:szCs w:val="20"/>
          <w:color w:val="auto"/>
        </w:rPr>
      </w:pPr>
      <w:r>
        <w:rPr>
          <w:rFonts w:ascii="Arial" w:cs="Arial" w:eastAsia="Arial" w:hAnsi="Arial"/>
          <w:sz w:val="16"/>
          <w:szCs w:val="16"/>
          <w:color w:val="0E2A35"/>
        </w:rPr>
        <w:t>For the fiscal 2021-2023 LTIP performance share units, the committee selected the following Winnebago-brand RV performance metrics for Mr. Hazelton</w:t>
      </w:r>
      <w:r>
        <w:rPr>
          <w:rFonts w:ascii="Arial" w:cs="Arial" w:eastAsia="Arial" w:hAnsi="Arial"/>
          <w:sz w:val="26"/>
          <w:szCs w:val="26"/>
          <w:color w:val="0E2A35"/>
          <w:vertAlign w:val="superscript"/>
        </w:rPr>
        <w:t>(1)</w:t>
      </w:r>
      <w:r>
        <w:rPr>
          <w:rFonts w:ascii="Arial" w:cs="Arial" w:eastAsia="Arial" w:hAnsi="Arial"/>
          <w:sz w:val="16"/>
          <w:szCs w:val="16"/>
          <w:color w:val="0E2A35"/>
        </w:rPr>
        <w:t>:</w:t>
      </w:r>
    </w:p>
    <w:p>
      <w:pPr>
        <w:spacing w:after="0" w:line="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00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Metric</w:t>
            </w:r>
          </w:p>
        </w:tc>
        <w:tc>
          <w:tcPr>
            <w:tcW w:w="4280" w:type="dxa"/>
            <w:vAlign w:val="bottom"/>
            <w:shd w:val="clear" w:color="auto" w:fill="0E2A35"/>
          </w:tcPr>
          <w:p>
            <w:pPr>
              <w:jc w:val="right"/>
              <w:ind w:right="73"/>
              <w:spacing w:after="0"/>
              <w:rPr>
                <w:sz w:val="20"/>
                <w:szCs w:val="20"/>
                <w:color w:val="auto"/>
              </w:rPr>
            </w:pPr>
            <w:r>
              <w:rPr>
                <w:rFonts w:ascii="Arial" w:cs="Arial" w:eastAsia="Arial" w:hAnsi="Arial"/>
                <w:sz w:val="13"/>
                <w:szCs w:val="13"/>
                <w:b w:val="1"/>
                <w:bCs w:val="1"/>
                <w:color w:val="FFFFFF"/>
              </w:rPr>
              <w:t>Weight</w:t>
            </w:r>
          </w:p>
        </w:tc>
      </w:tr>
      <w:tr>
        <w:trPr>
          <w:trHeight w:val="97"/>
        </w:trPr>
        <w:tc>
          <w:tcPr>
            <w:tcW w:w="5000" w:type="dxa"/>
            <w:vAlign w:val="bottom"/>
            <w:shd w:val="clear" w:color="auto" w:fill="0E2A35"/>
          </w:tcPr>
          <w:p>
            <w:pPr>
              <w:spacing w:after="0"/>
              <w:rPr>
                <w:sz w:val="8"/>
                <w:szCs w:val="8"/>
                <w:color w:val="auto"/>
              </w:rPr>
            </w:pPr>
          </w:p>
        </w:tc>
        <w:tc>
          <w:tcPr>
            <w:tcW w:w="4280" w:type="dxa"/>
            <w:vAlign w:val="bottom"/>
            <w:shd w:val="clear" w:color="auto" w:fill="0E2A35"/>
          </w:tcPr>
          <w:p>
            <w:pPr>
              <w:spacing w:after="0"/>
              <w:rPr>
                <w:sz w:val="8"/>
                <w:szCs w:val="8"/>
                <w:color w:val="auto"/>
              </w:rPr>
            </w:pPr>
          </w:p>
        </w:tc>
      </w:tr>
      <w:tr>
        <w:trPr>
          <w:trHeight w:val="285"/>
        </w:trPr>
        <w:tc>
          <w:tcPr>
            <w:tcW w:w="5000" w:type="dxa"/>
            <w:vAlign w:val="bottom"/>
          </w:tcPr>
          <w:p>
            <w:pPr>
              <w:ind w:left="140"/>
              <w:spacing w:after="0"/>
              <w:rPr>
                <w:sz w:val="20"/>
                <w:szCs w:val="20"/>
                <w:color w:val="auto"/>
              </w:rPr>
            </w:pPr>
            <w:r>
              <w:rPr>
                <w:rFonts w:ascii="Arial" w:cs="Arial" w:eastAsia="Arial" w:hAnsi="Arial"/>
                <w:sz w:val="14"/>
                <w:szCs w:val="14"/>
                <w:color w:val="0E2A35"/>
              </w:rPr>
              <w:t>Operating Income</w:t>
            </w:r>
          </w:p>
        </w:tc>
        <w:tc>
          <w:tcPr>
            <w:tcW w:w="4280" w:type="dxa"/>
            <w:vAlign w:val="bottom"/>
          </w:tcPr>
          <w:p>
            <w:pPr>
              <w:jc w:val="right"/>
              <w:ind w:right="33"/>
              <w:spacing w:after="0"/>
              <w:rPr>
                <w:sz w:val="20"/>
                <w:szCs w:val="20"/>
                <w:color w:val="auto"/>
              </w:rPr>
            </w:pPr>
            <w:r>
              <w:rPr>
                <w:rFonts w:ascii="Arial" w:cs="Arial" w:eastAsia="Arial" w:hAnsi="Arial"/>
                <w:sz w:val="14"/>
                <w:szCs w:val="14"/>
                <w:color w:val="0E2A35"/>
              </w:rPr>
              <w:t>100%</w:t>
            </w:r>
          </w:p>
        </w:tc>
      </w:tr>
      <w:tr>
        <w:trPr>
          <w:trHeight w:val="39"/>
        </w:trPr>
        <w:tc>
          <w:tcPr>
            <w:tcW w:w="5000" w:type="dxa"/>
            <w:vAlign w:val="bottom"/>
            <w:tcBorders>
              <w:bottom w:val="single" w:sz="8" w:color="0E2A35"/>
            </w:tcBorders>
          </w:tcPr>
          <w:p>
            <w:pPr>
              <w:spacing w:after="0"/>
              <w:rPr>
                <w:sz w:val="3"/>
                <w:szCs w:val="3"/>
                <w:color w:val="auto"/>
              </w:rPr>
            </w:pPr>
          </w:p>
        </w:tc>
        <w:tc>
          <w:tcPr>
            <w:tcW w:w="428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180" w:hanging="360"/>
        <w:spacing w:after="0" w:line="230" w:lineRule="auto"/>
        <w:tabs>
          <w:tab w:leader="none" w:pos="1220" w:val="left"/>
        </w:tabs>
        <w:numPr>
          <w:ilvl w:val="0"/>
          <w:numId w:val="34"/>
        </w:numPr>
        <w:rPr>
          <w:rFonts w:ascii="Arial" w:cs="Arial" w:eastAsia="Arial" w:hAnsi="Arial"/>
          <w:sz w:val="13"/>
          <w:szCs w:val="13"/>
          <w:color w:val="0E2A35"/>
        </w:rPr>
      </w:pPr>
      <w:r>
        <w:rPr>
          <w:rFonts w:ascii="Arial" w:cs="Arial" w:eastAsia="Arial" w:hAnsi="Arial"/>
          <w:sz w:val="13"/>
          <w:szCs w:val="13"/>
          <w:color w:val="0E2A35"/>
        </w:rPr>
        <w:t>Mr. Hazelton served as SVP, Winnebago-brand RVs until his appointment to President, Newmar in August 2021, and has 50% of his fiscal 2021 -2023 LTIP based upon the above Company performance metrics and 50% based upon the below Winnebago-branded RV performance metric.</w:t>
      </w:r>
    </w:p>
    <w:p>
      <w:pPr>
        <w:spacing w:after="0" w:line="167" w:lineRule="exact"/>
        <w:rPr>
          <w:sz w:val="20"/>
          <w:szCs w:val="20"/>
          <w:color w:val="auto"/>
        </w:rPr>
      </w:pPr>
    </w:p>
    <w:p>
      <w:pPr>
        <w:ind w:left="860" w:right="960"/>
        <w:spacing w:after="0" w:line="249" w:lineRule="auto"/>
        <w:rPr>
          <w:sz w:val="20"/>
          <w:szCs w:val="20"/>
          <w:color w:val="auto"/>
        </w:rPr>
      </w:pPr>
      <w:r>
        <w:rPr>
          <w:rFonts w:ascii="Arial" w:cs="Arial" w:eastAsia="Arial" w:hAnsi="Arial"/>
          <w:sz w:val="16"/>
          <w:szCs w:val="16"/>
          <w:color w:val="0E2A35"/>
        </w:rPr>
        <w:t>To calculate the cumulative Incentive EPS for the fiscal 2021-2023 LTIP, the after-tax impact of certain non-recurring expenses is added to the Company’s net income, and the resulting number is divided by the weighted average number of shares. The cumulative Incentive EPS for fiscal 2021 was adjusted to exclude the following: (i) the pretax transaction costs associated with the acquisition of Barletta, (ii) non-cash interest expense, (iii) the dilution impact of convertible notes which is economically offset by a call/spread overlay that was put in place upon issuance, and (iv) the tax effect of all of the foregoing adjustments, as applicable.</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45</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0" w:name="page51"/>
    <w:bookmarkEnd w:id="5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860" w:right="1140"/>
        <w:spacing w:after="0" w:line="251" w:lineRule="auto"/>
        <w:rPr>
          <w:sz w:val="20"/>
          <w:szCs w:val="20"/>
          <w:color w:val="auto"/>
        </w:rPr>
      </w:pPr>
      <w:r>
        <w:rPr>
          <w:rFonts w:ascii="Arial" w:cs="Arial" w:eastAsia="Arial" w:hAnsi="Arial"/>
          <w:sz w:val="16"/>
          <w:szCs w:val="16"/>
          <w:color w:val="0E2A35"/>
        </w:rPr>
        <w:t>Given the financial challenges of establishing a three-year performance plan in a cyclical industry, the challenge of which has been enhanced given the uncertain COVID-19 environment, the committee decided to split the fiscal 2021-2023 LTIP into four measurement periods. Each of these four measurement periods have the financial performance metrics described above. The measurement periods and associated plan weighting are indicated below:</w:t>
      </w:r>
    </w:p>
    <w:p>
      <w:pPr>
        <w:spacing w:after="0" w:line="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80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Measurement Period</w:t>
            </w:r>
          </w:p>
        </w:tc>
        <w:tc>
          <w:tcPr>
            <w:tcW w:w="1220" w:type="dxa"/>
            <w:vAlign w:val="bottom"/>
            <w:shd w:val="clear" w:color="auto" w:fill="0E2A35"/>
          </w:tcPr>
          <w:p>
            <w:pPr>
              <w:jc w:val="right"/>
              <w:ind w:right="50"/>
              <w:spacing w:after="0"/>
              <w:rPr>
                <w:sz w:val="20"/>
                <w:szCs w:val="20"/>
                <w:color w:val="auto"/>
              </w:rPr>
            </w:pPr>
            <w:r>
              <w:rPr>
                <w:rFonts w:ascii="Arial" w:cs="Arial" w:eastAsia="Arial" w:hAnsi="Arial"/>
                <w:sz w:val="13"/>
                <w:szCs w:val="13"/>
                <w:b w:val="1"/>
                <w:bCs w:val="1"/>
                <w:color w:val="FFFFFF"/>
              </w:rPr>
              <w:t>Weight</w:t>
            </w:r>
          </w:p>
        </w:tc>
      </w:tr>
      <w:tr>
        <w:trPr>
          <w:trHeight w:val="97"/>
        </w:trPr>
        <w:tc>
          <w:tcPr>
            <w:tcW w:w="8060" w:type="dxa"/>
            <w:vAlign w:val="bottom"/>
            <w:shd w:val="clear" w:color="auto" w:fill="0E2A35"/>
          </w:tcPr>
          <w:p>
            <w:pPr>
              <w:spacing w:after="0"/>
              <w:rPr>
                <w:sz w:val="8"/>
                <w:szCs w:val="8"/>
                <w:color w:val="auto"/>
              </w:rPr>
            </w:pPr>
          </w:p>
        </w:tc>
        <w:tc>
          <w:tcPr>
            <w:tcW w:w="1220" w:type="dxa"/>
            <w:vAlign w:val="bottom"/>
            <w:shd w:val="clear" w:color="auto" w:fill="0E2A35"/>
          </w:tcPr>
          <w:p>
            <w:pPr>
              <w:spacing w:after="0"/>
              <w:rPr>
                <w:sz w:val="8"/>
                <w:szCs w:val="8"/>
                <w:color w:val="auto"/>
              </w:rPr>
            </w:pPr>
          </w:p>
        </w:tc>
      </w:tr>
      <w:tr>
        <w:trPr>
          <w:trHeight w:val="285"/>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1</w:t>
            </w:r>
            <w:r>
              <w:rPr>
                <w:rFonts w:ascii="Arial" w:cs="Arial" w:eastAsia="Arial" w:hAnsi="Arial"/>
                <w:sz w:val="14"/>
                <w:szCs w:val="14"/>
                <w:color w:val="0E2A35"/>
              </w:rPr>
              <w:t>: fiscal 2021 (financial performance measured against established fiscal 2021 financial plan)</w:t>
            </w:r>
          </w:p>
        </w:tc>
        <w:tc>
          <w:tcPr>
            <w:tcW w:w="1220" w:type="dxa"/>
            <w:vAlign w:val="bottom"/>
          </w:tcPr>
          <w:p>
            <w:pPr>
              <w:jc w:val="right"/>
              <w:ind w:right="50"/>
              <w:spacing w:after="0"/>
              <w:rPr>
                <w:sz w:val="20"/>
                <w:szCs w:val="20"/>
                <w:color w:val="auto"/>
              </w:rPr>
            </w:pPr>
            <w:r>
              <w:rPr>
                <w:rFonts w:ascii="Arial" w:cs="Arial" w:eastAsia="Arial" w:hAnsi="Arial"/>
                <w:sz w:val="14"/>
                <w:szCs w:val="14"/>
                <w:color w:val="0E2A35"/>
              </w:rPr>
              <w:t>25%</w:t>
            </w:r>
          </w:p>
        </w:tc>
      </w:tr>
      <w:tr>
        <w:trPr>
          <w:trHeight w:val="93"/>
        </w:trPr>
        <w:tc>
          <w:tcPr>
            <w:tcW w:w="80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68"/>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2</w:t>
            </w:r>
            <w:r>
              <w:rPr>
                <w:rFonts w:ascii="Arial" w:cs="Arial" w:eastAsia="Arial" w:hAnsi="Arial"/>
                <w:sz w:val="14"/>
                <w:szCs w:val="14"/>
                <w:color w:val="0E2A35"/>
              </w:rPr>
              <w:t>: fiscal 2021-2022 growth (financial performance measured against established fiscal 2021-2022 financial</w:t>
            </w:r>
          </w:p>
        </w:tc>
        <w:tc>
          <w:tcPr>
            <w:tcW w:w="1220" w:type="dxa"/>
            <w:vAlign w:val="bottom"/>
          </w:tcPr>
          <w:p>
            <w:pPr>
              <w:spacing w:after="0"/>
              <w:rPr>
                <w:sz w:val="23"/>
                <w:szCs w:val="23"/>
                <w:color w:val="auto"/>
              </w:rPr>
            </w:pPr>
          </w:p>
        </w:tc>
      </w:tr>
      <w:tr>
        <w:trPr>
          <w:trHeight w:val="172"/>
        </w:trPr>
        <w:tc>
          <w:tcPr>
            <w:tcW w:w="8060" w:type="dxa"/>
            <w:vAlign w:val="bottom"/>
          </w:tcPr>
          <w:p>
            <w:pPr>
              <w:ind w:left="320"/>
              <w:spacing w:after="0"/>
              <w:rPr>
                <w:sz w:val="20"/>
                <w:szCs w:val="20"/>
                <w:color w:val="auto"/>
              </w:rPr>
            </w:pPr>
            <w:r>
              <w:rPr>
                <w:rFonts w:ascii="Arial" w:cs="Arial" w:eastAsia="Arial" w:hAnsi="Arial"/>
                <w:sz w:val="14"/>
                <w:szCs w:val="14"/>
                <w:color w:val="0E2A35"/>
              </w:rPr>
              <w:t>growth rates which contribute to overall fiscal 2021-2023 financial plan)</w:t>
            </w:r>
          </w:p>
        </w:tc>
        <w:tc>
          <w:tcPr>
            <w:tcW w:w="1220" w:type="dxa"/>
            <w:vAlign w:val="bottom"/>
          </w:tcPr>
          <w:p>
            <w:pPr>
              <w:jc w:val="right"/>
              <w:ind w:right="50"/>
              <w:spacing w:after="0"/>
              <w:rPr>
                <w:sz w:val="20"/>
                <w:szCs w:val="20"/>
                <w:color w:val="auto"/>
              </w:rPr>
            </w:pPr>
            <w:r>
              <w:rPr>
                <w:rFonts w:ascii="Arial" w:cs="Arial" w:eastAsia="Arial" w:hAnsi="Arial"/>
                <w:sz w:val="14"/>
                <w:szCs w:val="14"/>
                <w:color w:val="0E2A35"/>
              </w:rPr>
              <w:t>25%</w:t>
            </w:r>
          </w:p>
        </w:tc>
      </w:tr>
      <w:tr>
        <w:trPr>
          <w:trHeight w:val="93"/>
        </w:trPr>
        <w:tc>
          <w:tcPr>
            <w:tcW w:w="80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68"/>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3</w:t>
            </w:r>
            <w:r>
              <w:rPr>
                <w:rFonts w:ascii="Arial" w:cs="Arial" w:eastAsia="Arial" w:hAnsi="Arial"/>
                <w:sz w:val="14"/>
                <w:szCs w:val="14"/>
                <w:color w:val="0E2A35"/>
              </w:rPr>
              <w:t>: fiscal 2022-2023 growth (financial performance measured against established fiscal 2022-2023 financial</w:t>
            </w:r>
          </w:p>
        </w:tc>
        <w:tc>
          <w:tcPr>
            <w:tcW w:w="1220" w:type="dxa"/>
            <w:vAlign w:val="bottom"/>
          </w:tcPr>
          <w:p>
            <w:pPr>
              <w:spacing w:after="0"/>
              <w:rPr>
                <w:sz w:val="23"/>
                <w:szCs w:val="23"/>
                <w:color w:val="auto"/>
              </w:rPr>
            </w:pPr>
          </w:p>
        </w:tc>
      </w:tr>
      <w:tr>
        <w:trPr>
          <w:trHeight w:val="172"/>
        </w:trPr>
        <w:tc>
          <w:tcPr>
            <w:tcW w:w="8060" w:type="dxa"/>
            <w:vAlign w:val="bottom"/>
          </w:tcPr>
          <w:p>
            <w:pPr>
              <w:ind w:left="320"/>
              <w:spacing w:after="0"/>
              <w:rPr>
                <w:sz w:val="20"/>
                <w:szCs w:val="20"/>
                <w:color w:val="auto"/>
              </w:rPr>
            </w:pPr>
            <w:r>
              <w:rPr>
                <w:rFonts w:ascii="Arial" w:cs="Arial" w:eastAsia="Arial" w:hAnsi="Arial"/>
                <w:sz w:val="14"/>
                <w:szCs w:val="14"/>
                <w:color w:val="0E2A35"/>
              </w:rPr>
              <w:t>growth rates which contribute to overall fiscal 2021-2023 financial plan)</w:t>
            </w:r>
          </w:p>
        </w:tc>
        <w:tc>
          <w:tcPr>
            <w:tcW w:w="1220" w:type="dxa"/>
            <w:vAlign w:val="bottom"/>
          </w:tcPr>
          <w:p>
            <w:pPr>
              <w:jc w:val="right"/>
              <w:ind w:right="50"/>
              <w:spacing w:after="0"/>
              <w:rPr>
                <w:sz w:val="20"/>
                <w:szCs w:val="20"/>
                <w:color w:val="auto"/>
              </w:rPr>
            </w:pPr>
            <w:r>
              <w:rPr>
                <w:rFonts w:ascii="Arial" w:cs="Arial" w:eastAsia="Arial" w:hAnsi="Arial"/>
                <w:sz w:val="14"/>
                <w:szCs w:val="14"/>
                <w:color w:val="0E2A35"/>
              </w:rPr>
              <w:t>25%</w:t>
            </w:r>
          </w:p>
        </w:tc>
      </w:tr>
      <w:tr>
        <w:trPr>
          <w:trHeight w:val="93"/>
        </w:trPr>
        <w:tc>
          <w:tcPr>
            <w:tcW w:w="806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r>
      <w:tr>
        <w:trPr>
          <w:trHeight w:val="278"/>
        </w:trPr>
        <w:tc>
          <w:tcPr>
            <w:tcW w:w="8060" w:type="dxa"/>
            <w:vAlign w:val="bottom"/>
          </w:tcPr>
          <w:p>
            <w:pPr>
              <w:ind w:left="140"/>
              <w:spacing w:after="0"/>
              <w:rPr>
                <w:sz w:val="20"/>
                <w:szCs w:val="20"/>
                <w:color w:val="auto"/>
              </w:rPr>
            </w:pPr>
            <w:r>
              <w:rPr>
                <w:rFonts w:ascii="Arial" w:cs="Arial" w:eastAsia="Arial" w:hAnsi="Arial"/>
                <w:sz w:val="14"/>
                <w:szCs w:val="14"/>
                <w:b w:val="1"/>
                <w:bCs w:val="1"/>
                <w:color w:val="0E2A35"/>
              </w:rPr>
              <w:t>Period 4</w:t>
            </w:r>
            <w:r>
              <w:rPr>
                <w:rFonts w:ascii="Arial" w:cs="Arial" w:eastAsia="Arial" w:hAnsi="Arial"/>
                <w:sz w:val="14"/>
                <w:szCs w:val="14"/>
                <w:color w:val="0E2A35"/>
              </w:rPr>
              <w:t>: fiscal 2021-2023 (financial performance measured against established fiscal 2023 financial plan)</w:t>
            </w:r>
          </w:p>
        </w:tc>
        <w:tc>
          <w:tcPr>
            <w:tcW w:w="1220" w:type="dxa"/>
            <w:vAlign w:val="bottom"/>
          </w:tcPr>
          <w:p>
            <w:pPr>
              <w:jc w:val="right"/>
              <w:ind w:right="50"/>
              <w:spacing w:after="0"/>
              <w:rPr>
                <w:sz w:val="20"/>
                <w:szCs w:val="20"/>
                <w:color w:val="auto"/>
              </w:rPr>
            </w:pPr>
            <w:r>
              <w:rPr>
                <w:rFonts w:ascii="Arial" w:cs="Arial" w:eastAsia="Arial" w:hAnsi="Arial"/>
                <w:sz w:val="14"/>
                <w:szCs w:val="14"/>
                <w:color w:val="0E2A35"/>
              </w:rPr>
              <w:t>25%</w:t>
            </w:r>
          </w:p>
        </w:tc>
      </w:tr>
      <w:tr>
        <w:trPr>
          <w:trHeight w:val="39"/>
        </w:trPr>
        <w:tc>
          <w:tcPr>
            <w:tcW w:w="806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880"/>
        <w:spacing w:after="0" w:line="251" w:lineRule="auto"/>
        <w:rPr>
          <w:sz w:val="20"/>
          <w:szCs w:val="20"/>
          <w:color w:val="auto"/>
        </w:rPr>
      </w:pPr>
      <w:r>
        <w:rPr>
          <w:rFonts w:ascii="Arial" w:cs="Arial" w:eastAsia="Arial" w:hAnsi="Arial"/>
          <w:sz w:val="16"/>
          <w:szCs w:val="16"/>
          <w:color w:val="0E2A35"/>
        </w:rPr>
        <w:t>Following the completion of each of these measurement periods, the results are computed and the payout results are "banked" until the end of the fiscal 2023 performance period. Employees must be employed by the Company on the date of payout, following the end of the fiscal 2021-2023 performance period, to receive any payout. The number of performance shares that may be earned range from 0% to 200% of the target share amount.</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Restricted Stock Units</w:t>
      </w:r>
    </w:p>
    <w:p>
      <w:pPr>
        <w:spacing w:after="0" w:line="200" w:lineRule="exact"/>
        <w:rPr>
          <w:sz w:val="20"/>
          <w:szCs w:val="20"/>
          <w:color w:val="auto"/>
        </w:rPr>
      </w:pPr>
    </w:p>
    <w:p>
      <w:pPr>
        <w:ind w:left="860" w:right="1520"/>
        <w:spacing w:after="0" w:line="260" w:lineRule="auto"/>
        <w:rPr>
          <w:sz w:val="20"/>
          <w:szCs w:val="20"/>
          <w:color w:val="auto"/>
        </w:rPr>
      </w:pPr>
      <w:r>
        <w:rPr>
          <w:rFonts w:ascii="Arial" w:cs="Arial" w:eastAsia="Arial" w:hAnsi="Arial"/>
          <w:sz w:val="16"/>
          <w:szCs w:val="16"/>
          <w:color w:val="0E2A35"/>
        </w:rPr>
        <w:t>NEOs were granted restricted stock units in fiscal 2021 that vest in three equal annual installments, beginning on the first anniversary of the grant date.</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Stock Options</w:t>
      </w:r>
    </w:p>
    <w:p>
      <w:pPr>
        <w:spacing w:after="0" w:line="200" w:lineRule="exact"/>
        <w:rPr>
          <w:sz w:val="20"/>
          <w:szCs w:val="20"/>
          <w:color w:val="auto"/>
        </w:rPr>
      </w:pPr>
    </w:p>
    <w:p>
      <w:pPr>
        <w:ind w:left="860" w:right="900"/>
        <w:spacing w:after="0" w:line="260" w:lineRule="auto"/>
        <w:rPr>
          <w:sz w:val="20"/>
          <w:szCs w:val="20"/>
          <w:color w:val="auto"/>
        </w:rPr>
      </w:pPr>
      <w:r>
        <w:rPr>
          <w:rFonts w:ascii="Arial" w:cs="Arial" w:eastAsia="Arial" w:hAnsi="Arial"/>
          <w:sz w:val="16"/>
          <w:szCs w:val="16"/>
          <w:color w:val="0E2A35"/>
        </w:rPr>
        <w:t>NEOs were granted stock options in fiscal 2021 that vest over three years in equal installments, beginning on the first anniversary of the grant date, and can be exercised over ten years.</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Performance Stock Units</w:t>
      </w:r>
    </w:p>
    <w:p>
      <w:pPr>
        <w:spacing w:after="0" w:line="200"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For fiscal 2021, the committee made certain PSU grants to promote and reward executives for the achievement of fiscal 2021 Incentive EPS goals and to retain executives by providing the officers an opportunity for an incentive award consisting of PSUs, which vest over a two-year period, with 50% vesting in October 2021 and 50% vesting in October 2022. The amount of an NEO's performance stock unit incentive compensation for the period is calculated to be in direct linear proportion to our measured financial performance expressed as a percentage against compensation targets as approved by the committee.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For the PSU grants, the committee selected the following Company performance metric for Messrs. Happe, Hughes, and</w:t>
      </w:r>
    </w:p>
    <w:p>
      <w:pPr>
        <w:ind w:left="860"/>
        <w:spacing w:after="0" w:line="219" w:lineRule="auto"/>
        <w:rPr>
          <w:sz w:val="20"/>
          <w:szCs w:val="20"/>
          <w:color w:val="auto"/>
        </w:rPr>
      </w:pPr>
      <w:r>
        <w:rPr>
          <w:rFonts w:ascii="Arial" w:cs="Arial" w:eastAsia="Arial" w:hAnsi="Arial"/>
          <w:sz w:val="16"/>
          <w:szCs w:val="16"/>
          <w:color w:val="0E2A35"/>
        </w:rPr>
        <w:t>Hazelton (Messrs. Bower and Clark did not receive PSU grants)</w:t>
      </w:r>
      <w:r>
        <w:rPr>
          <w:rFonts w:ascii="Arial" w:cs="Arial" w:eastAsia="Arial" w:hAnsi="Arial"/>
          <w:sz w:val="26"/>
          <w:szCs w:val="26"/>
          <w:color w:val="0E2A35"/>
          <w:vertAlign w:val="superscript"/>
        </w:rPr>
        <w:t>(1)</w:t>
      </w:r>
      <w:r>
        <w:rPr>
          <w:rFonts w:ascii="Arial" w:cs="Arial" w:eastAsia="Arial" w:hAnsi="Arial"/>
          <w:sz w:val="16"/>
          <w:szCs w:val="16"/>
          <w:color w:val="0E2A35"/>
        </w:rPr>
        <w:t>:</w:t>
      </w:r>
    </w:p>
    <w:p>
      <w:pPr>
        <w:spacing w:after="0" w:line="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8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Metric</w:t>
            </w:r>
          </w:p>
        </w:tc>
        <w:tc>
          <w:tcPr>
            <w:tcW w:w="4400" w:type="dxa"/>
            <w:vAlign w:val="bottom"/>
            <w:shd w:val="clear" w:color="auto" w:fill="0E2A35"/>
          </w:tcPr>
          <w:p>
            <w:pPr>
              <w:jc w:val="right"/>
              <w:ind w:right="73"/>
              <w:spacing w:after="0"/>
              <w:rPr>
                <w:sz w:val="20"/>
                <w:szCs w:val="20"/>
                <w:color w:val="auto"/>
              </w:rPr>
            </w:pPr>
            <w:r>
              <w:rPr>
                <w:rFonts w:ascii="Arial" w:cs="Arial" w:eastAsia="Arial" w:hAnsi="Arial"/>
                <w:sz w:val="13"/>
                <w:szCs w:val="13"/>
                <w:b w:val="1"/>
                <w:bCs w:val="1"/>
                <w:color w:val="FFFFFF"/>
              </w:rPr>
              <w:t>Weight</w:t>
            </w:r>
          </w:p>
        </w:tc>
      </w:tr>
      <w:tr>
        <w:trPr>
          <w:trHeight w:val="97"/>
        </w:trPr>
        <w:tc>
          <w:tcPr>
            <w:tcW w:w="4880" w:type="dxa"/>
            <w:vAlign w:val="bottom"/>
            <w:shd w:val="clear" w:color="auto" w:fill="0E2A35"/>
          </w:tcPr>
          <w:p>
            <w:pPr>
              <w:spacing w:after="0"/>
              <w:rPr>
                <w:sz w:val="8"/>
                <w:szCs w:val="8"/>
                <w:color w:val="auto"/>
              </w:rPr>
            </w:pPr>
          </w:p>
        </w:tc>
        <w:tc>
          <w:tcPr>
            <w:tcW w:w="4400" w:type="dxa"/>
            <w:vAlign w:val="bottom"/>
            <w:shd w:val="clear" w:color="auto" w:fill="0E2A35"/>
          </w:tcPr>
          <w:p>
            <w:pPr>
              <w:spacing w:after="0"/>
              <w:rPr>
                <w:sz w:val="8"/>
                <w:szCs w:val="8"/>
                <w:color w:val="auto"/>
              </w:rPr>
            </w:pPr>
          </w:p>
        </w:tc>
      </w:tr>
      <w:tr>
        <w:trPr>
          <w:trHeight w:val="285"/>
        </w:trPr>
        <w:tc>
          <w:tcPr>
            <w:tcW w:w="4880" w:type="dxa"/>
            <w:vAlign w:val="bottom"/>
          </w:tcPr>
          <w:p>
            <w:pPr>
              <w:ind w:left="140"/>
              <w:spacing w:after="0"/>
              <w:rPr>
                <w:sz w:val="20"/>
                <w:szCs w:val="20"/>
                <w:color w:val="auto"/>
              </w:rPr>
            </w:pPr>
            <w:r>
              <w:rPr>
                <w:rFonts w:ascii="Arial" w:cs="Arial" w:eastAsia="Arial" w:hAnsi="Arial"/>
                <w:sz w:val="14"/>
                <w:szCs w:val="14"/>
                <w:color w:val="0E2A35"/>
              </w:rPr>
              <w:t>Incentive EPS</w:t>
            </w:r>
          </w:p>
        </w:tc>
        <w:tc>
          <w:tcPr>
            <w:tcW w:w="4400" w:type="dxa"/>
            <w:vAlign w:val="bottom"/>
          </w:tcPr>
          <w:p>
            <w:pPr>
              <w:jc w:val="right"/>
              <w:ind w:right="33"/>
              <w:spacing w:after="0"/>
              <w:rPr>
                <w:sz w:val="20"/>
                <w:szCs w:val="20"/>
                <w:color w:val="auto"/>
              </w:rPr>
            </w:pPr>
            <w:r>
              <w:rPr>
                <w:rFonts w:ascii="Arial" w:cs="Arial" w:eastAsia="Arial" w:hAnsi="Arial"/>
                <w:sz w:val="14"/>
                <w:szCs w:val="14"/>
                <w:color w:val="0E2A35"/>
              </w:rPr>
              <w:t>100%</w:t>
            </w:r>
          </w:p>
        </w:tc>
      </w:tr>
      <w:tr>
        <w:trPr>
          <w:trHeight w:val="39"/>
        </w:trPr>
        <w:tc>
          <w:tcPr>
            <w:tcW w:w="4880" w:type="dxa"/>
            <w:vAlign w:val="bottom"/>
            <w:tcBorders>
              <w:bottom w:val="single" w:sz="8" w:color="0E2A35"/>
            </w:tcBorders>
          </w:tcPr>
          <w:p>
            <w:pPr>
              <w:spacing w:after="0"/>
              <w:rPr>
                <w:sz w:val="3"/>
                <w:szCs w:val="3"/>
                <w:color w:val="auto"/>
              </w:rPr>
            </w:pPr>
          </w:p>
        </w:tc>
        <w:tc>
          <w:tcPr>
            <w:tcW w:w="440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040" w:hanging="360"/>
        <w:spacing w:after="0" w:line="230" w:lineRule="auto"/>
        <w:tabs>
          <w:tab w:leader="none" w:pos="122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Mr. Bower did not receive a PSU grant because he joined the Company in October 2020. Mr. Clark did not receive a PSU grant because he participates in the Grand Design MIP.</w:t>
      </w:r>
    </w:p>
    <w:p>
      <w:pPr>
        <w:spacing w:after="0" w:line="167"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To calculate the Incentive EPS for the PSUs, the after-tax impact of certain non-recurring expenses is added to the Company’s net income, and the resulting number is divided by the weighted average number of shares. The Incentive EPS for fiscal 2021 was adjusted to exclude the following: (i) the pretax transaction costs associated with the acquisition of Barletta, (ii) non-cash interest expense, (iii) the dilution impact of convertible notes which is economically offset by a call/spread overlay that was put in place upon issuance and (iv) the tax effect of all of the foregoing adjustments, as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1" w:name="page52"/>
    <w:bookmarkEnd w:id="5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2021 Awards</w:t>
      </w:r>
    </w:p>
    <w:p>
      <w:pPr>
        <w:spacing w:after="0" w:line="26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target value of the equity incentive awards granted to the NEOs in fiscal 2021 was as follows:</w:t>
      </w:r>
    </w:p>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1860" w:type="dxa"/>
            <w:vAlign w:val="bottom"/>
            <w:shd w:val="clear" w:color="auto" w:fill="0E2A35"/>
          </w:tcPr>
          <w:p>
            <w:pPr>
              <w:spacing w:after="0"/>
              <w:rPr>
                <w:sz w:val="22"/>
                <w:szCs w:val="22"/>
                <w:color w:val="auto"/>
              </w:rPr>
            </w:pPr>
          </w:p>
        </w:tc>
        <w:tc>
          <w:tcPr>
            <w:tcW w:w="1060" w:type="dxa"/>
            <w:vAlign w:val="bottom"/>
            <w:shd w:val="clear" w:color="auto" w:fill="0E2A35"/>
          </w:tcPr>
          <w:p>
            <w:pPr>
              <w:spacing w:after="0"/>
              <w:rPr>
                <w:sz w:val="22"/>
                <w:szCs w:val="22"/>
                <w:color w:val="auto"/>
              </w:rPr>
            </w:pPr>
          </w:p>
        </w:tc>
        <w:tc>
          <w:tcPr>
            <w:tcW w:w="1240" w:type="dxa"/>
            <w:vAlign w:val="bottom"/>
            <w:shd w:val="clear" w:color="auto" w:fill="0E2A35"/>
          </w:tcPr>
          <w:p>
            <w:pPr>
              <w:jc w:val="right"/>
              <w:ind w:right="172"/>
              <w:spacing w:after="0"/>
              <w:rPr>
                <w:sz w:val="20"/>
                <w:szCs w:val="20"/>
                <w:color w:val="auto"/>
              </w:rPr>
            </w:pPr>
            <w:r>
              <w:rPr>
                <w:rFonts w:ascii="Arial" w:cs="Arial" w:eastAsia="Arial" w:hAnsi="Arial"/>
                <w:sz w:val="13"/>
                <w:szCs w:val="13"/>
                <w:b w:val="1"/>
                <w:bCs w:val="1"/>
                <w:color w:val="FFFFFF"/>
              </w:rPr>
              <w:t>Annual Awards</w:t>
            </w:r>
          </w:p>
        </w:tc>
        <w:tc>
          <w:tcPr>
            <w:tcW w:w="880" w:type="dxa"/>
            <w:vAlign w:val="bottom"/>
            <w:shd w:val="clear" w:color="auto" w:fill="0E2A35"/>
          </w:tcPr>
          <w:p>
            <w:pPr>
              <w:spacing w:after="0"/>
              <w:rPr>
                <w:sz w:val="22"/>
                <w:szCs w:val="22"/>
                <w:color w:val="auto"/>
              </w:rPr>
            </w:pPr>
          </w:p>
        </w:tc>
        <w:tc>
          <w:tcPr>
            <w:tcW w:w="1160" w:type="dxa"/>
            <w:vAlign w:val="bottom"/>
            <w:shd w:val="clear" w:color="auto" w:fill="0E2A35"/>
          </w:tcPr>
          <w:p>
            <w:pPr>
              <w:spacing w:after="0"/>
              <w:rPr>
                <w:sz w:val="22"/>
                <w:szCs w:val="22"/>
                <w:color w:val="auto"/>
              </w:rPr>
            </w:pPr>
          </w:p>
        </w:tc>
        <w:tc>
          <w:tcPr>
            <w:tcW w:w="1040" w:type="dxa"/>
            <w:vAlign w:val="bottom"/>
            <w:shd w:val="clear" w:color="auto" w:fill="0E2A35"/>
          </w:tcPr>
          <w:p>
            <w:pPr>
              <w:spacing w:after="0"/>
              <w:rPr>
                <w:sz w:val="22"/>
                <w:szCs w:val="22"/>
                <w:color w:val="auto"/>
              </w:rPr>
            </w:pPr>
          </w:p>
        </w:tc>
        <w:tc>
          <w:tcPr>
            <w:tcW w:w="1020" w:type="dxa"/>
            <w:vAlign w:val="bottom"/>
            <w:shd w:val="clear" w:color="auto" w:fill="0E2A35"/>
          </w:tcPr>
          <w:p>
            <w:pPr>
              <w:spacing w:after="0"/>
              <w:rPr>
                <w:sz w:val="22"/>
                <w:szCs w:val="22"/>
                <w:color w:val="auto"/>
              </w:rPr>
            </w:pPr>
          </w:p>
        </w:tc>
        <w:tc>
          <w:tcPr>
            <w:tcW w:w="1020" w:type="dxa"/>
            <w:vAlign w:val="bottom"/>
            <w:shd w:val="clear" w:color="auto" w:fill="0E2A35"/>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1860" w:type="dxa"/>
            <w:vAlign w:val="bottom"/>
            <w:shd w:val="clear" w:color="auto" w:fill="0E2A35"/>
          </w:tcPr>
          <w:p>
            <w:pPr>
              <w:spacing w:after="0"/>
              <w:rPr>
                <w:sz w:val="24"/>
                <w:szCs w:val="24"/>
                <w:color w:val="auto"/>
              </w:rPr>
            </w:pPr>
          </w:p>
        </w:tc>
        <w:tc>
          <w:tcPr>
            <w:tcW w:w="10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0"/>
              </w:rPr>
              <w:t>LTIP /</w:t>
            </w:r>
          </w:p>
        </w:tc>
        <w:tc>
          <w:tcPr>
            <w:tcW w:w="1240" w:type="dxa"/>
            <w:vAlign w:val="bottom"/>
            <w:shd w:val="clear" w:color="auto" w:fill="0E2A35"/>
          </w:tcPr>
          <w:p>
            <w:pPr>
              <w:spacing w:after="0"/>
              <w:rPr>
                <w:sz w:val="24"/>
                <w:szCs w:val="24"/>
                <w:color w:val="auto"/>
              </w:rPr>
            </w:pPr>
          </w:p>
        </w:tc>
        <w:tc>
          <w:tcPr>
            <w:tcW w:w="880" w:type="dxa"/>
            <w:vAlign w:val="bottom"/>
            <w:shd w:val="clear" w:color="auto" w:fill="0E2A35"/>
          </w:tcPr>
          <w:p>
            <w:pPr>
              <w:spacing w:after="0"/>
              <w:rPr>
                <w:sz w:val="24"/>
                <w:szCs w:val="24"/>
                <w:color w:val="auto"/>
              </w:rPr>
            </w:pPr>
          </w:p>
        </w:tc>
        <w:tc>
          <w:tcPr>
            <w:tcW w:w="1160" w:type="dxa"/>
            <w:vAlign w:val="bottom"/>
            <w:shd w:val="clear" w:color="auto" w:fill="0E2A35"/>
          </w:tcPr>
          <w:p>
            <w:pPr>
              <w:spacing w:after="0"/>
              <w:rPr>
                <w:sz w:val="24"/>
                <w:szCs w:val="24"/>
                <w:color w:val="auto"/>
              </w:rPr>
            </w:pPr>
          </w:p>
        </w:tc>
        <w:tc>
          <w:tcPr>
            <w:tcW w:w="1040" w:type="dxa"/>
            <w:vAlign w:val="bottom"/>
            <w:shd w:val="clear" w:color="auto" w:fill="0E2A35"/>
          </w:tcPr>
          <w:p>
            <w:pPr>
              <w:spacing w:after="0"/>
              <w:rPr>
                <w:sz w:val="24"/>
                <w:szCs w:val="24"/>
                <w:color w:val="auto"/>
              </w:rPr>
            </w:pPr>
          </w:p>
        </w:tc>
        <w:tc>
          <w:tcPr>
            <w:tcW w:w="1020" w:type="dxa"/>
            <w:vAlign w:val="bottom"/>
            <w:shd w:val="clear" w:color="auto" w:fill="0E2A35"/>
          </w:tcPr>
          <w:p>
            <w:pPr>
              <w:spacing w:after="0"/>
              <w:rPr>
                <w:sz w:val="24"/>
                <w:szCs w:val="24"/>
                <w:color w:val="auto"/>
              </w:rPr>
            </w:pPr>
          </w:p>
        </w:tc>
        <w:tc>
          <w:tcPr>
            <w:tcW w:w="1020" w:type="dxa"/>
            <w:vAlign w:val="bottom"/>
            <w:shd w:val="clear" w:color="auto" w:fill="0E2A35"/>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0E2A35"/>
          </w:tcPr>
          <w:p>
            <w:pPr>
              <w:spacing w:after="0"/>
              <w:rPr>
                <w:sz w:val="11"/>
                <w:szCs w:val="11"/>
                <w:color w:val="auto"/>
              </w:rPr>
            </w:pPr>
          </w:p>
        </w:tc>
        <w:tc>
          <w:tcPr>
            <w:tcW w:w="10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Performance</w:t>
            </w:r>
          </w:p>
        </w:tc>
        <w:tc>
          <w:tcPr>
            <w:tcW w:w="12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4"/>
              </w:rPr>
              <w:t>Restricted</w:t>
            </w:r>
          </w:p>
        </w:tc>
        <w:tc>
          <w:tcPr>
            <w:tcW w:w="8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Fiscal 2021</w:t>
            </w:r>
          </w:p>
        </w:tc>
        <w:tc>
          <w:tcPr>
            <w:tcW w:w="1040" w:type="dxa"/>
            <w:vAlign w:val="bottom"/>
            <w:shd w:val="clear" w:color="auto" w:fill="0E2A35"/>
          </w:tcPr>
          <w:p>
            <w:pPr>
              <w:spacing w:after="0"/>
              <w:rPr>
                <w:sz w:val="11"/>
                <w:szCs w:val="11"/>
                <w:color w:val="auto"/>
              </w:rPr>
            </w:pPr>
          </w:p>
        </w:tc>
        <w:tc>
          <w:tcPr>
            <w:tcW w:w="1020" w:type="dxa"/>
            <w:vAlign w:val="bottom"/>
            <w:shd w:val="clear" w:color="auto" w:fill="0E2A35"/>
          </w:tcPr>
          <w:p>
            <w:pPr>
              <w:spacing w:after="0"/>
              <w:rPr>
                <w:sz w:val="11"/>
                <w:szCs w:val="11"/>
                <w:color w:val="auto"/>
              </w:rPr>
            </w:pPr>
          </w:p>
        </w:tc>
        <w:tc>
          <w:tcPr>
            <w:tcW w:w="10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860" w:type="dxa"/>
            <w:vAlign w:val="bottom"/>
            <w:shd w:val="clear" w:color="auto" w:fill="0E2A35"/>
          </w:tcPr>
          <w:p>
            <w:pPr>
              <w:spacing w:after="0"/>
              <w:rPr>
                <w:sz w:val="11"/>
                <w:szCs w:val="11"/>
                <w:color w:val="auto"/>
              </w:rPr>
            </w:pPr>
          </w:p>
        </w:tc>
        <w:tc>
          <w:tcPr>
            <w:tcW w:w="10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Shares</w:t>
            </w:r>
          </w:p>
        </w:tc>
        <w:tc>
          <w:tcPr>
            <w:tcW w:w="12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Stock Units</w:t>
            </w:r>
          </w:p>
        </w:tc>
        <w:tc>
          <w:tcPr>
            <w:tcW w:w="8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Options</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Performance</w:t>
            </w:r>
          </w:p>
        </w:tc>
        <w:tc>
          <w:tcPr>
            <w:tcW w:w="1040" w:type="dxa"/>
            <w:vAlign w:val="bottom"/>
            <w:shd w:val="clear" w:color="auto" w:fill="0E2A35"/>
          </w:tcPr>
          <w:p>
            <w:pPr>
              <w:spacing w:after="0"/>
              <w:rPr>
                <w:sz w:val="11"/>
                <w:szCs w:val="11"/>
                <w:color w:val="auto"/>
              </w:rPr>
            </w:pPr>
          </w:p>
        </w:tc>
        <w:tc>
          <w:tcPr>
            <w:tcW w:w="1020" w:type="dxa"/>
            <w:vAlign w:val="bottom"/>
            <w:shd w:val="clear" w:color="auto" w:fill="0E2A35"/>
          </w:tcPr>
          <w:p>
            <w:pPr>
              <w:spacing w:after="0"/>
              <w:rPr>
                <w:sz w:val="11"/>
                <w:szCs w:val="11"/>
                <w:color w:val="auto"/>
              </w:rPr>
            </w:pPr>
          </w:p>
        </w:tc>
        <w:tc>
          <w:tcPr>
            <w:tcW w:w="1020" w:type="dxa"/>
            <w:vAlign w:val="bottom"/>
            <w:vMerge w:val="restart"/>
            <w:shd w:val="clear" w:color="auto" w:fill="0E2A35"/>
          </w:tcPr>
          <w:p>
            <w:pPr>
              <w:jc w:val="right"/>
              <w:ind w:right="30"/>
              <w:spacing w:after="0"/>
              <w:rPr>
                <w:sz w:val="20"/>
                <w:szCs w:val="20"/>
                <w:color w:val="auto"/>
              </w:rPr>
            </w:pPr>
            <w:r>
              <w:rPr>
                <w:rFonts w:ascii="Arial" w:cs="Arial" w:eastAsia="Arial" w:hAnsi="Arial"/>
                <w:sz w:val="13"/>
                <w:szCs w:val="13"/>
                <w:b w:val="1"/>
                <w:bCs w:val="1"/>
                <w:color w:val="FFFFFF"/>
              </w:rPr>
              <w:t>% Increase</w:t>
            </w:r>
            <w:r>
              <w:rPr>
                <w:rFonts w:ascii="Arial" w:cs="Arial" w:eastAsia="Arial" w:hAnsi="Arial"/>
                <w:sz w:val="20"/>
                <w:szCs w:val="20"/>
                <w:b w:val="1"/>
                <w:bCs w:val="1"/>
                <w:color w:val="FFFFFF"/>
                <w:vertAlign w:val="superscript"/>
              </w:rPr>
              <w:t>(2)</w:t>
            </w:r>
          </w:p>
        </w:tc>
        <w:tc>
          <w:tcPr>
            <w:tcW w:w="0" w:type="dxa"/>
            <w:vAlign w:val="bottom"/>
          </w:tcPr>
          <w:p>
            <w:pPr>
              <w:spacing w:after="0"/>
              <w:rPr>
                <w:sz w:val="1"/>
                <w:szCs w:val="1"/>
                <w:color w:val="auto"/>
              </w:rPr>
            </w:pPr>
          </w:p>
        </w:tc>
      </w:tr>
      <w:tr>
        <w:trPr>
          <w:trHeight w:val="255"/>
        </w:trPr>
        <w:tc>
          <w:tcPr>
            <w:tcW w:w="18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10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(50%)</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(35%)</w:t>
            </w:r>
          </w:p>
        </w:tc>
        <w:tc>
          <w:tcPr>
            <w:tcW w:w="8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(15%)</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Stock Units</w:t>
            </w:r>
            <w:r>
              <w:rPr>
                <w:rFonts w:ascii="Arial" w:cs="Arial" w:eastAsia="Arial" w:hAnsi="Arial"/>
                <w:sz w:val="20"/>
                <w:szCs w:val="20"/>
                <w:b w:val="1"/>
                <w:bCs w:val="1"/>
                <w:color w:val="FFFFFF"/>
                <w:w w:val="93"/>
                <w:vertAlign w:val="superscript"/>
              </w:rPr>
              <w:t>(1)</w:t>
            </w:r>
          </w:p>
        </w:tc>
        <w:tc>
          <w:tcPr>
            <w:tcW w:w="1040" w:type="dxa"/>
            <w:vAlign w:val="bottom"/>
            <w:shd w:val="clear" w:color="auto" w:fill="0E2A35"/>
          </w:tcPr>
          <w:p>
            <w:pPr>
              <w:jc w:val="right"/>
              <w:ind w:right="130"/>
              <w:spacing w:after="0"/>
              <w:rPr>
                <w:sz w:val="20"/>
                <w:szCs w:val="20"/>
                <w:color w:val="auto"/>
              </w:rPr>
            </w:pPr>
            <w:r>
              <w:rPr>
                <w:rFonts w:ascii="Arial" w:cs="Arial" w:eastAsia="Arial" w:hAnsi="Arial"/>
                <w:sz w:val="13"/>
                <w:szCs w:val="13"/>
                <w:b w:val="1"/>
                <w:bCs w:val="1"/>
                <w:color w:val="FFFFFF"/>
              </w:rPr>
              <w:t>Fiscal 2021</w:t>
            </w:r>
          </w:p>
        </w:tc>
        <w:tc>
          <w:tcPr>
            <w:tcW w:w="1020" w:type="dxa"/>
            <w:vAlign w:val="bottom"/>
            <w:shd w:val="clear" w:color="auto" w:fill="0E2A35"/>
          </w:tcPr>
          <w:p>
            <w:pPr>
              <w:jc w:val="right"/>
              <w:ind w:right="110"/>
              <w:spacing w:after="0"/>
              <w:rPr>
                <w:sz w:val="20"/>
                <w:szCs w:val="20"/>
                <w:color w:val="auto"/>
              </w:rPr>
            </w:pPr>
            <w:r>
              <w:rPr>
                <w:rFonts w:ascii="Arial" w:cs="Arial" w:eastAsia="Arial" w:hAnsi="Arial"/>
                <w:sz w:val="13"/>
                <w:szCs w:val="13"/>
                <w:b w:val="1"/>
                <w:bCs w:val="1"/>
                <w:color w:val="FFFFFF"/>
              </w:rPr>
              <w:t>Fiscal 2020</w:t>
            </w:r>
          </w:p>
        </w:tc>
        <w:tc>
          <w:tcPr>
            <w:tcW w:w="1020" w:type="dxa"/>
            <w:vAlign w:val="bottom"/>
            <w:vMerge w:val="continue"/>
            <w:shd w:val="clear" w:color="auto" w:fill="0E2A35"/>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86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1060" w:type="dxa"/>
            <w:vAlign w:val="bottom"/>
          </w:tcPr>
          <w:p>
            <w:pPr>
              <w:jc w:val="right"/>
              <w:ind w:right="12"/>
              <w:spacing w:after="0"/>
              <w:rPr>
                <w:sz w:val="20"/>
                <w:szCs w:val="20"/>
                <w:color w:val="auto"/>
              </w:rPr>
            </w:pPr>
            <w:r>
              <w:rPr>
                <w:rFonts w:ascii="Arial" w:cs="Arial" w:eastAsia="Arial" w:hAnsi="Arial"/>
                <w:sz w:val="14"/>
                <w:szCs w:val="14"/>
                <w:color w:val="0E2A35"/>
              </w:rPr>
              <w:t>$1,750,001</w:t>
            </w:r>
          </w:p>
        </w:tc>
        <w:tc>
          <w:tcPr>
            <w:tcW w:w="1240" w:type="dxa"/>
            <w:vAlign w:val="bottom"/>
          </w:tcPr>
          <w:p>
            <w:pPr>
              <w:jc w:val="right"/>
              <w:ind w:right="252"/>
              <w:spacing w:after="0"/>
              <w:rPr>
                <w:sz w:val="20"/>
                <w:szCs w:val="20"/>
                <w:color w:val="auto"/>
              </w:rPr>
            </w:pPr>
            <w:r>
              <w:rPr>
                <w:rFonts w:ascii="Arial" w:cs="Arial" w:eastAsia="Arial" w:hAnsi="Arial"/>
                <w:sz w:val="14"/>
                <w:szCs w:val="14"/>
                <w:color w:val="0E2A35"/>
              </w:rPr>
              <w:t>$1,224,990</w:t>
            </w:r>
          </w:p>
        </w:tc>
        <w:tc>
          <w:tcPr>
            <w:tcW w:w="880" w:type="dxa"/>
            <w:vAlign w:val="bottom"/>
          </w:tcPr>
          <w:p>
            <w:pPr>
              <w:jc w:val="right"/>
              <w:ind w:right="51"/>
              <w:spacing w:after="0"/>
              <w:rPr>
                <w:sz w:val="20"/>
                <w:szCs w:val="20"/>
                <w:color w:val="auto"/>
              </w:rPr>
            </w:pPr>
            <w:r>
              <w:rPr>
                <w:rFonts w:ascii="Arial" w:cs="Arial" w:eastAsia="Arial" w:hAnsi="Arial"/>
                <w:sz w:val="14"/>
                <w:szCs w:val="14"/>
                <w:color w:val="0E2A35"/>
              </w:rPr>
              <w:t>$525,004</w:t>
            </w:r>
          </w:p>
        </w:tc>
        <w:tc>
          <w:tcPr>
            <w:tcW w:w="1160" w:type="dxa"/>
            <w:vAlign w:val="bottom"/>
          </w:tcPr>
          <w:p>
            <w:pPr>
              <w:jc w:val="right"/>
              <w:ind w:right="111"/>
              <w:spacing w:after="0"/>
              <w:rPr>
                <w:sz w:val="20"/>
                <w:szCs w:val="20"/>
                <w:color w:val="auto"/>
              </w:rPr>
            </w:pPr>
            <w:r>
              <w:rPr>
                <w:rFonts w:ascii="Arial" w:cs="Arial" w:eastAsia="Arial" w:hAnsi="Arial"/>
                <w:sz w:val="14"/>
                <w:szCs w:val="14"/>
                <w:color w:val="0E2A35"/>
              </w:rPr>
              <w:t>$599,989</w:t>
            </w:r>
          </w:p>
        </w:tc>
        <w:tc>
          <w:tcPr>
            <w:tcW w:w="1040" w:type="dxa"/>
            <w:vAlign w:val="bottom"/>
          </w:tcPr>
          <w:p>
            <w:pPr>
              <w:jc w:val="right"/>
              <w:ind w:right="70"/>
              <w:spacing w:after="0"/>
              <w:rPr>
                <w:sz w:val="20"/>
                <w:szCs w:val="20"/>
                <w:color w:val="auto"/>
              </w:rPr>
            </w:pPr>
            <w:r>
              <w:rPr>
                <w:rFonts w:ascii="Arial" w:cs="Arial" w:eastAsia="Arial" w:hAnsi="Arial"/>
                <w:sz w:val="14"/>
                <w:szCs w:val="14"/>
                <w:color w:val="0E2A35"/>
              </w:rPr>
              <w:t>$4,099,984</w:t>
            </w:r>
          </w:p>
        </w:tc>
        <w:tc>
          <w:tcPr>
            <w:tcW w:w="1020" w:type="dxa"/>
            <w:vAlign w:val="bottom"/>
          </w:tcPr>
          <w:p>
            <w:pPr>
              <w:jc w:val="right"/>
              <w:ind w:right="70"/>
              <w:spacing w:after="0"/>
              <w:rPr>
                <w:sz w:val="20"/>
                <w:szCs w:val="20"/>
                <w:color w:val="auto"/>
              </w:rPr>
            </w:pPr>
            <w:r>
              <w:rPr>
                <w:rFonts w:ascii="Arial" w:cs="Arial" w:eastAsia="Arial" w:hAnsi="Arial"/>
                <w:sz w:val="14"/>
                <w:szCs w:val="14"/>
                <w:color w:val="0E2A35"/>
              </w:rPr>
              <w:t>$3,100,000</w:t>
            </w:r>
          </w:p>
        </w:tc>
        <w:tc>
          <w:tcPr>
            <w:tcW w:w="1020" w:type="dxa"/>
            <w:vAlign w:val="bottom"/>
          </w:tcPr>
          <w:p>
            <w:pPr>
              <w:jc w:val="right"/>
              <w:ind w:right="130"/>
              <w:spacing w:after="0"/>
              <w:rPr>
                <w:sz w:val="20"/>
                <w:szCs w:val="20"/>
                <w:color w:val="auto"/>
              </w:rPr>
            </w:pPr>
            <w:r>
              <w:rPr>
                <w:rFonts w:ascii="Arial" w:cs="Arial" w:eastAsia="Arial" w:hAnsi="Arial"/>
                <w:sz w:val="14"/>
                <w:szCs w:val="14"/>
                <w:color w:val="0E2A35"/>
              </w:rPr>
              <w:t>32.3%</w:t>
            </w:r>
          </w:p>
        </w:tc>
        <w:tc>
          <w:tcPr>
            <w:tcW w:w="0" w:type="dxa"/>
            <w:vAlign w:val="bottom"/>
          </w:tcPr>
          <w:p>
            <w:pPr>
              <w:spacing w:after="0"/>
              <w:rPr>
                <w:sz w:val="1"/>
                <w:szCs w:val="1"/>
                <w:color w:val="auto"/>
              </w:rPr>
            </w:pPr>
          </w:p>
        </w:tc>
      </w:tr>
      <w:tr>
        <w:trPr>
          <w:trHeight w:val="80"/>
        </w:trPr>
        <w:tc>
          <w:tcPr>
            <w:tcW w:w="1860" w:type="dxa"/>
            <w:vAlign w:val="bottom"/>
            <w:tcBorders>
              <w:bottom w:val="single" w:sz="8" w:color="0E2A35"/>
            </w:tcBorders>
          </w:tcPr>
          <w:p>
            <w:pPr>
              <w:spacing w:after="0"/>
              <w:rPr>
                <w:sz w:val="6"/>
                <w:szCs w:val="6"/>
                <w:color w:val="auto"/>
              </w:rPr>
            </w:pPr>
          </w:p>
        </w:tc>
        <w:tc>
          <w:tcPr>
            <w:tcW w:w="106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6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1060" w:type="dxa"/>
            <w:vAlign w:val="bottom"/>
          </w:tcPr>
          <w:p>
            <w:pPr>
              <w:jc w:val="right"/>
              <w:ind w:right="12"/>
              <w:spacing w:after="0"/>
              <w:rPr>
                <w:sz w:val="20"/>
                <w:szCs w:val="20"/>
                <w:color w:val="auto"/>
              </w:rPr>
            </w:pPr>
            <w:r>
              <w:rPr>
                <w:rFonts w:ascii="Arial" w:cs="Arial" w:eastAsia="Arial" w:hAnsi="Arial"/>
                <w:sz w:val="14"/>
                <w:szCs w:val="14"/>
                <w:color w:val="0E2A35"/>
              </w:rPr>
              <w:t>328,139</w:t>
            </w:r>
          </w:p>
        </w:tc>
        <w:tc>
          <w:tcPr>
            <w:tcW w:w="1240" w:type="dxa"/>
            <w:vAlign w:val="bottom"/>
          </w:tcPr>
          <w:p>
            <w:pPr>
              <w:jc w:val="right"/>
              <w:ind w:right="272"/>
              <w:spacing w:after="0"/>
              <w:rPr>
                <w:sz w:val="20"/>
                <w:szCs w:val="20"/>
                <w:color w:val="auto"/>
              </w:rPr>
            </w:pPr>
            <w:r>
              <w:rPr>
                <w:rFonts w:ascii="Arial" w:cs="Arial" w:eastAsia="Arial" w:hAnsi="Arial"/>
                <w:sz w:val="14"/>
                <w:szCs w:val="14"/>
                <w:color w:val="0E2A35"/>
              </w:rPr>
              <w:t>229,675</w:t>
            </w:r>
          </w:p>
        </w:tc>
        <w:tc>
          <w:tcPr>
            <w:tcW w:w="880" w:type="dxa"/>
            <w:vAlign w:val="bottom"/>
          </w:tcPr>
          <w:p>
            <w:pPr>
              <w:jc w:val="right"/>
              <w:ind w:right="51"/>
              <w:spacing w:after="0"/>
              <w:rPr>
                <w:sz w:val="20"/>
                <w:szCs w:val="20"/>
                <w:color w:val="auto"/>
              </w:rPr>
            </w:pPr>
            <w:r>
              <w:rPr>
                <w:rFonts w:ascii="Arial" w:cs="Arial" w:eastAsia="Arial" w:hAnsi="Arial"/>
                <w:sz w:val="14"/>
                <w:szCs w:val="14"/>
                <w:color w:val="0E2A35"/>
              </w:rPr>
              <w:t>98,433</w:t>
            </w:r>
          </w:p>
        </w:tc>
        <w:tc>
          <w:tcPr>
            <w:tcW w:w="1160" w:type="dxa"/>
            <w:vAlign w:val="bottom"/>
          </w:tcPr>
          <w:p>
            <w:pPr>
              <w:jc w:val="right"/>
              <w:ind w:right="111"/>
              <w:spacing w:after="0"/>
              <w:rPr>
                <w:sz w:val="20"/>
                <w:szCs w:val="20"/>
                <w:color w:val="auto"/>
              </w:rPr>
            </w:pPr>
            <w:r>
              <w:rPr>
                <w:rFonts w:ascii="Arial" w:cs="Arial" w:eastAsia="Arial" w:hAnsi="Arial"/>
                <w:sz w:val="14"/>
                <w:szCs w:val="14"/>
                <w:color w:val="0E2A35"/>
              </w:rPr>
              <w:t>210,004</w:t>
            </w:r>
          </w:p>
        </w:tc>
        <w:tc>
          <w:tcPr>
            <w:tcW w:w="1040" w:type="dxa"/>
            <w:vAlign w:val="bottom"/>
          </w:tcPr>
          <w:p>
            <w:pPr>
              <w:jc w:val="right"/>
              <w:ind w:right="70"/>
              <w:spacing w:after="0"/>
              <w:rPr>
                <w:sz w:val="20"/>
                <w:szCs w:val="20"/>
                <w:color w:val="auto"/>
              </w:rPr>
            </w:pPr>
            <w:r>
              <w:rPr>
                <w:rFonts w:ascii="Arial" w:cs="Arial" w:eastAsia="Arial" w:hAnsi="Arial"/>
                <w:sz w:val="14"/>
                <w:szCs w:val="14"/>
                <w:color w:val="0E2A35"/>
              </w:rPr>
              <w:t>866,252</w:t>
            </w:r>
          </w:p>
        </w:tc>
        <w:tc>
          <w:tcPr>
            <w:tcW w:w="1020" w:type="dxa"/>
            <w:vAlign w:val="bottom"/>
          </w:tcPr>
          <w:p>
            <w:pPr>
              <w:jc w:val="right"/>
              <w:ind w:right="70"/>
              <w:spacing w:after="0"/>
              <w:rPr>
                <w:sz w:val="20"/>
                <w:szCs w:val="20"/>
                <w:color w:val="auto"/>
              </w:rPr>
            </w:pPr>
            <w:r>
              <w:rPr>
                <w:rFonts w:ascii="Arial" w:cs="Arial" w:eastAsia="Arial" w:hAnsi="Arial"/>
                <w:sz w:val="14"/>
                <w:szCs w:val="14"/>
                <w:color w:val="0E2A35"/>
              </w:rPr>
              <w:t>557,700</w:t>
            </w:r>
          </w:p>
        </w:tc>
        <w:tc>
          <w:tcPr>
            <w:tcW w:w="1020" w:type="dxa"/>
            <w:vAlign w:val="bottom"/>
          </w:tcPr>
          <w:p>
            <w:pPr>
              <w:jc w:val="right"/>
              <w:ind w:right="130"/>
              <w:spacing w:after="0"/>
              <w:rPr>
                <w:sz w:val="20"/>
                <w:szCs w:val="20"/>
                <w:color w:val="auto"/>
              </w:rPr>
            </w:pPr>
            <w:r>
              <w:rPr>
                <w:rFonts w:ascii="Arial" w:cs="Arial" w:eastAsia="Arial" w:hAnsi="Arial"/>
                <w:sz w:val="14"/>
                <w:szCs w:val="14"/>
                <w:color w:val="0E2A35"/>
              </w:rPr>
              <w:t>55.3%</w:t>
            </w:r>
          </w:p>
        </w:tc>
        <w:tc>
          <w:tcPr>
            <w:tcW w:w="0" w:type="dxa"/>
            <w:vAlign w:val="bottom"/>
          </w:tcPr>
          <w:p>
            <w:pPr>
              <w:spacing w:after="0"/>
              <w:rPr>
                <w:sz w:val="1"/>
                <w:szCs w:val="1"/>
                <w:color w:val="auto"/>
              </w:rPr>
            </w:pPr>
          </w:p>
        </w:tc>
      </w:tr>
      <w:tr>
        <w:trPr>
          <w:trHeight w:val="80"/>
        </w:trPr>
        <w:tc>
          <w:tcPr>
            <w:tcW w:w="1860" w:type="dxa"/>
            <w:vAlign w:val="bottom"/>
            <w:tcBorders>
              <w:bottom w:val="single" w:sz="8" w:color="0E2A35"/>
            </w:tcBorders>
          </w:tcPr>
          <w:p>
            <w:pPr>
              <w:spacing w:after="0"/>
              <w:rPr>
                <w:sz w:val="6"/>
                <w:szCs w:val="6"/>
                <w:color w:val="auto"/>
              </w:rPr>
            </w:pPr>
          </w:p>
        </w:tc>
        <w:tc>
          <w:tcPr>
            <w:tcW w:w="106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18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Huw S. Bower</w:t>
            </w:r>
          </w:p>
        </w:tc>
        <w:tc>
          <w:tcPr>
            <w:tcW w:w="1060" w:type="dxa"/>
            <w:vAlign w:val="bottom"/>
            <w:tcBorders>
              <w:bottom w:val="single" w:sz="8" w:color="0E2A35"/>
            </w:tcBorders>
          </w:tcPr>
          <w:p>
            <w:pPr>
              <w:jc w:val="right"/>
              <w:ind w:right="12"/>
              <w:spacing w:after="0"/>
              <w:rPr>
                <w:sz w:val="20"/>
                <w:szCs w:val="20"/>
                <w:color w:val="auto"/>
              </w:rPr>
            </w:pPr>
            <w:r>
              <w:rPr>
                <w:rFonts w:ascii="Arial" w:cs="Arial" w:eastAsia="Arial" w:hAnsi="Arial"/>
                <w:sz w:val="14"/>
                <w:szCs w:val="14"/>
                <w:color w:val="0E2A35"/>
              </w:rPr>
              <w:t>494,987</w:t>
            </w:r>
          </w:p>
        </w:tc>
        <w:tc>
          <w:tcPr>
            <w:tcW w:w="1240" w:type="dxa"/>
            <w:vAlign w:val="bottom"/>
            <w:tcBorders>
              <w:bottom w:val="single" w:sz="8" w:color="0E2A35"/>
            </w:tcBorders>
          </w:tcPr>
          <w:p>
            <w:pPr>
              <w:jc w:val="right"/>
              <w:ind w:right="112"/>
              <w:spacing w:after="0"/>
              <w:rPr>
                <w:sz w:val="20"/>
                <w:szCs w:val="20"/>
                <w:color w:val="auto"/>
              </w:rPr>
            </w:pPr>
            <w:r>
              <w:rPr>
                <w:rFonts w:ascii="Arial" w:cs="Arial" w:eastAsia="Arial" w:hAnsi="Arial"/>
                <w:sz w:val="14"/>
                <w:szCs w:val="14"/>
                <w:color w:val="0E2A35"/>
              </w:rPr>
              <w:t>1,496,524</w:t>
            </w:r>
            <w:r>
              <w:rPr>
                <w:rFonts w:ascii="Arial" w:cs="Arial" w:eastAsia="Arial" w:hAnsi="Arial"/>
                <w:sz w:val="23"/>
                <w:szCs w:val="23"/>
                <w:color w:val="0E2A35"/>
                <w:vertAlign w:val="superscript"/>
              </w:rPr>
              <w:t>(3)</w:t>
            </w:r>
          </w:p>
        </w:tc>
        <w:tc>
          <w:tcPr>
            <w:tcW w:w="880" w:type="dxa"/>
            <w:vAlign w:val="bottom"/>
            <w:tcBorders>
              <w:bottom w:val="single" w:sz="8" w:color="0E2A35"/>
            </w:tcBorders>
          </w:tcPr>
          <w:p>
            <w:pPr>
              <w:jc w:val="right"/>
              <w:ind w:right="51"/>
              <w:spacing w:after="0"/>
              <w:rPr>
                <w:sz w:val="20"/>
                <w:szCs w:val="20"/>
                <w:color w:val="auto"/>
              </w:rPr>
            </w:pPr>
            <w:r>
              <w:rPr>
                <w:rFonts w:ascii="Arial" w:cs="Arial" w:eastAsia="Arial" w:hAnsi="Arial"/>
                <w:sz w:val="14"/>
                <w:szCs w:val="14"/>
                <w:color w:val="0E2A35"/>
              </w:rPr>
              <w:t>148,499</w:t>
            </w:r>
          </w:p>
        </w:tc>
        <w:tc>
          <w:tcPr>
            <w:tcW w:w="116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N/A</w:t>
            </w:r>
          </w:p>
        </w:tc>
        <w:tc>
          <w:tcPr>
            <w:tcW w:w="104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2,140,010</w:t>
            </w:r>
          </w:p>
        </w:tc>
        <w:tc>
          <w:tcPr>
            <w:tcW w:w="102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N/A</w:t>
            </w:r>
          </w:p>
        </w:tc>
        <w:tc>
          <w:tcPr>
            <w:tcW w:w="1020" w:type="dxa"/>
            <w:vAlign w:val="bottom"/>
            <w:tcBorders>
              <w:bottom w:val="single" w:sz="8" w:color="0E2A35"/>
            </w:tcBorders>
          </w:tcPr>
          <w:p>
            <w:pPr>
              <w:jc w:val="center"/>
              <w:ind w:left="70"/>
              <w:spacing w:after="0"/>
              <w:rPr>
                <w:sz w:val="20"/>
                <w:szCs w:val="20"/>
                <w:color w:val="auto"/>
              </w:rPr>
            </w:pPr>
            <w:r>
              <w:rPr>
                <w:rFonts w:ascii="Arial" w:cs="Arial" w:eastAsia="Arial" w:hAnsi="Arial"/>
                <w:sz w:val="14"/>
                <w:szCs w:val="14"/>
                <w:color w:val="0E2A35"/>
              </w:rPr>
              <w:t>N/A</w:t>
            </w:r>
          </w:p>
        </w:tc>
        <w:tc>
          <w:tcPr>
            <w:tcW w:w="0" w:type="dxa"/>
            <w:vAlign w:val="bottom"/>
          </w:tcPr>
          <w:p>
            <w:pPr>
              <w:spacing w:after="0"/>
              <w:rPr>
                <w:sz w:val="1"/>
                <w:szCs w:val="1"/>
                <w:color w:val="auto"/>
              </w:rPr>
            </w:pPr>
          </w:p>
        </w:tc>
      </w:tr>
      <w:tr>
        <w:trPr>
          <w:trHeight w:val="344"/>
        </w:trPr>
        <w:tc>
          <w:tcPr>
            <w:tcW w:w="18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Donald J. Clark</w:t>
            </w:r>
          </w:p>
        </w:tc>
        <w:tc>
          <w:tcPr>
            <w:tcW w:w="1060" w:type="dxa"/>
            <w:vAlign w:val="bottom"/>
            <w:tcBorders>
              <w:bottom w:val="single" w:sz="8" w:color="0E2A35"/>
            </w:tcBorders>
          </w:tcPr>
          <w:p>
            <w:pPr>
              <w:jc w:val="right"/>
              <w:ind w:right="12"/>
              <w:spacing w:after="0"/>
              <w:rPr>
                <w:sz w:val="20"/>
                <w:szCs w:val="20"/>
                <w:color w:val="auto"/>
              </w:rPr>
            </w:pPr>
            <w:r>
              <w:rPr>
                <w:rFonts w:ascii="Arial" w:cs="Arial" w:eastAsia="Arial" w:hAnsi="Arial"/>
                <w:sz w:val="14"/>
                <w:szCs w:val="14"/>
                <w:color w:val="0E2A35"/>
              </w:rPr>
              <w:t>N/A</w:t>
            </w:r>
          </w:p>
        </w:tc>
        <w:tc>
          <w:tcPr>
            <w:tcW w:w="1240" w:type="dxa"/>
            <w:vAlign w:val="bottom"/>
            <w:tcBorders>
              <w:bottom w:val="single" w:sz="8" w:color="0E2A35"/>
            </w:tcBorders>
          </w:tcPr>
          <w:p>
            <w:pPr>
              <w:jc w:val="right"/>
              <w:ind w:right="92"/>
              <w:spacing w:after="0"/>
              <w:rPr>
                <w:sz w:val="20"/>
                <w:szCs w:val="20"/>
                <w:color w:val="auto"/>
              </w:rPr>
            </w:pPr>
            <w:r>
              <w:rPr>
                <w:rFonts w:ascii="Arial" w:cs="Arial" w:eastAsia="Arial" w:hAnsi="Arial"/>
                <w:sz w:val="14"/>
                <w:szCs w:val="14"/>
                <w:color w:val="0E2A35"/>
              </w:rPr>
              <w:t>275,774</w:t>
            </w:r>
            <w:r>
              <w:rPr>
                <w:rFonts w:ascii="Arial" w:cs="Arial" w:eastAsia="Arial" w:hAnsi="Arial"/>
                <w:sz w:val="23"/>
                <w:szCs w:val="23"/>
                <w:color w:val="0E2A35"/>
                <w:vertAlign w:val="superscript"/>
              </w:rPr>
              <w:t>(4)</w:t>
            </w:r>
          </w:p>
        </w:tc>
        <w:tc>
          <w:tcPr>
            <w:tcW w:w="880" w:type="dxa"/>
            <w:vAlign w:val="bottom"/>
            <w:tcBorders>
              <w:bottom w:val="single" w:sz="8" w:color="0E2A35"/>
            </w:tcBorders>
          </w:tcPr>
          <w:p>
            <w:pPr>
              <w:jc w:val="right"/>
              <w:ind w:right="51"/>
              <w:spacing w:after="0"/>
              <w:rPr>
                <w:sz w:val="20"/>
                <w:szCs w:val="20"/>
                <w:color w:val="auto"/>
              </w:rPr>
            </w:pPr>
            <w:r>
              <w:rPr>
                <w:rFonts w:ascii="Arial" w:cs="Arial" w:eastAsia="Arial" w:hAnsi="Arial"/>
                <w:sz w:val="14"/>
                <w:szCs w:val="14"/>
                <w:color w:val="0E2A35"/>
              </w:rPr>
              <w:t>N/A</w:t>
            </w:r>
          </w:p>
        </w:tc>
        <w:tc>
          <w:tcPr>
            <w:tcW w:w="116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N/A</w:t>
            </w:r>
          </w:p>
        </w:tc>
        <w:tc>
          <w:tcPr>
            <w:tcW w:w="104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275,774</w:t>
            </w:r>
          </w:p>
        </w:tc>
        <w:tc>
          <w:tcPr>
            <w:tcW w:w="102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N/A</w:t>
            </w:r>
          </w:p>
        </w:tc>
        <w:tc>
          <w:tcPr>
            <w:tcW w:w="1020" w:type="dxa"/>
            <w:vAlign w:val="bottom"/>
            <w:tcBorders>
              <w:bottom w:val="single" w:sz="8" w:color="0E2A35"/>
            </w:tcBorders>
          </w:tcPr>
          <w:p>
            <w:pPr>
              <w:jc w:val="center"/>
              <w:ind w:left="70"/>
              <w:spacing w:after="0"/>
              <w:rPr>
                <w:sz w:val="20"/>
                <w:szCs w:val="20"/>
                <w:color w:val="auto"/>
              </w:rPr>
            </w:pPr>
            <w:r>
              <w:rPr>
                <w:rFonts w:ascii="Arial" w:cs="Arial" w:eastAsia="Arial" w:hAnsi="Arial"/>
                <w:sz w:val="14"/>
                <w:szCs w:val="14"/>
                <w:color w:val="0E2A35"/>
              </w:rPr>
              <w:t>N/A</w:t>
            </w:r>
          </w:p>
        </w:tc>
        <w:tc>
          <w:tcPr>
            <w:tcW w:w="0" w:type="dxa"/>
            <w:vAlign w:val="bottom"/>
          </w:tcPr>
          <w:p>
            <w:pPr>
              <w:spacing w:after="0"/>
              <w:rPr>
                <w:sz w:val="1"/>
                <w:szCs w:val="1"/>
                <w:color w:val="auto"/>
              </w:rPr>
            </w:pPr>
          </w:p>
        </w:tc>
      </w:tr>
      <w:tr>
        <w:trPr>
          <w:trHeight w:val="265"/>
        </w:trPr>
        <w:tc>
          <w:tcPr>
            <w:tcW w:w="186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1060" w:type="dxa"/>
            <w:vAlign w:val="bottom"/>
          </w:tcPr>
          <w:p>
            <w:pPr>
              <w:jc w:val="right"/>
              <w:ind w:right="12"/>
              <w:spacing w:after="0"/>
              <w:rPr>
                <w:sz w:val="20"/>
                <w:szCs w:val="20"/>
                <w:color w:val="auto"/>
              </w:rPr>
            </w:pPr>
            <w:r>
              <w:rPr>
                <w:rFonts w:ascii="Arial" w:cs="Arial" w:eastAsia="Arial" w:hAnsi="Arial"/>
                <w:sz w:val="14"/>
                <w:szCs w:val="14"/>
                <w:color w:val="0E2A35"/>
              </w:rPr>
              <w:t>294,682</w:t>
            </w:r>
          </w:p>
        </w:tc>
        <w:tc>
          <w:tcPr>
            <w:tcW w:w="1240" w:type="dxa"/>
            <w:vAlign w:val="bottom"/>
          </w:tcPr>
          <w:p>
            <w:pPr>
              <w:jc w:val="right"/>
              <w:ind w:right="252"/>
              <w:spacing w:after="0"/>
              <w:rPr>
                <w:sz w:val="20"/>
                <w:szCs w:val="20"/>
                <w:color w:val="auto"/>
              </w:rPr>
            </w:pPr>
            <w:r>
              <w:rPr>
                <w:rFonts w:ascii="Arial" w:cs="Arial" w:eastAsia="Arial" w:hAnsi="Arial"/>
                <w:sz w:val="14"/>
                <w:szCs w:val="14"/>
                <w:color w:val="0E2A35"/>
              </w:rPr>
              <w:t>206,290</w:t>
            </w:r>
          </w:p>
        </w:tc>
        <w:tc>
          <w:tcPr>
            <w:tcW w:w="880" w:type="dxa"/>
            <w:vAlign w:val="bottom"/>
          </w:tcPr>
          <w:p>
            <w:pPr>
              <w:jc w:val="right"/>
              <w:ind w:right="51"/>
              <w:spacing w:after="0"/>
              <w:rPr>
                <w:sz w:val="20"/>
                <w:szCs w:val="20"/>
                <w:color w:val="auto"/>
              </w:rPr>
            </w:pPr>
            <w:r>
              <w:rPr>
                <w:rFonts w:ascii="Arial" w:cs="Arial" w:eastAsia="Arial" w:hAnsi="Arial"/>
                <w:sz w:val="14"/>
                <w:szCs w:val="14"/>
                <w:color w:val="0E2A35"/>
              </w:rPr>
              <w:t>88,408</w:t>
            </w:r>
          </w:p>
        </w:tc>
        <w:tc>
          <w:tcPr>
            <w:tcW w:w="1160" w:type="dxa"/>
            <w:vAlign w:val="bottom"/>
          </w:tcPr>
          <w:p>
            <w:pPr>
              <w:jc w:val="right"/>
              <w:ind w:right="111"/>
              <w:spacing w:after="0"/>
              <w:rPr>
                <w:sz w:val="20"/>
                <w:szCs w:val="20"/>
                <w:color w:val="auto"/>
              </w:rPr>
            </w:pPr>
            <w:r>
              <w:rPr>
                <w:rFonts w:ascii="Arial" w:cs="Arial" w:eastAsia="Arial" w:hAnsi="Arial"/>
                <w:sz w:val="14"/>
                <w:szCs w:val="14"/>
                <w:color w:val="0E2A35"/>
              </w:rPr>
              <w:t>190,007</w:t>
            </w:r>
          </w:p>
        </w:tc>
        <w:tc>
          <w:tcPr>
            <w:tcW w:w="1040" w:type="dxa"/>
            <w:vAlign w:val="bottom"/>
          </w:tcPr>
          <w:p>
            <w:pPr>
              <w:jc w:val="right"/>
              <w:ind w:right="70"/>
              <w:spacing w:after="0"/>
              <w:rPr>
                <w:sz w:val="20"/>
                <w:szCs w:val="20"/>
                <w:color w:val="auto"/>
              </w:rPr>
            </w:pPr>
            <w:r>
              <w:rPr>
                <w:rFonts w:ascii="Arial" w:cs="Arial" w:eastAsia="Arial" w:hAnsi="Arial"/>
                <w:sz w:val="14"/>
                <w:szCs w:val="14"/>
                <w:color w:val="0E2A35"/>
              </w:rPr>
              <w:t>779,395</w:t>
            </w:r>
          </w:p>
        </w:tc>
        <w:tc>
          <w:tcPr>
            <w:tcW w:w="1020" w:type="dxa"/>
            <w:vAlign w:val="bottom"/>
          </w:tcPr>
          <w:p>
            <w:pPr>
              <w:jc w:val="right"/>
              <w:ind w:right="70"/>
              <w:spacing w:after="0"/>
              <w:rPr>
                <w:sz w:val="20"/>
                <w:szCs w:val="20"/>
                <w:color w:val="auto"/>
              </w:rPr>
            </w:pPr>
            <w:r>
              <w:rPr>
                <w:rFonts w:ascii="Arial" w:cs="Arial" w:eastAsia="Arial" w:hAnsi="Arial"/>
                <w:sz w:val="14"/>
                <w:szCs w:val="14"/>
                <w:color w:val="0E2A35"/>
              </w:rPr>
              <w:t>540,650</w:t>
            </w:r>
          </w:p>
        </w:tc>
        <w:tc>
          <w:tcPr>
            <w:tcW w:w="1020" w:type="dxa"/>
            <w:vAlign w:val="bottom"/>
          </w:tcPr>
          <w:p>
            <w:pPr>
              <w:jc w:val="center"/>
              <w:ind w:left="90"/>
              <w:spacing w:after="0"/>
              <w:rPr>
                <w:sz w:val="20"/>
                <w:szCs w:val="20"/>
                <w:color w:val="auto"/>
              </w:rPr>
            </w:pPr>
            <w:r>
              <w:rPr>
                <w:rFonts w:ascii="Arial" w:cs="Arial" w:eastAsia="Arial" w:hAnsi="Arial"/>
                <w:sz w:val="14"/>
                <w:szCs w:val="14"/>
                <w:color w:val="0E2A35"/>
              </w:rPr>
              <w:t>44.2%</w:t>
            </w:r>
          </w:p>
        </w:tc>
        <w:tc>
          <w:tcPr>
            <w:tcW w:w="0" w:type="dxa"/>
            <w:vAlign w:val="bottom"/>
          </w:tcPr>
          <w:p>
            <w:pPr>
              <w:spacing w:after="0"/>
              <w:rPr>
                <w:sz w:val="1"/>
                <w:szCs w:val="1"/>
                <w:color w:val="auto"/>
              </w:rPr>
            </w:pPr>
          </w:p>
        </w:tc>
      </w:tr>
      <w:tr>
        <w:trPr>
          <w:trHeight w:val="39"/>
        </w:trPr>
        <w:tc>
          <w:tcPr>
            <w:tcW w:w="1860" w:type="dxa"/>
            <w:vAlign w:val="bottom"/>
            <w:tcBorders>
              <w:bottom w:val="single" w:sz="8" w:color="0E2A35"/>
            </w:tcBorders>
          </w:tcPr>
          <w:p>
            <w:pPr>
              <w:spacing w:after="0"/>
              <w:rPr>
                <w:sz w:val="3"/>
                <w:szCs w:val="3"/>
                <w:color w:val="auto"/>
              </w:rPr>
            </w:pPr>
          </w:p>
        </w:tc>
        <w:tc>
          <w:tcPr>
            <w:tcW w:w="1060" w:type="dxa"/>
            <w:vAlign w:val="bottom"/>
            <w:tcBorders>
              <w:bottom w:val="single" w:sz="8" w:color="0E2A35"/>
            </w:tcBorders>
          </w:tcPr>
          <w:p>
            <w:pPr>
              <w:spacing w:after="0"/>
              <w:rPr>
                <w:sz w:val="3"/>
                <w:szCs w:val="3"/>
                <w:color w:val="auto"/>
              </w:rPr>
            </w:pPr>
          </w:p>
        </w:tc>
        <w:tc>
          <w:tcPr>
            <w:tcW w:w="1240" w:type="dxa"/>
            <w:vAlign w:val="bottom"/>
            <w:tcBorders>
              <w:bottom w:val="single" w:sz="8" w:color="0E2A35"/>
            </w:tcBorders>
          </w:tcPr>
          <w:p>
            <w:pPr>
              <w:spacing w:after="0"/>
              <w:rPr>
                <w:sz w:val="3"/>
                <w:szCs w:val="3"/>
                <w:color w:val="auto"/>
              </w:rPr>
            </w:pPr>
          </w:p>
        </w:tc>
        <w:tc>
          <w:tcPr>
            <w:tcW w:w="88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04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tcPr>
          <w:p>
            <w:pPr>
              <w:spacing w:after="0"/>
              <w:rPr>
                <w:sz w:val="3"/>
                <w:szCs w:val="3"/>
                <w:color w:val="auto"/>
              </w:rPr>
            </w:pPr>
          </w:p>
        </w:tc>
        <w:tc>
          <w:tcPr>
            <w:tcW w:w="102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-1602105</wp:posOffset>
            </wp:positionV>
            <wp:extent cx="18516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82" w:lineRule="exact"/>
        <w:rPr>
          <w:sz w:val="20"/>
          <w:szCs w:val="20"/>
          <w:color w:val="auto"/>
        </w:rPr>
      </w:pPr>
    </w:p>
    <w:p>
      <w:pPr>
        <w:ind w:left="1220" w:right="1140" w:hanging="360"/>
        <w:spacing w:after="0" w:line="230" w:lineRule="auto"/>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This reflects the fiscal 2021 PSUs, which have a one-year performance period and a two-year vesting schedule, with 50% vesting in October 2021 and 50% vesting in October 2022.</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To perform this calculation, we assumed that the fiscal 2020 and fiscal 2021 equity awards were earned at target.</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Mr. Bower’s restricted stock unit award reflects a new hire stock buyout grant which has pro-rata vesting over three years.</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36"/>
        </w:numPr>
        <w:rPr>
          <w:rFonts w:ascii="Arial" w:cs="Arial" w:eastAsia="Arial" w:hAnsi="Arial"/>
          <w:sz w:val="13"/>
          <w:szCs w:val="13"/>
          <w:color w:val="0E2A35"/>
        </w:rPr>
      </w:pPr>
      <w:r>
        <w:rPr>
          <w:rFonts w:ascii="Arial" w:cs="Arial" w:eastAsia="Arial" w:hAnsi="Arial"/>
          <w:sz w:val="13"/>
          <w:szCs w:val="13"/>
          <w:color w:val="0E2A35"/>
        </w:rPr>
        <w:t>Under the terms of his employment agreement, Mr. Clark receives 10% of this Grand Design MIP award delivered in the form of restricted stock units.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47</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2" w:name="page53"/>
    <w:bookmarkEnd w:id="5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Payout of the Fiscal 2019-2021 LTIP Cycle</w:t>
      </w:r>
    </w:p>
    <w:p>
      <w:pPr>
        <w:spacing w:after="0" w:line="213" w:lineRule="exact"/>
        <w:rPr>
          <w:sz w:val="20"/>
          <w:szCs w:val="20"/>
          <w:color w:val="auto"/>
        </w:rPr>
      </w:pPr>
    </w:p>
    <w:p>
      <w:pPr>
        <w:ind w:left="860" w:right="1020"/>
        <w:spacing w:after="0" w:line="249" w:lineRule="auto"/>
        <w:rPr>
          <w:sz w:val="20"/>
          <w:szCs w:val="20"/>
          <w:color w:val="auto"/>
        </w:rPr>
      </w:pPr>
      <w:r>
        <w:rPr>
          <w:rFonts w:ascii="Arial" w:cs="Arial" w:eastAsia="Arial" w:hAnsi="Arial"/>
          <w:sz w:val="16"/>
          <w:szCs w:val="16"/>
          <w:color w:val="0E2A35"/>
        </w:rPr>
        <w:t>For the fiscal 2019-2021 LTIP performance share units, the committee used the metrics of average Incentive ROIC and cumulative Incentive EPS, which are additional financial metrics separate from the metrics utilized under the OICP, as they provide another measurement of NEO effectiveness. The awards were determined based on our performance against these metrics. The payout scale provided for a minimum award of 0% of the shares granted and a maximum award of 200% of the shares granted. The table below reflects our performance against these metrics and the amount paid to eligible NEOs under the fiscal 2019-2021 LTIP performance share units:</w:t>
      </w:r>
    </w:p>
    <w:p>
      <w:pPr>
        <w:spacing w:after="0" w:line="54"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880" w:type="dxa"/>
            <w:vAlign w:val="bottom"/>
            <w:shd w:val="clear" w:color="auto" w:fill="0E2A35"/>
          </w:tcPr>
          <w:p>
            <w:pPr>
              <w:spacing w:after="0"/>
              <w:rPr>
                <w:sz w:val="19"/>
                <w:szCs w:val="19"/>
                <w:color w:val="auto"/>
              </w:rPr>
            </w:pPr>
          </w:p>
        </w:tc>
        <w:tc>
          <w:tcPr>
            <w:tcW w:w="960" w:type="dxa"/>
            <w:vAlign w:val="bottom"/>
            <w:shd w:val="clear" w:color="auto" w:fill="0E2A35"/>
          </w:tcPr>
          <w:p>
            <w:pPr>
              <w:spacing w:after="0"/>
              <w:rPr>
                <w:sz w:val="19"/>
                <w:szCs w:val="19"/>
                <w:color w:val="auto"/>
              </w:rPr>
            </w:pPr>
          </w:p>
        </w:tc>
        <w:tc>
          <w:tcPr>
            <w:tcW w:w="10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860" w:type="dxa"/>
            <w:vAlign w:val="bottom"/>
            <w:shd w:val="clear" w:color="auto" w:fill="0E2A35"/>
          </w:tcPr>
          <w:p>
            <w:pPr>
              <w:spacing w:after="0"/>
              <w:rPr>
                <w:sz w:val="19"/>
                <w:szCs w:val="19"/>
                <w:color w:val="auto"/>
              </w:rPr>
            </w:pPr>
          </w:p>
        </w:tc>
      </w:tr>
      <w:tr>
        <w:trPr>
          <w:trHeight w:val="131"/>
        </w:trPr>
        <w:tc>
          <w:tcPr>
            <w:tcW w:w="2880" w:type="dxa"/>
            <w:vAlign w:val="bottom"/>
            <w:shd w:val="clear" w:color="auto" w:fill="0E2A35"/>
          </w:tcPr>
          <w:p>
            <w:pPr>
              <w:spacing w:after="0"/>
              <w:rPr>
                <w:sz w:val="11"/>
                <w:szCs w:val="11"/>
                <w:color w:val="auto"/>
              </w:rPr>
            </w:pPr>
          </w:p>
        </w:tc>
        <w:tc>
          <w:tcPr>
            <w:tcW w:w="960" w:type="dxa"/>
            <w:vAlign w:val="bottom"/>
            <w:shd w:val="clear" w:color="auto" w:fill="0E2A35"/>
          </w:tcPr>
          <w:p>
            <w:pPr>
              <w:spacing w:after="0"/>
              <w:rPr>
                <w:sz w:val="11"/>
                <w:szCs w:val="11"/>
                <w:color w:val="auto"/>
              </w:rPr>
            </w:pPr>
          </w:p>
        </w:tc>
        <w:tc>
          <w:tcPr>
            <w:tcW w:w="10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2"/>
              </w:rPr>
              <w:t>(10%</w:t>
            </w:r>
          </w:p>
        </w:tc>
        <w:tc>
          <w:tcPr>
            <w:tcW w:w="13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(100%</w:t>
            </w:r>
          </w:p>
        </w:tc>
        <w:tc>
          <w:tcPr>
            <w:tcW w:w="9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(200%</w:t>
            </w:r>
          </w:p>
        </w:tc>
        <w:tc>
          <w:tcPr>
            <w:tcW w:w="12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2019-2021</w:t>
            </w:r>
          </w:p>
        </w:tc>
        <w:tc>
          <w:tcPr>
            <w:tcW w:w="860" w:type="dxa"/>
            <w:vAlign w:val="bottom"/>
            <w:shd w:val="clear" w:color="auto" w:fill="0E2A35"/>
          </w:tcPr>
          <w:p>
            <w:pPr>
              <w:jc w:val="right"/>
              <w:ind w:right="152"/>
              <w:spacing w:after="0" w:line="131" w:lineRule="exact"/>
              <w:rPr>
                <w:sz w:val="20"/>
                <w:szCs w:val="20"/>
                <w:color w:val="auto"/>
              </w:rPr>
            </w:pPr>
            <w:r>
              <w:rPr>
                <w:rFonts w:ascii="Arial" w:cs="Arial" w:eastAsia="Arial" w:hAnsi="Arial"/>
                <w:sz w:val="13"/>
                <w:szCs w:val="13"/>
                <w:b w:val="1"/>
                <w:bCs w:val="1"/>
                <w:color w:val="FFFFFF"/>
              </w:rPr>
              <w:t>Actual</w:t>
            </w:r>
          </w:p>
        </w:tc>
      </w:tr>
      <w:tr>
        <w:trPr>
          <w:trHeight w:val="255"/>
        </w:trPr>
        <w:tc>
          <w:tcPr>
            <w:tcW w:w="288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Metric</w:t>
            </w:r>
          </w:p>
        </w:tc>
        <w:tc>
          <w:tcPr>
            <w:tcW w:w="960" w:type="dxa"/>
            <w:vAlign w:val="bottom"/>
            <w:shd w:val="clear" w:color="auto" w:fill="0E2A35"/>
          </w:tcPr>
          <w:p>
            <w:pPr>
              <w:jc w:val="right"/>
              <w:ind w:right="151"/>
              <w:spacing w:after="0"/>
              <w:rPr>
                <w:sz w:val="20"/>
                <w:szCs w:val="20"/>
                <w:color w:val="auto"/>
              </w:rPr>
            </w:pPr>
            <w:r>
              <w:rPr>
                <w:rFonts w:ascii="Arial" w:cs="Arial" w:eastAsia="Arial" w:hAnsi="Arial"/>
                <w:sz w:val="13"/>
                <w:szCs w:val="13"/>
                <w:b w:val="1"/>
                <w:bCs w:val="1"/>
                <w:color w:val="FFFFFF"/>
              </w:rPr>
              <w:t>Weight</w:t>
            </w:r>
          </w:p>
        </w:tc>
        <w:tc>
          <w:tcPr>
            <w:tcW w:w="10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Payout)</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Performance</w:t>
            </w:r>
            <w:r>
              <w:rPr>
                <w:rFonts w:ascii="Arial" w:cs="Arial" w:eastAsia="Arial" w:hAnsi="Arial"/>
                <w:sz w:val="20"/>
                <w:szCs w:val="20"/>
                <w:b w:val="1"/>
                <w:bCs w:val="1"/>
                <w:color w:val="FFFFFF"/>
                <w:w w:val="93"/>
                <w:vertAlign w:val="superscript"/>
              </w:rPr>
              <w:t>(1)</w:t>
            </w:r>
          </w:p>
        </w:tc>
        <w:tc>
          <w:tcPr>
            <w:tcW w:w="860" w:type="dxa"/>
            <w:vAlign w:val="bottom"/>
            <w:shd w:val="clear" w:color="auto" w:fill="0E2A35"/>
          </w:tcPr>
          <w:p>
            <w:pPr>
              <w:jc w:val="right"/>
              <w:ind w:right="52"/>
              <w:spacing w:after="0"/>
              <w:rPr>
                <w:sz w:val="20"/>
                <w:szCs w:val="20"/>
                <w:color w:val="auto"/>
              </w:rPr>
            </w:pPr>
            <w:r>
              <w:rPr>
                <w:rFonts w:ascii="Arial" w:cs="Arial" w:eastAsia="Arial" w:hAnsi="Arial"/>
                <w:sz w:val="13"/>
                <w:szCs w:val="13"/>
                <w:b w:val="1"/>
                <w:bCs w:val="1"/>
                <w:color w:val="FFFFFF"/>
              </w:rPr>
              <w:t>Payout %</w:t>
            </w:r>
          </w:p>
        </w:tc>
      </w:tr>
      <w:tr>
        <w:trPr>
          <w:trHeight w:val="271"/>
        </w:trPr>
        <w:tc>
          <w:tcPr>
            <w:tcW w:w="2880" w:type="dxa"/>
            <w:vAlign w:val="bottom"/>
          </w:tcPr>
          <w:p>
            <w:pPr>
              <w:ind w:left="160"/>
              <w:spacing w:after="0"/>
              <w:rPr>
                <w:sz w:val="20"/>
                <w:szCs w:val="20"/>
                <w:color w:val="auto"/>
              </w:rPr>
            </w:pPr>
            <w:r>
              <w:rPr>
                <w:rFonts w:ascii="Arial" w:cs="Arial" w:eastAsia="Arial" w:hAnsi="Arial"/>
                <w:sz w:val="14"/>
                <w:szCs w:val="14"/>
                <w:color w:val="0E2A35"/>
              </w:rPr>
              <w:t>Three-year Average Incentive ROIC</w:t>
            </w:r>
          </w:p>
        </w:tc>
        <w:tc>
          <w:tcPr>
            <w:tcW w:w="960" w:type="dxa"/>
            <w:vAlign w:val="bottom"/>
          </w:tcPr>
          <w:p>
            <w:pPr>
              <w:jc w:val="right"/>
              <w:ind w:right="111"/>
              <w:spacing w:after="0"/>
              <w:rPr>
                <w:sz w:val="20"/>
                <w:szCs w:val="20"/>
                <w:color w:val="auto"/>
              </w:rPr>
            </w:pPr>
            <w:r>
              <w:rPr>
                <w:rFonts w:ascii="Arial" w:cs="Arial" w:eastAsia="Arial" w:hAnsi="Arial"/>
                <w:sz w:val="14"/>
                <w:szCs w:val="14"/>
                <w:color w:val="0E2A35"/>
              </w:rPr>
              <w:t>50.0%</w:t>
            </w:r>
          </w:p>
        </w:tc>
        <w:tc>
          <w:tcPr>
            <w:tcW w:w="1000" w:type="dxa"/>
            <w:vAlign w:val="bottom"/>
          </w:tcPr>
          <w:p>
            <w:pPr>
              <w:jc w:val="right"/>
              <w:ind w:right="113"/>
              <w:spacing w:after="0"/>
              <w:rPr>
                <w:sz w:val="20"/>
                <w:szCs w:val="20"/>
                <w:color w:val="auto"/>
              </w:rPr>
            </w:pPr>
            <w:r>
              <w:rPr>
                <w:rFonts w:ascii="Arial" w:cs="Arial" w:eastAsia="Arial" w:hAnsi="Arial"/>
                <w:sz w:val="14"/>
                <w:szCs w:val="14"/>
                <w:color w:val="0E2A35"/>
              </w:rPr>
              <w:t>15.8%</w:t>
            </w:r>
          </w:p>
        </w:tc>
        <w:tc>
          <w:tcPr>
            <w:tcW w:w="1320" w:type="dxa"/>
            <w:vAlign w:val="bottom"/>
          </w:tcPr>
          <w:p>
            <w:pPr>
              <w:jc w:val="center"/>
              <w:spacing w:after="0"/>
              <w:rPr>
                <w:sz w:val="20"/>
                <w:szCs w:val="20"/>
                <w:color w:val="auto"/>
              </w:rPr>
            </w:pPr>
            <w:r>
              <w:rPr>
                <w:rFonts w:ascii="Arial" w:cs="Arial" w:eastAsia="Arial" w:hAnsi="Arial"/>
                <w:sz w:val="14"/>
                <w:szCs w:val="14"/>
                <w:color w:val="0E2A35"/>
              </w:rPr>
              <w:t>18.8% - 20.8%</w:t>
            </w:r>
          </w:p>
        </w:tc>
        <w:tc>
          <w:tcPr>
            <w:tcW w:w="980" w:type="dxa"/>
            <w:vAlign w:val="bottom"/>
          </w:tcPr>
          <w:p>
            <w:pPr>
              <w:jc w:val="right"/>
              <w:ind w:right="113"/>
              <w:spacing w:after="0"/>
              <w:rPr>
                <w:sz w:val="20"/>
                <w:szCs w:val="20"/>
                <w:color w:val="auto"/>
              </w:rPr>
            </w:pPr>
            <w:r>
              <w:rPr>
                <w:rFonts w:ascii="Arial" w:cs="Arial" w:eastAsia="Arial" w:hAnsi="Arial"/>
                <w:sz w:val="14"/>
                <w:szCs w:val="14"/>
                <w:color w:val="0E2A35"/>
              </w:rPr>
              <w:t>23.8%</w:t>
            </w:r>
          </w:p>
        </w:tc>
        <w:tc>
          <w:tcPr>
            <w:tcW w:w="1280" w:type="dxa"/>
            <w:vAlign w:val="bottom"/>
          </w:tcPr>
          <w:p>
            <w:pPr>
              <w:jc w:val="right"/>
              <w:ind w:right="213"/>
              <w:spacing w:after="0"/>
              <w:rPr>
                <w:sz w:val="20"/>
                <w:szCs w:val="20"/>
                <w:color w:val="auto"/>
              </w:rPr>
            </w:pPr>
            <w:r>
              <w:rPr>
                <w:rFonts w:ascii="Arial" w:cs="Arial" w:eastAsia="Arial" w:hAnsi="Arial"/>
                <w:sz w:val="14"/>
                <w:szCs w:val="14"/>
                <w:color w:val="0E2A35"/>
              </w:rPr>
              <w:t>17.60%</w:t>
            </w:r>
          </w:p>
        </w:tc>
        <w:tc>
          <w:tcPr>
            <w:tcW w:w="860" w:type="dxa"/>
            <w:vAlign w:val="bottom"/>
          </w:tcPr>
          <w:p>
            <w:pPr>
              <w:jc w:val="right"/>
              <w:ind w:right="72"/>
              <w:spacing w:after="0"/>
              <w:rPr>
                <w:sz w:val="20"/>
                <w:szCs w:val="20"/>
                <w:color w:val="auto"/>
              </w:rPr>
            </w:pPr>
            <w:r>
              <w:rPr>
                <w:rFonts w:ascii="Arial" w:cs="Arial" w:eastAsia="Arial" w:hAnsi="Arial"/>
                <w:sz w:val="14"/>
                <w:szCs w:val="14"/>
                <w:color w:val="0E2A35"/>
              </w:rPr>
              <w:t>63.3%</w:t>
            </w:r>
          </w:p>
        </w:tc>
      </w:tr>
      <w:tr>
        <w:trPr>
          <w:trHeight w:val="80"/>
        </w:trPr>
        <w:tc>
          <w:tcPr>
            <w:tcW w:w="288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100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1280" w:type="dxa"/>
            <w:vAlign w:val="bottom"/>
            <w:tcBorders>
              <w:bottom w:val="single" w:sz="8" w:color="0E2A35"/>
            </w:tcBorders>
          </w:tcPr>
          <w:p>
            <w:pPr>
              <w:spacing w:after="0"/>
              <w:rPr>
                <w:sz w:val="6"/>
                <w:szCs w:val="6"/>
                <w:color w:val="auto"/>
              </w:rPr>
            </w:pPr>
          </w:p>
        </w:tc>
        <w:tc>
          <w:tcPr>
            <w:tcW w:w="860" w:type="dxa"/>
            <w:vAlign w:val="bottom"/>
            <w:tcBorders>
              <w:bottom w:val="single" w:sz="8" w:color="0E2A35"/>
            </w:tcBorders>
          </w:tcPr>
          <w:p>
            <w:pPr>
              <w:spacing w:after="0"/>
              <w:rPr>
                <w:sz w:val="6"/>
                <w:szCs w:val="6"/>
                <w:color w:val="auto"/>
              </w:rPr>
            </w:pPr>
          </w:p>
        </w:tc>
      </w:tr>
      <w:tr>
        <w:trPr>
          <w:trHeight w:val="255"/>
        </w:trPr>
        <w:tc>
          <w:tcPr>
            <w:tcW w:w="2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E2A35"/>
              </w:rPr>
              <w:t>$15.45 -</w:t>
            </w:r>
          </w:p>
        </w:tc>
        <w:tc>
          <w:tcPr>
            <w:tcW w:w="9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72"/>
        </w:trPr>
        <w:tc>
          <w:tcPr>
            <w:tcW w:w="2880" w:type="dxa"/>
            <w:vAlign w:val="bottom"/>
          </w:tcPr>
          <w:p>
            <w:pPr>
              <w:ind w:left="160"/>
              <w:spacing w:after="0"/>
              <w:rPr>
                <w:sz w:val="20"/>
                <w:szCs w:val="20"/>
                <w:color w:val="auto"/>
              </w:rPr>
            </w:pPr>
            <w:r>
              <w:rPr>
                <w:rFonts w:ascii="Arial" w:cs="Arial" w:eastAsia="Arial" w:hAnsi="Arial"/>
                <w:sz w:val="14"/>
                <w:szCs w:val="14"/>
                <w:color w:val="0E2A35"/>
              </w:rPr>
              <w:t>Three-year Cumulative Incentive EPS</w:t>
            </w:r>
          </w:p>
        </w:tc>
        <w:tc>
          <w:tcPr>
            <w:tcW w:w="960" w:type="dxa"/>
            <w:vAlign w:val="bottom"/>
          </w:tcPr>
          <w:p>
            <w:pPr>
              <w:jc w:val="right"/>
              <w:ind w:right="111"/>
              <w:spacing w:after="0"/>
              <w:rPr>
                <w:sz w:val="20"/>
                <w:szCs w:val="20"/>
                <w:color w:val="auto"/>
              </w:rPr>
            </w:pPr>
            <w:r>
              <w:rPr>
                <w:rFonts w:ascii="Arial" w:cs="Arial" w:eastAsia="Arial" w:hAnsi="Arial"/>
                <w:sz w:val="14"/>
                <w:szCs w:val="14"/>
                <w:color w:val="0E2A35"/>
              </w:rPr>
              <w:t>50.0%</w:t>
            </w:r>
          </w:p>
        </w:tc>
        <w:tc>
          <w:tcPr>
            <w:tcW w:w="1000" w:type="dxa"/>
            <w:vAlign w:val="bottom"/>
          </w:tcPr>
          <w:p>
            <w:pPr>
              <w:jc w:val="right"/>
              <w:ind w:right="213"/>
              <w:spacing w:after="0"/>
              <w:rPr>
                <w:sz w:val="20"/>
                <w:szCs w:val="20"/>
                <w:color w:val="auto"/>
              </w:rPr>
            </w:pPr>
            <w:r>
              <w:rPr>
                <w:rFonts w:ascii="Arial" w:cs="Arial" w:eastAsia="Arial" w:hAnsi="Arial"/>
                <w:sz w:val="14"/>
                <w:szCs w:val="14"/>
                <w:color w:val="0E2A35"/>
              </w:rPr>
              <w:t>$13.01</w:t>
            </w:r>
          </w:p>
        </w:tc>
        <w:tc>
          <w:tcPr>
            <w:tcW w:w="1320" w:type="dxa"/>
            <w:vAlign w:val="bottom"/>
          </w:tcPr>
          <w:p>
            <w:pPr>
              <w:jc w:val="center"/>
              <w:spacing w:after="0"/>
              <w:rPr>
                <w:sz w:val="20"/>
                <w:szCs w:val="20"/>
                <w:color w:val="auto"/>
              </w:rPr>
            </w:pPr>
            <w:r>
              <w:rPr>
                <w:rFonts w:ascii="Arial" w:cs="Arial" w:eastAsia="Arial" w:hAnsi="Arial"/>
                <w:sz w:val="14"/>
                <w:szCs w:val="14"/>
                <w:color w:val="0E2A35"/>
              </w:rPr>
              <w:t>$17.07</w:t>
            </w:r>
          </w:p>
        </w:tc>
        <w:tc>
          <w:tcPr>
            <w:tcW w:w="980" w:type="dxa"/>
            <w:vAlign w:val="bottom"/>
          </w:tcPr>
          <w:p>
            <w:pPr>
              <w:jc w:val="right"/>
              <w:ind w:right="173"/>
              <w:spacing w:after="0"/>
              <w:rPr>
                <w:sz w:val="20"/>
                <w:szCs w:val="20"/>
                <w:color w:val="auto"/>
              </w:rPr>
            </w:pPr>
            <w:r>
              <w:rPr>
                <w:rFonts w:ascii="Arial" w:cs="Arial" w:eastAsia="Arial" w:hAnsi="Arial"/>
                <w:sz w:val="14"/>
                <w:szCs w:val="14"/>
                <w:color w:val="0E2A35"/>
              </w:rPr>
              <w:t>$19.51</w:t>
            </w:r>
          </w:p>
        </w:tc>
        <w:tc>
          <w:tcPr>
            <w:tcW w:w="1280" w:type="dxa"/>
            <w:vAlign w:val="bottom"/>
          </w:tcPr>
          <w:p>
            <w:pPr>
              <w:jc w:val="center"/>
              <w:spacing w:after="0"/>
              <w:rPr>
                <w:sz w:val="20"/>
                <w:szCs w:val="20"/>
                <w:color w:val="auto"/>
              </w:rPr>
            </w:pPr>
            <w:r>
              <w:rPr>
                <w:rFonts w:ascii="Arial" w:cs="Arial" w:eastAsia="Arial" w:hAnsi="Arial"/>
                <w:sz w:val="14"/>
                <w:szCs w:val="14"/>
                <w:color w:val="0E2A35"/>
              </w:rPr>
              <w:t>$14.70</w:t>
            </w:r>
          </w:p>
        </w:tc>
        <w:tc>
          <w:tcPr>
            <w:tcW w:w="860" w:type="dxa"/>
            <w:vAlign w:val="bottom"/>
          </w:tcPr>
          <w:p>
            <w:pPr>
              <w:jc w:val="right"/>
              <w:ind w:right="72"/>
              <w:spacing w:after="0"/>
              <w:rPr>
                <w:sz w:val="20"/>
                <w:szCs w:val="20"/>
                <w:color w:val="auto"/>
              </w:rPr>
            </w:pPr>
            <w:r>
              <w:rPr>
                <w:rFonts w:ascii="Arial" w:cs="Arial" w:eastAsia="Arial" w:hAnsi="Arial"/>
                <w:sz w:val="14"/>
                <w:szCs w:val="14"/>
                <w:color w:val="0E2A35"/>
              </w:rPr>
              <w:t>72.5%</w:t>
            </w:r>
          </w:p>
        </w:tc>
      </w:tr>
      <w:tr>
        <w:trPr>
          <w:trHeight w:val="80"/>
        </w:trPr>
        <w:tc>
          <w:tcPr>
            <w:tcW w:w="288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100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2260" w:type="dxa"/>
            <w:vAlign w:val="bottom"/>
            <w:tcBorders>
              <w:bottom w:val="single" w:sz="8" w:color="0E2A35"/>
            </w:tcBorders>
            <w:gridSpan w:val="2"/>
          </w:tcPr>
          <w:p>
            <w:pPr>
              <w:spacing w:after="0"/>
              <w:rPr>
                <w:sz w:val="6"/>
                <w:szCs w:val="6"/>
                <w:color w:val="auto"/>
              </w:rPr>
            </w:pPr>
          </w:p>
        </w:tc>
        <w:tc>
          <w:tcPr>
            <w:tcW w:w="860" w:type="dxa"/>
            <w:vAlign w:val="bottom"/>
            <w:tcBorders>
              <w:bottom w:val="single" w:sz="8" w:color="0E2A35"/>
            </w:tcBorders>
          </w:tcPr>
          <w:p>
            <w:pPr>
              <w:spacing w:after="0"/>
              <w:rPr>
                <w:sz w:val="6"/>
                <w:szCs w:val="6"/>
                <w:color w:val="auto"/>
              </w:rPr>
            </w:pPr>
          </w:p>
        </w:tc>
      </w:tr>
      <w:tr>
        <w:trPr>
          <w:trHeight w:val="265"/>
        </w:trPr>
        <w:tc>
          <w:tcPr>
            <w:tcW w:w="2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60" w:type="dxa"/>
            <w:vAlign w:val="bottom"/>
            <w:gridSpan w:val="2"/>
          </w:tcPr>
          <w:p>
            <w:pPr>
              <w:jc w:val="right"/>
              <w:ind w:right="113"/>
              <w:spacing w:after="0"/>
              <w:rPr>
                <w:sz w:val="20"/>
                <w:szCs w:val="20"/>
                <w:color w:val="auto"/>
              </w:rPr>
            </w:pPr>
            <w:r>
              <w:rPr>
                <w:rFonts w:ascii="Arial" w:cs="Arial" w:eastAsia="Arial" w:hAnsi="Arial"/>
                <w:sz w:val="14"/>
                <w:szCs w:val="14"/>
                <w:color w:val="0E2A35"/>
              </w:rPr>
              <w:t>Total Payout Percentage</w:t>
            </w:r>
          </w:p>
        </w:tc>
        <w:tc>
          <w:tcPr>
            <w:tcW w:w="860" w:type="dxa"/>
            <w:vAlign w:val="bottom"/>
          </w:tcPr>
          <w:p>
            <w:pPr>
              <w:jc w:val="right"/>
              <w:ind w:right="72"/>
              <w:spacing w:after="0"/>
              <w:rPr>
                <w:sz w:val="20"/>
                <w:szCs w:val="20"/>
                <w:color w:val="auto"/>
              </w:rPr>
            </w:pPr>
            <w:r>
              <w:rPr>
                <w:rFonts w:ascii="Arial" w:cs="Arial" w:eastAsia="Arial" w:hAnsi="Arial"/>
                <w:sz w:val="14"/>
                <w:szCs w:val="14"/>
                <w:color w:val="0E2A35"/>
              </w:rPr>
              <w:t>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4" w:lineRule="exact"/>
        <w:rPr>
          <w:sz w:val="20"/>
          <w:szCs w:val="20"/>
          <w:color w:val="auto"/>
        </w:rPr>
      </w:pPr>
    </w:p>
    <w:p>
      <w:pPr>
        <w:ind w:left="1220" w:right="880" w:hanging="360"/>
        <w:spacing w:after="0" w:line="220" w:lineRule="auto"/>
        <w:tabs>
          <w:tab w:leader="none" w:pos="1220" w:val="left"/>
        </w:tabs>
        <w:numPr>
          <w:ilvl w:val="0"/>
          <w:numId w:val="37"/>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the committee excluded the impact of certain events not contemplated when creating the initial targets. The Incentive ROIC metric was adjusted for the LTIP to exclude the following: (i) the net financial impacts of the Newmar acquisition, (ii) the transaction costs associated with the acquisitions of Newmar and Barletta, (iii) the pretax inventory step-up costs related to the Newmar acquisition, (iv) restructuring costs and (v) the net assets of Newmar. The Incentive EPS metric was adjusted to exclude the following: (i) pretax acquisition-related costs, (ii) pretax inventory and step-up costs related to the Newmar acquisition, (iii) pretax non-cash interest expense, (iv) restructuring expense, (v) debt-issuance write-off, (vi) the dilution impact of convertible notes which is economically offset by a call/spread overlay that was put in place upon issuance, and (vii) the tax impact of the aforementioned adjustments, as applicable.</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For the fiscal 2019-2021 LTIP performance share units, Messrs. Bower and Clark were not eligible to participate in the award.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target award and actual payout for the eligible participants is detailed below.</w:t>
      </w:r>
    </w:p>
    <w:p>
      <w:pPr>
        <w:spacing w:after="0" w:line="71" w:lineRule="exact"/>
        <w:rPr>
          <w:sz w:val="20"/>
          <w:szCs w:val="20"/>
          <w:color w:val="auto"/>
        </w:rPr>
      </w:pPr>
    </w:p>
    <w:tbl>
      <w:tblPr>
        <w:tblLayout w:type="fixed"/>
        <w:tblInd w:w="860" w:type="dxa"/>
        <w:tblCellMar>
          <w:top w:w="0" w:type="dxa"/>
          <w:left w:w="0" w:type="dxa"/>
          <w:bottom w:w="0" w:type="dxa"/>
          <w:right w:w="0" w:type="dxa"/>
        </w:tblCellMar>
      </w:tblPr>
      <w:tr>
        <w:trPr>
          <w:trHeight w:val="338"/>
        </w:trPr>
        <w:tc>
          <w:tcPr>
            <w:tcW w:w="25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420" w:type="dxa"/>
            <w:vAlign w:val="bottom"/>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Target Shares</w:t>
            </w:r>
          </w:p>
        </w:tc>
        <w:tc>
          <w:tcPr>
            <w:tcW w:w="1520" w:type="dxa"/>
            <w:vAlign w:val="bottom"/>
            <w:gridSpan w:val="2"/>
            <w:shd w:val="clear" w:color="auto" w:fill="0E2A35"/>
          </w:tcPr>
          <w:p>
            <w:pPr>
              <w:jc w:val="right"/>
              <w:ind w:right="268"/>
              <w:spacing w:after="0"/>
              <w:rPr>
                <w:sz w:val="20"/>
                <w:szCs w:val="20"/>
                <w:color w:val="auto"/>
              </w:rPr>
            </w:pPr>
            <w:r>
              <w:rPr>
                <w:rFonts w:ascii="Arial" w:cs="Arial" w:eastAsia="Arial" w:hAnsi="Arial"/>
                <w:sz w:val="13"/>
                <w:szCs w:val="13"/>
                <w:b w:val="1"/>
                <w:bCs w:val="1"/>
                <w:color w:val="FFFFFF"/>
              </w:rPr>
              <w:t>Target Value</w:t>
            </w:r>
            <w:r>
              <w:rPr>
                <w:rFonts w:ascii="Arial" w:cs="Arial" w:eastAsia="Arial" w:hAnsi="Arial"/>
                <w:sz w:val="20"/>
                <w:szCs w:val="20"/>
                <w:b w:val="1"/>
                <w:bCs w:val="1"/>
                <w:color w:val="FFFFFF"/>
                <w:vertAlign w:val="superscript"/>
              </w:rPr>
              <w:t>(1)</w:t>
            </w:r>
          </w:p>
        </w:tc>
        <w:tc>
          <w:tcPr>
            <w:tcW w:w="1500" w:type="dxa"/>
            <w:vAlign w:val="bottom"/>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Actual Shares</w:t>
            </w:r>
          </w:p>
        </w:tc>
        <w:tc>
          <w:tcPr>
            <w:tcW w:w="1320" w:type="dxa"/>
            <w:vAlign w:val="bottom"/>
            <w:gridSpan w:val="2"/>
            <w:shd w:val="clear" w:color="auto" w:fill="0E2A35"/>
          </w:tcPr>
          <w:p>
            <w:pPr>
              <w:jc w:val="right"/>
              <w:ind w:right="68"/>
              <w:spacing w:after="0"/>
              <w:rPr>
                <w:sz w:val="20"/>
                <w:szCs w:val="20"/>
                <w:color w:val="auto"/>
              </w:rPr>
            </w:pPr>
            <w:r>
              <w:rPr>
                <w:rFonts w:ascii="Arial" w:cs="Arial" w:eastAsia="Arial" w:hAnsi="Arial"/>
                <w:sz w:val="13"/>
                <w:szCs w:val="13"/>
                <w:b w:val="1"/>
                <w:bCs w:val="1"/>
                <w:color w:val="FFFFFF"/>
              </w:rPr>
              <w:t>Actual Value</w:t>
            </w:r>
            <w:r>
              <w:rPr>
                <w:rFonts w:ascii="Arial" w:cs="Arial" w:eastAsia="Arial" w:hAnsi="Arial"/>
                <w:sz w:val="20"/>
                <w:szCs w:val="20"/>
                <w:b w:val="1"/>
                <w:bCs w:val="1"/>
                <w:color w:val="FFFFFF"/>
                <w:vertAlign w:val="superscript"/>
              </w:rPr>
              <w:t>(1)</w:t>
            </w:r>
          </w:p>
        </w:tc>
      </w:tr>
      <w:tr>
        <w:trPr>
          <w:trHeight w:val="271"/>
        </w:trPr>
        <w:tc>
          <w:tcPr>
            <w:tcW w:w="252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2420" w:type="dxa"/>
            <w:vAlign w:val="bottom"/>
          </w:tcPr>
          <w:p>
            <w:pPr>
              <w:jc w:val="right"/>
              <w:ind w:right="250"/>
              <w:spacing w:after="0"/>
              <w:rPr>
                <w:sz w:val="20"/>
                <w:szCs w:val="20"/>
                <w:color w:val="auto"/>
              </w:rPr>
            </w:pPr>
            <w:r>
              <w:rPr>
                <w:rFonts w:ascii="Arial" w:cs="Arial" w:eastAsia="Arial" w:hAnsi="Arial"/>
                <w:sz w:val="14"/>
                <w:szCs w:val="14"/>
                <w:color w:val="0E2A35"/>
              </w:rPr>
              <w:t>29,968</w:t>
            </w:r>
          </w:p>
        </w:tc>
        <w:tc>
          <w:tcPr>
            <w:tcW w:w="640" w:type="dxa"/>
            <w:vAlign w:val="bottom"/>
          </w:tcPr>
          <w:p>
            <w:pPr>
              <w:jc w:val="right"/>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0E2A35"/>
              </w:rPr>
              <w:t>949,986</w:t>
            </w:r>
          </w:p>
        </w:tc>
        <w:tc>
          <w:tcPr>
            <w:tcW w:w="1500" w:type="dxa"/>
            <w:vAlign w:val="bottom"/>
          </w:tcPr>
          <w:p>
            <w:pPr>
              <w:jc w:val="right"/>
              <w:ind w:right="250"/>
              <w:spacing w:after="0"/>
              <w:rPr>
                <w:sz w:val="20"/>
                <w:szCs w:val="20"/>
                <w:color w:val="auto"/>
              </w:rPr>
            </w:pPr>
            <w:r>
              <w:rPr>
                <w:rFonts w:ascii="Arial" w:cs="Arial" w:eastAsia="Arial" w:hAnsi="Arial"/>
                <w:sz w:val="14"/>
                <w:szCs w:val="14"/>
                <w:color w:val="0E2A35"/>
              </w:rPr>
              <w:t>20,348</w:t>
            </w:r>
          </w:p>
        </w:tc>
        <w:tc>
          <w:tcPr>
            <w:tcW w:w="1320" w:type="dxa"/>
            <w:vAlign w:val="bottom"/>
            <w:gridSpan w:val="2"/>
          </w:tcPr>
          <w:p>
            <w:pPr>
              <w:jc w:val="right"/>
              <w:ind w:right="28"/>
              <w:spacing w:after="0"/>
              <w:rPr>
                <w:sz w:val="20"/>
                <w:szCs w:val="20"/>
                <w:color w:val="auto"/>
              </w:rPr>
            </w:pPr>
            <w:r>
              <w:rPr>
                <w:rFonts w:ascii="Arial" w:cs="Arial" w:eastAsia="Arial" w:hAnsi="Arial"/>
                <w:sz w:val="14"/>
                <w:szCs w:val="14"/>
                <w:color w:val="0E2A35"/>
              </w:rPr>
              <w:t>$1,538,105</w:t>
            </w:r>
          </w:p>
        </w:tc>
      </w:tr>
      <w:tr>
        <w:trPr>
          <w:trHeight w:val="80"/>
        </w:trPr>
        <w:tc>
          <w:tcPr>
            <w:tcW w:w="2520" w:type="dxa"/>
            <w:vAlign w:val="bottom"/>
            <w:tcBorders>
              <w:bottom w:val="single" w:sz="8" w:color="0E2A35"/>
            </w:tcBorders>
          </w:tcPr>
          <w:p>
            <w:pPr>
              <w:spacing w:after="0"/>
              <w:rPr>
                <w:sz w:val="6"/>
                <w:szCs w:val="6"/>
                <w:color w:val="auto"/>
              </w:rPr>
            </w:pPr>
          </w:p>
        </w:tc>
        <w:tc>
          <w:tcPr>
            <w:tcW w:w="2420" w:type="dxa"/>
            <w:vAlign w:val="bottom"/>
            <w:tcBorders>
              <w:bottom w:val="single" w:sz="8" w:color="0E2A35"/>
            </w:tcBorders>
          </w:tcPr>
          <w:p>
            <w:pPr>
              <w:spacing w:after="0"/>
              <w:rPr>
                <w:sz w:val="6"/>
                <w:szCs w:val="6"/>
                <w:color w:val="auto"/>
              </w:rPr>
            </w:pPr>
          </w:p>
        </w:tc>
        <w:tc>
          <w:tcPr>
            <w:tcW w:w="6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50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r>
      <w:tr>
        <w:trPr>
          <w:trHeight w:val="265"/>
        </w:trPr>
        <w:tc>
          <w:tcPr>
            <w:tcW w:w="252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2420" w:type="dxa"/>
            <w:vAlign w:val="bottom"/>
          </w:tcPr>
          <w:p>
            <w:pPr>
              <w:jc w:val="right"/>
              <w:ind w:right="250"/>
              <w:spacing w:after="0"/>
              <w:rPr>
                <w:sz w:val="20"/>
                <w:szCs w:val="20"/>
                <w:color w:val="auto"/>
              </w:rPr>
            </w:pPr>
            <w:r>
              <w:rPr>
                <w:rFonts w:ascii="Arial" w:cs="Arial" w:eastAsia="Arial" w:hAnsi="Arial"/>
                <w:sz w:val="14"/>
                <w:szCs w:val="14"/>
                <w:color w:val="0E2A35"/>
              </w:rPr>
              <w:t>8,003</w:t>
            </w:r>
          </w:p>
        </w:tc>
        <w:tc>
          <w:tcPr>
            <w:tcW w:w="640" w:type="dxa"/>
            <w:vAlign w:val="bottom"/>
          </w:tcPr>
          <w:p>
            <w:pPr>
              <w:jc w:val="right"/>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0E2A35"/>
              </w:rPr>
              <w:t>253,695</w:t>
            </w:r>
          </w:p>
        </w:tc>
        <w:tc>
          <w:tcPr>
            <w:tcW w:w="1500" w:type="dxa"/>
            <w:vAlign w:val="bottom"/>
          </w:tcPr>
          <w:p>
            <w:pPr>
              <w:jc w:val="right"/>
              <w:ind w:right="250"/>
              <w:spacing w:after="0"/>
              <w:rPr>
                <w:sz w:val="20"/>
                <w:szCs w:val="20"/>
                <w:color w:val="auto"/>
              </w:rPr>
            </w:pPr>
            <w:r>
              <w:rPr>
                <w:rFonts w:ascii="Arial" w:cs="Arial" w:eastAsia="Arial" w:hAnsi="Arial"/>
                <w:sz w:val="14"/>
                <w:szCs w:val="14"/>
                <w:color w:val="0E2A35"/>
              </w:rPr>
              <w:t>5,434</w:t>
            </w:r>
          </w:p>
        </w:tc>
        <w:tc>
          <w:tcPr>
            <w:tcW w:w="660" w:type="dxa"/>
            <w:vAlign w:val="bottom"/>
          </w:tcPr>
          <w:p>
            <w:pPr>
              <w:jc w:val="right"/>
              <w:spacing w:after="0"/>
              <w:rPr>
                <w:sz w:val="20"/>
                <w:szCs w:val="20"/>
                <w:color w:val="auto"/>
              </w:rPr>
            </w:pPr>
            <w:r>
              <w:rPr>
                <w:rFonts w:ascii="Arial" w:cs="Arial" w:eastAsia="Arial" w:hAnsi="Arial"/>
                <w:sz w:val="14"/>
                <w:szCs w:val="14"/>
                <w:color w:val="0E2A35"/>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0E2A35"/>
              </w:rPr>
              <w:t>410,756</w:t>
            </w:r>
          </w:p>
        </w:tc>
      </w:tr>
      <w:tr>
        <w:trPr>
          <w:trHeight w:val="79"/>
        </w:trPr>
        <w:tc>
          <w:tcPr>
            <w:tcW w:w="2520" w:type="dxa"/>
            <w:vAlign w:val="bottom"/>
            <w:tcBorders>
              <w:bottom w:val="single" w:sz="8" w:color="0E2A35"/>
            </w:tcBorders>
          </w:tcPr>
          <w:p>
            <w:pPr>
              <w:spacing w:after="0"/>
              <w:rPr>
                <w:sz w:val="6"/>
                <w:szCs w:val="6"/>
                <w:color w:val="auto"/>
              </w:rPr>
            </w:pPr>
          </w:p>
        </w:tc>
        <w:tc>
          <w:tcPr>
            <w:tcW w:w="2420" w:type="dxa"/>
            <w:vAlign w:val="bottom"/>
            <w:tcBorders>
              <w:bottom w:val="single" w:sz="8" w:color="0E2A35"/>
            </w:tcBorders>
          </w:tcPr>
          <w:p>
            <w:pPr>
              <w:spacing w:after="0"/>
              <w:rPr>
                <w:sz w:val="6"/>
                <w:szCs w:val="6"/>
                <w:color w:val="auto"/>
              </w:rPr>
            </w:pPr>
          </w:p>
        </w:tc>
        <w:tc>
          <w:tcPr>
            <w:tcW w:w="6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50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c>
          <w:tcPr>
            <w:tcW w:w="660" w:type="dxa"/>
            <w:vAlign w:val="bottom"/>
            <w:tcBorders>
              <w:bottom w:val="single" w:sz="8" w:color="0E2A35"/>
            </w:tcBorders>
          </w:tcPr>
          <w:p>
            <w:pPr>
              <w:spacing w:after="0"/>
              <w:rPr>
                <w:sz w:val="6"/>
                <w:szCs w:val="6"/>
                <w:color w:val="auto"/>
              </w:rPr>
            </w:pPr>
          </w:p>
        </w:tc>
      </w:tr>
      <w:tr>
        <w:trPr>
          <w:trHeight w:val="265"/>
        </w:trPr>
        <w:tc>
          <w:tcPr>
            <w:tcW w:w="252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2420" w:type="dxa"/>
            <w:vAlign w:val="bottom"/>
          </w:tcPr>
          <w:p>
            <w:pPr>
              <w:jc w:val="right"/>
              <w:ind w:right="250"/>
              <w:spacing w:after="0"/>
              <w:rPr>
                <w:sz w:val="20"/>
                <w:szCs w:val="20"/>
                <w:color w:val="auto"/>
              </w:rPr>
            </w:pPr>
            <w:r>
              <w:rPr>
                <w:rFonts w:ascii="Arial" w:cs="Arial" w:eastAsia="Arial" w:hAnsi="Arial"/>
                <w:sz w:val="14"/>
                <w:szCs w:val="14"/>
                <w:color w:val="0E2A35"/>
              </w:rPr>
              <w:t>8,283</w:t>
            </w:r>
          </w:p>
        </w:tc>
        <w:tc>
          <w:tcPr>
            <w:tcW w:w="640" w:type="dxa"/>
            <w:vAlign w:val="bottom"/>
          </w:tcPr>
          <w:p>
            <w:pPr>
              <w:jc w:val="right"/>
              <w:spacing w:after="0"/>
              <w:rPr>
                <w:sz w:val="20"/>
                <w:szCs w:val="20"/>
                <w:color w:val="auto"/>
              </w:rPr>
            </w:pPr>
            <w:r>
              <w:rPr>
                <w:rFonts w:ascii="Arial" w:cs="Arial" w:eastAsia="Arial" w:hAnsi="Arial"/>
                <w:sz w:val="14"/>
                <w:szCs w:val="14"/>
                <w:color w:val="0E2A35"/>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0E2A35"/>
              </w:rPr>
              <w:t>262,571</w:t>
            </w:r>
          </w:p>
        </w:tc>
        <w:tc>
          <w:tcPr>
            <w:tcW w:w="1500" w:type="dxa"/>
            <w:vAlign w:val="bottom"/>
          </w:tcPr>
          <w:p>
            <w:pPr>
              <w:jc w:val="right"/>
              <w:ind w:right="250"/>
              <w:spacing w:after="0"/>
              <w:rPr>
                <w:sz w:val="20"/>
                <w:szCs w:val="20"/>
                <w:color w:val="auto"/>
              </w:rPr>
            </w:pPr>
            <w:r>
              <w:rPr>
                <w:rFonts w:ascii="Arial" w:cs="Arial" w:eastAsia="Arial" w:hAnsi="Arial"/>
                <w:sz w:val="14"/>
                <w:szCs w:val="14"/>
                <w:color w:val="0E2A35"/>
              </w:rPr>
              <w:t>5,624</w:t>
            </w:r>
          </w:p>
        </w:tc>
        <w:tc>
          <w:tcPr>
            <w:tcW w:w="660" w:type="dxa"/>
            <w:vAlign w:val="bottom"/>
          </w:tcPr>
          <w:p>
            <w:pPr>
              <w:jc w:val="right"/>
              <w:spacing w:after="0"/>
              <w:rPr>
                <w:sz w:val="20"/>
                <w:szCs w:val="20"/>
                <w:color w:val="auto"/>
              </w:rPr>
            </w:pPr>
            <w:r>
              <w:rPr>
                <w:rFonts w:ascii="Arial" w:cs="Arial" w:eastAsia="Arial" w:hAnsi="Arial"/>
                <w:sz w:val="14"/>
                <w:szCs w:val="14"/>
                <w:color w:val="0E2A35"/>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0E2A35"/>
              </w:rPr>
              <w:t>425,118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4" w:lineRule="exact"/>
        <w:rPr>
          <w:sz w:val="20"/>
          <w:szCs w:val="20"/>
          <w:color w:val="auto"/>
        </w:rPr>
      </w:pPr>
    </w:p>
    <w:p>
      <w:pPr>
        <w:ind w:left="1220" w:right="880" w:hanging="360"/>
        <w:spacing w:after="0" w:line="230" w:lineRule="auto"/>
        <w:tabs>
          <w:tab w:leader="none" w:pos="1220" w:val="left"/>
        </w:tabs>
        <w:numPr>
          <w:ilvl w:val="0"/>
          <w:numId w:val="38"/>
        </w:numPr>
        <w:rPr>
          <w:rFonts w:ascii="Arial" w:cs="Arial" w:eastAsia="Arial" w:hAnsi="Arial"/>
          <w:sz w:val="13"/>
          <w:szCs w:val="13"/>
          <w:color w:val="0E2A35"/>
        </w:rPr>
      </w:pPr>
      <w:r>
        <w:rPr>
          <w:rFonts w:ascii="Arial" w:cs="Arial" w:eastAsia="Arial" w:hAnsi="Arial"/>
          <w:sz w:val="13"/>
          <w:szCs w:val="13"/>
          <w:color w:val="0E2A35"/>
        </w:rPr>
        <w:t>Target payout is valued at the closing market price of our common stock on the grant date as quoted on the NYSE, which was $31.70 (October 15, 2018). Actual payout is valued at the closing market price of our common stock on October 12, 2021, which was $75.59.</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Achievement of Fiscal 2021 PSU Award Metric</w:t>
      </w:r>
    </w:p>
    <w:p>
      <w:pPr>
        <w:spacing w:after="0" w:line="200"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For the fiscal 2021 PSUs, the committee selected the metric of Incentive EPS. The awards are earned based on our performance against this metric for fiscal 2021. The payout scale provided for a minimum award of 0% of the PSUs granted and a maximum award of 200% of the PSUs granted. The table below reflects our performance against this metric and the amount of the PSUs paid to eligible NEOs:</w:t>
      </w:r>
    </w:p>
    <w:p>
      <w:pPr>
        <w:spacing w:after="0" w:line="79"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140" w:type="dxa"/>
            <w:vAlign w:val="bottom"/>
            <w:shd w:val="clear" w:color="auto" w:fill="0E2A35"/>
          </w:tcPr>
          <w:p>
            <w:pPr>
              <w:spacing w:after="0"/>
              <w:rPr>
                <w:sz w:val="19"/>
                <w:szCs w:val="19"/>
                <w:color w:val="auto"/>
              </w:rPr>
            </w:pPr>
          </w:p>
        </w:tc>
        <w:tc>
          <w:tcPr>
            <w:tcW w:w="1800" w:type="dxa"/>
            <w:vAlign w:val="bottom"/>
            <w:shd w:val="clear" w:color="auto" w:fill="0E2A35"/>
          </w:tcPr>
          <w:p>
            <w:pPr>
              <w:spacing w:after="0"/>
              <w:rPr>
                <w:sz w:val="19"/>
                <w:szCs w:val="19"/>
                <w:color w:val="auto"/>
              </w:rPr>
            </w:pP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980" w:type="dxa"/>
            <w:vAlign w:val="bottom"/>
            <w:shd w:val="clear" w:color="auto" w:fill="0E2A35"/>
          </w:tcPr>
          <w:p>
            <w:pPr>
              <w:jc w:val="right"/>
              <w:ind w:right="133"/>
              <w:spacing w:after="0"/>
              <w:rPr>
                <w:sz w:val="20"/>
                <w:szCs w:val="20"/>
                <w:color w:val="auto"/>
              </w:rPr>
            </w:pPr>
            <w:r>
              <w:rPr>
                <w:rFonts w:ascii="Arial" w:cs="Arial" w:eastAsia="Arial" w:hAnsi="Arial"/>
                <w:sz w:val="13"/>
                <w:szCs w:val="13"/>
                <w:b w:val="1"/>
                <w:bCs w:val="1"/>
                <w:color w:val="FFFFFF"/>
              </w:rPr>
              <w:t>Maximum</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840" w:type="dxa"/>
            <w:vAlign w:val="bottom"/>
            <w:shd w:val="clear" w:color="auto" w:fill="0E2A35"/>
          </w:tcPr>
          <w:p>
            <w:pPr>
              <w:spacing w:after="0"/>
              <w:rPr>
                <w:sz w:val="19"/>
                <w:szCs w:val="19"/>
                <w:color w:val="auto"/>
              </w:rPr>
            </w:pPr>
          </w:p>
        </w:tc>
      </w:tr>
      <w:tr>
        <w:trPr>
          <w:trHeight w:val="131"/>
        </w:trPr>
        <w:tc>
          <w:tcPr>
            <w:tcW w:w="2140" w:type="dxa"/>
            <w:vAlign w:val="bottom"/>
            <w:shd w:val="clear" w:color="auto" w:fill="0E2A35"/>
          </w:tcPr>
          <w:p>
            <w:pPr>
              <w:spacing w:after="0"/>
              <w:rPr>
                <w:sz w:val="11"/>
                <w:szCs w:val="11"/>
                <w:color w:val="auto"/>
              </w:rPr>
            </w:pPr>
          </w:p>
        </w:tc>
        <w:tc>
          <w:tcPr>
            <w:tcW w:w="1800" w:type="dxa"/>
            <w:vAlign w:val="bottom"/>
            <w:shd w:val="clear" w:color="auto" w:fill="0E2A35"/>
          </w:tcPr>
          <w:p>
            <w:pPr>
              <w:spacing w:after="0"/>
              <w:rPr>
                <w:sz w:val="11"/>
                <w:szCs w:val="11"/>
                <w:color w:val="auto"/>
              </w:rPr>
            </w:pPr>
          </w:p>
        </w:tc>
        <w:tc>
          <w:tcPr>
            <w:tcW w:w="980" w:type="dxa"/>
            <w:vAlign w:val="bottom"/>
            <w:shd w:val="clear" w:color="auto" w:fill="0E2A35"/>
          </w:tcPr>
          <w:p>
            <w:pPr>
              <w:jc w:val="right"/>
              <w:ind w:right="295"/>
              <w:spacing w:after="0" w:line="131" w:lineRule="exact"/>
              <w:rPr>
                <w:sz w:val="20"/>
                <w:szCs w:val="20"/>
                <w:color w:val="auto"/>
              </w:rPr>
            </w:pPr>
            <w:r>
              <w:rPr>
                <w:rFonts w:ascii="Arial" w:cs="Arial" w:eastAsia="Arial" w:hAnsi="Arial"/>
                <w:sz w:val="13"/>
                <w:szCs w:val="13"/>
                <w:b w:val="1"/>
                <w:bCs w:val="1"/>
                <w:color w:val="FFFFFF"/>
              </w:rPr>
              <w:t>(25%</w:t>
            </w:r>
          </w:p>
        </w:tc>
        <w:tc>
          <w:tcPr>
            <w:tcW w:w="12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(100%</w:t>
            </w:r>
          </w:p>
        </w:tc>
        <w:tc>
          <w:tcPr>
            <w:tcW w:w="980" w:type="dxa"/>
            <w:vAlign w:val="bottom"/>
            <w:shd w:val="clear" w:color="auto" w:fill="0E2A35"/>
          </w:tcPr>
          <w:p>
            <w:pPr>
              <w:jc w:val="right"/>
              <w:ind w:right="253"/>
              <w:spacing w:after="0" w:line="131" w:lineRule="exact"/>
              <w:rPr>
                <w:sz w:val="20"/>
                <w:szCs w:val="20"/>
                <w:color w:val="auto"/>
              </w:rPr>
            </w:pPr>
            <w:r>
              <w:rPr>
                <w:rFonts w:ascii="Arial" w:cs="Arial" w:eastAsia="Arial" w:hAnsi="Arial"/>
                <w:sz w:val="13"/>
                <w:szCs w:val="13"/>
                <w:b w:val="1"/>
                <w:bCs w:val="1"/>
                <w:color w:val="FFFFFF"/>
              </w:rPr>
              <w:t>(200%</w:t>
            </w:r>
          </w:p>
        </w:tc>
        <w:tc>
          <w:tcPr>
            <w:tcW w:w="13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2021</w:t>
            </w:r>
          </w:p>
        </w:tc>
        <w:tc>
          <w:tcPr>
            <w:tcW w:w="840" w:type="dxa"/>
            <w:vAlign w:val="bottom"/>
            <w:shd w:val="clear" w:color="auto" w:fill="0E2A35"/>
          </w:tcPr>
          <w:p>
            <w:pPr>
              <w:ind w:left="240"/>
              <w:spacing w:after="0" w:line="131" w:lineRule="exact"/>
              <w:rPr>
                <w:sz w:val="20"/>
                <w:szCs w:val="20"/>
                <w:color w:val="auto"/>
              </w:rPr>
            </w:pPr>
            <w:r>
              <w:rPr>
                <w:rFonts w:ascii="Arial" w:cs="Arial" w:eastAsia="Arial" w:hAnsi="Arial"/>
                <w:sz w:val="13"/>
                <w:szCs w:val="13"/>
                <w:b w:val="1"/>
                <w:bCs w:val="1"/>
                <w:color w:val="FFFFFF"/>
              </w:rPr>
              <w:t>Actual</w:t>
            </w:r>
          </w:p>
        </w:tc>
      </w:tr>
      <w:tr>
        <w:trPr>
          <w:trHeight w:val="255"/>
        </w:trPr>
        <w:tc>
          <w:tcPr>
            <w:tcW w:w="214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Metric</w:t>
            </w:r>
          </w:p>
        </w:tc>
        <w:tc>
          <w:tcPr>
            <w:tcW w:w="1800" w:type="dxa"/>
            <w:vAlign w:val="bottom"/>
            <w:shd w:val="clear" w:color="auto" w:fill="0E2A35"/>
          </w:tcPr>
          <w:p>
            <w:pPr>
              <w:jc w:val="right"/>
              <w:ind w:right="213"/>
              <w:spacing w:after="0"/>
              <w:rPr>
                <w:sz w:val="20"/>
                <w:szCs w:val="20"/>
                <w:color w:val="auto"/>
              </w:rPr>
            </w:pPr>
            <w:r>
              <w:rPr>
                <w:rFonts w:ascii="Arial" w:cs="Arial" w:eastAsia="Arial" w:hAnsi="Arial"/>
                <w:sz w:val="13"/>
                <w:szCs w:val="13"/>
                <w:b w:val="1"/>
                <w:bCs w:val="1"/>
                <w:color w:val="FFFFFF"/>
              </w:rPr>
              <w:t>Weight</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980" w:type="dxa"/>
            <w:vAlign w:val="bottom"/>
            <w:shd w:val="clear" w:color="auto" w:fill="0E2A35"/>
          </w:tcPr>
          <w:p>
            <w:pPr>
              <w:jc w:val="right"/>
              <w:ind w:right="193"/>
              <w:spacing w:after="0"/>
              <w:rPr>
                <w:sz w:val="20"/>
                <w:szCs w:val="20"/>
                <w:color w:val="auto"/>
              </w:rPr>
            </w:pPr>
            <w:r>
              <w:rPr>
                <w:rFonts w:ascii="Arial" w:cs="Arial" w:eastAsia="Arial" w:hAnsi="Arial"/>
                <w:sz w:val="13"/>
                <w:szCs w:val="13"/>
                <w:b w:val="1"/>
                <w:bCs w:val="1"/>
                <w:color w:val="FFFFFF"/>
              </w:rPr>
              <w:t>Payout)</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Performance</w:t>
            </w:r>
            <w:r>
              <w:rPr>
                <w:rFonts w:ascii="Arial" w:cs="Arial" w:eastAsia="Arial" w:hAnsi="Arial"/>
                <w:sz w:val="20"/>
                <w:szCs w:val="20"/>
                <w:b w:val="1"/>
                <w:bCs w:val="1"/>
                <w:color w:val="FFFFFF"/>
                <w:w w:val="93"/>
                <w:vertAlign w:val="superscript"/>
              </w:rPr>
              <w:t>(1)</w:t>
            </w:r>
          </w:p>
        </w:tc>
        <w:tc>
          <w:tcPr>
            <w:tcW w:w="840" w:type="dxa"/>
            <w:vAlign w:val="bottom"/>
            <w:shd w:val="clear" w:color="auto" w:fill="0E2A35"/>
          </w:tcPr>
          <w:p>
            <w:pPr>
              <w:ind w:left="180"/>
              <w:spacing w:after="0"/>
              <w:rPr>
                <w:sz w:val="20"/>
                <w:szCs w:val="20"/>
                <w:color w:val="auto"/>
              </w:rPr>
            </w:pPr>
            <w:r>
              <w:rPr>
                <w:rFonts w:ascii="Arial" w:cs="Arial" w:eastAsia="Arial" w:hAnsi="Arial"/>
                <w:sz w:val="13"/>
                <w:szCs w:val="13"/>
                <w:b w:val="1"/>
                <w:bCs w:val="1"/>
                <w:color w:val="FFFFFF"/>
              </w:rPr>
              <w:t>Payout %</w:t>
            </w:r>
          </w:p>
        </w:tc>
      </w:tr>
      <w:tr>
        <w:trPr>
          <w:trHeight w:val="272"/>
        </w:trPr>
        <w:tc>
          <w:tcPr>
            <w:tcW w:w="2140" w:type="dxa"/>
            <w:vAlign w:val="bottom"/>
          </w:tcPr>
          <w:p>
            <w:pPr>
              <w:ind w:left="160"/>
              <w:spacing w:after="0"/>
              <w:rPr>
                <w:sz w:val="20"/>
                <w:szCs w:val="20"/>
                <w:color w:val="auto"/>
              </w:rPr>
            </w:pPr>
            <w:r>
              <w:rPr>
                <w:rFonts w:ascii="Arial" w:cs="Arial" w:eastAsia="Arial" w:hAnsi="Arial"/>
                <w:sz w:val="14"/>
                <w:szCs w:val="14"/>
                <w:color w:val="0E2A35"/>
              </w:rPr>
              <w:t>Incentive EPS</w:t>
            </w:r>
          </w:p>
        </w:tc>
        <w:tc>
          <w:tcPr>
            <w:tcW w:w="1800" w:type="dxa"/>
            <w:vAlign w:val="bottom"/>
          </w:tcPr>
          <w:p>
            <w:pPr>
              <w:jc w:val="right"/>
              <w:ind w:right="133"/>
              <w:spacing w:after="0"/>
              <w:rPr>
                <w:sz w:val="20"/>
                <w:szCs w:val="20"/>
                <w:color w:val="auto"/>
              </w:rPr>
            </w:pPr>
            <w:r>
              <w:rPr>
                <w:rFonts w:ascii="Arial" w:cs="Arial" w:eastAsia="Arial" w:hAnsi="Arial"/>
                <w:sz w:val="14"/>
                <w:szCs w:val="14"/>
                <w:color w:val="0E2A35"/>
              </w:rPr>
              <w:t>100.0 %</w:t>
            </w:r>
          </w:p>
        </w:tc>
        <w:tc>
          <w:tcPr>
            <w:tcW w:w="980" w:type="dxa"/>
            <w:vAlign w:val="bottom"/>
          </w:tcPr>
          <w:p>
            <w:pPr>
              <w:jc w:val="right"/>
              <w:ind w:right="275"/>
              <w:spacing w:after="0"/>
              <w:rPr>
                <w:sz w:val="20"/>
                <w:szCs w:val="20"/>
                <w:color w:val="auto"/>
              </w:rPr>
            </w:pPr>
            <w:r>
              <w:rPr>
                <w:rFonts w:ascii="Arial" w:cs="Arial" w:eastAsia="Arial" w:hAnsi="Arial"/>
                <w:sz w:val="14"/>
                <w:szCs w:val="14"/>
                <w:color w:val="0E2A35"/>
              </w:rPr>
              <w:t>$4.00</w:t>
            </w:r>
          </w:p>
        </w:tc>
        <w:tc>
          <w:tcPr>
            <w:tcW w:w="1220" w:type="dxa"/>
            <w:vAlign w:val="bottom"/>
          </w:tcPr>
          <w:p>
            <w:pPr>
              <w:jc w:val="center"/>
              <w:spacing w:after="0"/>
              <w:rPr>
                <w:sz w:val="20"/>
                <w:szCs w:val="20"/>
                <w:color w:val="auto"/>
              </w:rPr>
            </w:pPr>
            <w:r>
              <w:rPr>
                <w:rFonts w:ascii="Arial" w:cs="Arial" w:eastAsia="Arial" w:hAnsi="Arial"/>
                <w:sz w:val="14"/>
                <w:szCs w:val="14"/>
                <w:color w:val="0E2A35"/>
              </w:rPr>
              <w:t>$4.36 - $4.71</w:t>
            </w:r>
          </w:p>
        </w:tc>
        <w:tc>
          <w:tcPr>
            <w:tcW w:w="980" w:type="dxa"/>
            <w:vAlign w:val="bottom"/>
          </w:tcPr>
          <w:p>
            <w:pPr>
              <w:jc w:val="right"/>
              <w:ind w:right="253"/>
              <w:spacing w:after="0"/>
              <w:rPr>
                <w:sz w:val="20"/>
                <w:szCs w:val="20"/>
                <w:color w:val="auto"/>
              </w:rPr>
            </w:pPr>
            <w:r>
              <w:rPr>
                <w:rFonts w:ascii="Arial" w:cs="Arial" w:eastAsia="Arial" w:hAnsi="Arial"/>
                <w:sz w:val="14"/>
                <w:szCs w:val="14"/>
                <w:color w:val="0E2A35"/>
              </w:rPr>
              <w:t>$5.00</w:t>
            </w:r>
          </w:p>
        </w:tc>
        <w:tc>
          <w:tcPr>
            <w:tcW w:w="1320" w:type="dxa"/>
            <w:vAlign w:val="bottom"/>
          </w:tcPr>
          <w:p>
            <w:pPr>
              <w:jc w:val="center"/>
              <w:spacing w:after="0"/>
              <w:rPr>
                <w:sz w:val="20"/>
                <w:szCs w:val="20"/>
                <w:color w:val="auto"/>
              </w:rPr>
            </w:pPr>
            <w:r>
              <w:rPr>
                <w:rFonts w:ascii="Arial" w:cs="Arial" w:eastAsia="Arial" w:hAnsi="Arial"/>
                <w:sz w:val="14"/>
                <w:szCs w:val="14"/>
                <w:color w:val="0E2A35"/>
              </w:rPr>
              <w:t>$8.59</w:t>
            </w:r>
          </w:p>
        </w:tc>
        <w:tc>
          <w:tcPr>
            <w:tcW w:w="840" w:type="dxa"/>
            <w:vAlign w:val="bottom"/>
          </w:tcPr>
          <w:p>
            <w:pPr>
              <w:ind w:left="260"/>
              <w:spacing w:after="0"/>
              <w:rPr>
                <w:sz w:val="20"/>
                <w:szCs w:val="20"/>
                <w:color w:val="auto"/>
              </w:rPr>
            </w:pPr>
            <w:r>
              <w:rPr>
                <w:rFonts w:ascii="Arial" w:cs="Arial" w:eastAsia="Arial" w:hAnsi="Arial"/>
                <w:sz w:val="14"/>
                <w:szCs w:val="14"/>
                <w:color w:val="0E2A35"/>
              </w:rPr>
              <w:t>200.0%</w:t>
            </w:r>
          </w:p>
        </w:tc>
      </w:tr>
      <w:tr>
        <w:trPr>
          <w:trHeight w:val="80"/>
        </w:trPr>
        <w:tc>
          <w:tcPr>
            <w:tcW w:w="2140" w:type="dxa"/>
            <w:vAlign w:val="bottom"/>
            <w:tcBorders>
              <w:bottom w:val="single" w:sz="8" w:color="0E2A35"/>
            </w:tcBorders>
          </w:tcPr>
          <w:p>
            <w:pPr>
              <w:spacing w:after="0"/>
              <w:rPr>
                <w:sz w:val="6"/>
                <w:szCs w:val="6"/>
                <w:color w:val="auto"/>
              </w:rPr>
            </w:pPr>
          </w:p>
        </w:tc>
        <w:tc>
          <w:tcPr>
            <w:tcW w:w="180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2300" w:type="dxa"/>
            <w:vAlign w:val="bottom"/>
            <w:tcBorders>
              <w:bottom w:val="single" w:sz="8" w:color="0E2A35"/>
            </w:tcBorders>
            <w:gridSpan w:val="2"/>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r>
      <w:tr>
        <w:trPr>
          <w:trHeight w:val="265"/>
        </w:trPr>
        <w:tc>
          <w:tcPr>
            <w:tcW w:w="2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300" w:type="dxa"/>
            <w:vAlign w:val="bottom"/>
            <w:gridSpan w:val="2"/>
          </w:tcPr>
          <w:p>
            <w:pPr>
              <w:ind w:left="540"/>
              <w:spacing w:after="0"/>
              <w:rPr>
                <w:sz w:val="20"/>
                <w:szCs w:val="20"/>
                <w:color w:val="auto"/>
              </w:rPr>
            </w:pPr>
            <w:r>
              <w:rPr>
                <w:rFonts w:ascii="Arial" w:cs="Arial" w:eastAsia="Arial" w:hAnsi="Arial"/>
                <w:sz w:val="14"/>
                <w:szCs w:val="14"/>
                <w:color w:val="0E2A35"/>
              </w:rPr>
              <w:t>Total Payout Percentage</w:t>
            </w:r>
          </w:p>
        </w:tc>
        <w:tc>
          <w:tcPr>
            <w:tcW w:w="840" w:type="dxa"/>
            <w:vAlign w:val="bottom"/>
          </w:tcPr>
          <w:p>
            <w:pPr>
              <w:ind w:left="260"/>
              <w:spacing w:after="0"/>
              <w:rPr>
                <w:sz w:val="20"/>
                <w:szCs w:val="20"/>
                <w:color w:val="auto"/>
              </w:rPr>
            </w:pPr>
            <w:r>
              <w:rPr>
                <w:rFonts w:ascii="Arial" w:cs="Arial" w:eastAsia="Arial" w:hAnsi="Arial"/>
                <w:sz w:val="14"/>
                <w:szCs w:val="14"/>
                <w:color w:val="0E2A35"/>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4" w:lineRule="exact"/>
        <w:rPr>
          <w:sz w:val="20"/>
          <w:szCs w:val="20"/>
          <w:color w:val="auto"/>
        </w:rPr>
      </w:pPr>
    </w:p>
    <w:p>
      <w:pPr>
        <w:ind w:left="1220" w:right="1060" w:hanging="360"/>
        <w:spacing w:after="0" w:line="223" w:lineRule="auto"/>
        <w:tabs>
          <w:tab w:leader="none" w:pos="1220" w:val="left"/>
        </w:tabs>
        <w:numPr>
          <w:ilvl w:val="0"/>
          <w:numId w:val="39"/>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the committee excluded the impact of certain events not contemplated when creating the initial target. The Incentive EPS metric was adjusted to exclude the following: (i) the pretax transaction costs associated with the Barletta acquisition, (ii) non-cash interest expense, (iii) the dilution impact of convertible notes which is economically offset by a call/spread overlay that was put in place upon issuance and (iv) the tax effect of all of the foregoing adjustments, as applicable.</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Messrs. Bower and Clark were not eligible for PSUs. The target award and actual payout for the eligible NEOs is detailed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860" w:type="dxa"/>
            <w:vAlign w:val="bottom"/>
          </w:tcPr>
          <w:p>
            <w:pPr>
              <w:spacing w:after="0"/>
              <w:rPr>
                <w:sz w:val="24"/>
                <w:szCs w:val="24"/>
                <w:color w:val="auto"/>
              </w:rPr>
            </w:pPr>
          </w:p>
        </w:tc>
        <w:tc>
          <w:tcPr>
            <w:tcW w:w="25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420" w:type="dxa"/>
            <w:vAlign w:val="bottom"/>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Target Shares</w:t>
            </w:r>
          </w:p>
        </w:tc>
        <w:tc>
          <w:tcPr>
            <w:tcW w:w="1420" w:type="dxa"/>
            <w:vAlign w:val="bottom"/>
            <w:shd w:val="clear" w:color="auto" w:fill="0E2A35"/>
          </w:tcPr>
          <w:p>
            <w:pPr>
              <w:jc w:val="right"/>
              <w:ind w:right="170"/>
              <w:spacing w:after="0"/>
              <w:rPr>
                <w:sz w:val="20"/>
                <w:szCs w:val="20"/>
                <w:color w:val="auto"/>
              </w:rPr>
            </w:pPr>
            <w:r>
              <w:rPr>
                <w:rFonts w:ascii="Arial" w:cs="Arial" w:eastAsia="Arial" w:hAnsi="Arial"/>
                <w:sz w:val="13"/>
                <w:szCs w:val="13"/>
                <w:b w:val="1"/>
                <w:bCs w:val="1"/>
                <w:color w:val="FFFFFF"/>
              </w:rPr>
              <w:t>Target Value</w:t>
            </w:r>
            <w:r>
              <w:rPr>
                <w:rFonts w:ascii="Arial" w:cs="Arial" w:eastAsia="Arial" w:hAnsi="Arial"/>
                <w:sz w:val="20"/>
                <w:szCs w:val="20"/>
                <w:b w:val="1"/>
                <w:bCs w:val="1"/>
                <w:color w:val="FFFFFF"/>
                <w:vertAlign w:val="superscript"/>
              </w:rPr>
              <w:t>(1)</w:t>
            </w:r>
          </w:p>
        </w:tc>
        <w:tc>
          <w:tcPr>
            <w:tcW w:w="1600" w:type="dxa"/>
            <w:vAlign w:val="bottom"/>
            <w:shd w:val="clear" w:color="auto" w:fill="0E2A35"/>
          </w:tcPr>
          <w:p>
            <w:pPr>
              <w:jc w:val="right"/>
              <w:ind w:right="292"/>
              <w:spacing w:after="0"/>
              <w:rPr>
                <w:sz w:val="20"/>
                <w:szCs w:val="20"/>
                <w:color w:val="auto"/>
              </w:rPr>
            </w:pPr>
            <w:r>
              <w:rPr>
                <w:rFonts w:ascii="Arial" w:cs="Arial" w:eastAsia="Arial" w:hAnsi="Arial"/>
                <w:sz w:val="13"/>
                <w:szCs w:val="13"/>
                <w:b w:val="1"/>
                <w:bCs w:val="1"/>
                <w:color w:val="FFFFFF"/>
              </w:rPr>
              <w:t>Actual Shares</w:t>
            </w:r>
          </w:p>
        </w:tc>
        <w:tc>
          <w:tcPr>
            <w:tcW w:w="1180" w:type="dxa"/>
            <w:vAlign w:val="bottom"/>
            <w:gridSpan w:val="2"/>
            <w:shd w:val="clear" w:color="auto" w:fill="0E2A35"/>
          </w:tcPr>
          <w:p>
            <w:pPr>
              <w:ind w:left="300"/>
              <w:spacing w:after="0"/>
              <w:rPr>
                <w:sz w:val="20"/>
                <w:szCs w:val="20"/>
                <w:color w:val="auto"/>
              </w:rPr>
            </w:pPr>
            <w:r>
              <w:rPr>
                <w:rFonts w:ascii="Arial" w:cs="Arial" w:eastAsia="Arial" w:hAnsi="Arial"/>
                <w:sz w:val="13"/>
                <w:szCs w:val="13"/>
                <w:b w:val="1"/>
                <w:bCs w:val="1"/>
                <w:color w:val="FFFFFF"/>
                <w:w w:val="91"/>
              </w:rPr>
              <w:t>Actual Value</w:t>
            </w:r>
            <w:r>
              <w:rPr>
                <w:rFonts w:ascii="Arial" w:cs="Arial" w:eastAsia="Arial" w:hAnsi="Arial"/>
                <w:sz w:val="20"/>
                <w:szCs w:val="20"/>
                <w:b w:val="1"/>
                <w:bCs w:val="1"/>
                <w:color w:val="FFFFFF"/>
                <w:w w:val="91"/>
                <w:vertAlign w:val="superscript"/>
              </w:rPr>
              <w:t>(1)</w:t>
            </w:r>
          </w:p>
        </w:tc>
        <w:tc>
          <w:tcPr>
            <w:tcW w:w="140" w:type="dxa"/>
            <w:vAlign w:val="bottom"/>
            <w:shd w:val="clear" w:color="auto" w:fill="0E2A35"/>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86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2420" w:type="dxa"/>
            <w:vAlign w:val="bottom"/>
          </w:tcPr>
          <w:p>
            <w:pPr>
              <w:jc w:val="right"/>
              <w:ind w:right="250"/>
              <w:spacing w:after="0"/>
              <w:rPr>
                <w:sz w:val="20"/>
                <w:szCs w:val="20"/>
                <w:color w:val="auto"/>
              </w:rPr>
            </w:pPr>
            <w:r>
              <w:rPr>
                <w:rFonts w:ascii="Arial" w:cs="Arial" w:eastAsia="Arial" w:hAnsi="Arial"/>
                <w:sz w:val="14"/>
                <w:szCs w:val="14"/>
                <w:color w:val="0E2A35"/>
              </w:rPr>
              <w:t>11,011</w:t>
            </w:r>
          </w:p>
        </w:tc>
        <w:tc>
          <w:tcPr>
            <w:tcW w:w="1420" w:type="dxa"/>
            <w:vAlign w:val="bottom"/>
          </w:tcPr>
          <w:p>
            <w:pPr>
              <w:jc w:val="right"/>
              <w:ind w:right="150"/>
              <w:spacing w:after="0"/>
              <w:rPr>
                <w:sz w:val="20"/>
                <w:szCs w:val="20"/>
                <w:color w:val="auto"/>
              </w:rPr>
            </w:pPr>
            <w:r>
              <w:rPr>
                <w:rFonts w:ascii="Arial" w:cs="Arial" w:eastAsia="Arial" w:hAnsi="Arial"/>
                <w:sz w:val="14"/>
                <w:szCs w:val="14"/>
                <w:color w:val="0E2A35"/>
              </w:rPr>
              <w:t>$599,989</w:t>
            </w:r>
          </w:p>
        </w:tc>
        <w:tc>
          <w:tcPr>
            <w:tcW w:w="1600" w:type="dxa"/>
            <w:vAlign w:val="bottom"/>
          </w:tcPr>
          <w:p>
            <w:pPr>
              <w:jc w:val="right"/>
              <w:ind w:right="252"/>
              <w:spacing w:after="0"/>
              <w:rPr>
                <w:sz w:val="20"/>
                <w:szCs w:val="20"/>
                <w:color w:val="auto"/>
              </w:rPr>
            </w:pPr>
            <w:r>
              <w:rPr>
                <w:rFonts w:ascii="Arial" w:cs="Arial" w:eastAsia="Arial" w:hAnsi="Arial"/>
                <w:sz w:val="14"/>
                <w:szCs w:val="14"/>
                <w:color w:val="0E2A35"/>
              </w:rPr>
              <w:t>22,022</w:t>
            </w:r>
          </w:p>
        </w:tc>
        <w:tc>
          <w:tcPr>
            <w:tcW w:w="580" w:type="dxa"/>
            <w:vAlign w:val="bottom"/>
          </w:tcPr>
          <w:p>
            <w:pPr>
              <w:jc w:val="right"/>
              <w:spacing w:after="0"/>
              <w:rPr>
                <w:sz w:val="20"/>
                <w:szCs w:val="20"/>
                <w:color w:val="auto"/>
              </w:rPr>
            </w:pPr>
            <w:r>
              <w:rPr>
                <w:rFonts w:ascii="Arial" w:cs="Arial" w:eastAsia="Arial" w:hAnsi="Arial"/>
                <w:sz w:val="14"/>
                <w:szCs w:val="14"/>
                <w:color w:val="0E2A35"/>
              </w:rPr>
              <w:t>$</w:t>
            </w:r>
          </w:p>
        </w:tc>
        <w:tc>
          <w:tcPr>
            <w:tcW w:w="740" w:type="dxa"/>
            <w:vAlign w:val="bottom"/>
            <w:gridSpan w:val="2"/>
          </w:tcPr>
          <w:p>
            <w:pPr>
              <w:jc w:val="right"/>
              <w:ind w:right="37"/>
              <w:spacing w:after="0"/>
              <w:rPr>
                <w:sz w:val="20"/>
                <w:szCs w:val="20"/>
                <w:color w:val="auto"/>
              </w:rPr>
            </w:pPr>
            <w:r>
              <w:rPr>
                <w:rFonts w:ascii="Arial" w:cs="Arial" w:eastAsia="Arial" w:hAnsi="Arial"/>
                <w:sz w:val="14"/>
                <w:szCs w:val="14"/>
                <w:color w:val="0E2A35"/>
                <w:w w:val="99"/>
              </w:rPr>
              <w:t>1,664,643</w:t>
            </w:r>
          </w:p>
        </w:tc>
        <w:tc>
          <w:tcPr>
            <w:tcW w:w="880" w:type="dxa"/>
            <w:vAlign w:val="bottom"/>
          </w:tcPr>
          <w:p>
            <w:pPr>
              <w:spacing w:after="0"/>
              <w:rPr>
                <w:sz w:val="23"/>
                <w:szCs w:val="23"/>
                <w:color w:val="auto"/>
              </w:rPr>
            </w:pPr>
          </w:p>
        </w:tc>
      </w:tr>
      <w:tr>
        <w:trPr>
          <w:trHeight w:val="80"/>
        </w:trPr>
        <w:tc>
          <w:tcPr>
            <w:tcW w:w="860" w:type="dxa"/>
            <w:vAlign w:val="bottom"/>
          </w:tcPr>
          <w:p>
            <w:pPr>
              <w:spacing w:after="0"/>
              <w:rPr>
                <w:sz w:val="6"/>
                <w:szCs w:val="6"/>
                <w:color w:val="auto"/>
              </w:rPr>
            </w:pPr>
          </w:p>
        </w:tc>
        <w:tc>
          <w:tcPr>
            <w:tcW w:w="2520" w:type="dxa"/>
            <w:vAlign w:val="bottom"/>
            <w:tcBorders>
              <w:bottom w:val="single" w:sz="8" w:color="0E2A35"/>
            </w:tcBorders>
          </w:tcPr>
          <w:p>
            <w:pPr>
              <w:spacing w:after="0"/>
              <w:rPr>
                <w:sz w:val="6"/>
                <w:szCs w:val="6"/>
                <w:color w:val="auto"/>
              </w:rPr>
            </w:pPr>
          </w:p>
        </w:tc>
        <w:tc>
          <w:tcPr>
            <w:tcW w:w="2420" w:type="dxa"/>
            <w:vAlign w:val="bottom"/>
            <w:tcBorders>
              <w:bottom w:val="single" w:sz="8" w:color="0E2A35"/>
            </w:tcBorders>
          </w:tcPr>
          <w:p>
            <w:pPr>
              <w:spacing w:after="0"/>
              <w:rPr>
                <w:sz w:val="6"/>
                <w:szCs w:val="6"/>
                <w:color w:val="auto"/>
              </w:rPr>
            </w:pPr>
          </w:p>
        </w:tc>
        <w:tc>
          <w:tcPr>
            <w:tcW w:w="1420" w:type="dxa"/>
            <w:vAlign w:val="bottom"/>
            <w:tcBorders>
              <w:bottom w:val="single" w:sz="8" w:color="0E2A35"/>
            </w:tcBorders>
          </w:tcPr>
          <w:p>
            <w:pPr>
              <w:spacing w:after="0"/>
              <w:rPr>
                <w:sz w:val="6"/>
                <w:szCs w:val="6"/>
                <w:color w:val="auto"/>
              </w:rPr>
            </w:pPr>
          </w:p>
        </w:tc>
        <w:tc>
          <w:tcPr>
            <w:tcW w:w="1600" w:type="dxa"/>
            <w:vAlign w:val="bottom"/>
            <w:tcBorders>
              <w:bottom w:val="single" w:sz="8" w:color="0E2A35"/>
            </w:tcBorders>
          </w:tcPr>
          <w:p>
            <w:pPr>
              <w:spacing w:after="0"/>
              <w:rPr>
                <w:sz w:val="6"/>
                <w:szCs w:val="6"/>
                <w:color w:val="auto"/>
              </w:rPr>
            </w:pPr>
          </w:p>
        </w:tc>
        <w:tc>
          <w:tcPr>
            <w:tcW w:w="58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r>
      <w:tr>
        <w:trPr>
          <w:trHeight w:val="265"/>
        </w:trPr>
        <w:tc>
          <w:tcPr>
            <w:tcW w:w="86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2420" w:type="dxa"/>
            <w:vAlign w:val="bottom"/>
          </w:tcPr>
          <w:p>
            <w:pPr>
              <w:jc w:val="right"/>
              <w:ind w:right="250"/>
              <w:spacing w:after="0"/>
              <w:rPr>
                <w:sz w:val="20"/>
                <w:szCs w:val="20"/>
                <w:color w:val="auto"/>
              </w:rPr>
            </w:pPr>
            <w:r>
              <w:rPr>
                <w:rFonts w:ascii="Arial" w:cs="Arial" w:eastAsia="Arial" w:hAnsi="Arial"/>
                <w:sz w:val="14"/>
                <w:szCs w:val="14"/>
                <w:color w:val="0E2A35"/>
              </w:rPr>
              <w:t>3,854</w:t>
            </w:r>
          </w:p>
        </w:tc>
        <w:tc>
          <w:tcPr>
            <w:tcW w:w="1420" w:type="dxa"/>
            <w:vAlign w:val="bottom"/>
          </w:tcPr>
          <w:p>
            <w:pPr>
              <w:jc w:val="right"/>
              <w:ind w:right="150"/>
              <w:spacing w:after="0"/>
              <w:rPr>
                <w:sz w:val="20"/>
                <w:szCs w:val="20"/>
                <w:color w:val="auto"/>
              </w:rPr>
            </w:pPr>
            <w:r>
              <w:rPr>
                <w:rFonts w:ascii="Arial" w:cs="Arial" w:eastAsia="Arial" w:hAnsi="Arial"/>
                <w:sz w:val="14"/>
                <w:szCs w:val="14"/>
                <w:color w:val="0E2A35"/>
              </w:rPr>
              <w:t>$210,004</w:t>
            </w:r>
          </w:p>
        </w:tc>
        <w:tc>
          <w:tcPr>
            <w:tcW w:w="1600" w:type="dxa"/>
            <w:vAlign w:val="bottom"/>
          </w:tcPr>
          <w:p>
            <w:pPr>
              <w:jc w:val="right"/>
              <w:ind w:right="252"/>
              <w:spacing w:after="0"/>
              <w:rPr>
                <w:sz w:val="20"/>
                <w:szCs w:val="20"/>
                <w:color w:val="auto"/>
              </w:rPr>
            </w:pPr>
            <w:r>
              <w:rPr>
                <w:rFonts w:ascii="Arial" w:cs="Arial" w:eastAsia="Arial" w:hAnsi="Arial"/>
                <w:sz w:val="14"/>
                <w:szCs w:val="14"/>
                <w:color w:val="0E2A35"/>
              </w:rPr>
              <w:t>7,708</w:t>
            </w:r>
          </w:p>
        </w:tc>
        <w:tc>
          <w:tcPr>
            <w:tcW w:w="580" w:type="dxa"/>
            <w:vAlign w:val="bottom"/>
          </w:tcPr>
          <w:p>
            <w:pPr>
              <w:jc w:val="right"/>
              <w:spacing w:after="0"/>
              <w:rPr>
                <w:sz w:val="20"/>
                <w:szCs w:val="20"/>
                <w:color w:val="auto"/>
              </w:rPr>
            </w:pPr>
            <w:r>
              <w:rPr>
                <w:rFonts w:ascii="Arial" w:cs="Arial" w:eastAsia="Arial" w:hAnsi="Arial"/>
                <w:sz w:val="14"/>
                <w:szCs w:val="14"/>
                <w:color w:val="0E2A35"/>
              </w:rPr>
              <w:t>$</w:t>
            </w:r>
          </w:p>
        </w:tc>
        <w:tc>
          <w:tcPr>
            <w:tcW w:w="740" w:type="dxa"/>
            <w:vAlign w:val="bottom"/>
            <w:gridSpan w:val="2"/>
          </w:tcPr>
          <w:p>
            <w:pPr>
              <w:jc w:val="right"/>
              <w:ind w:right="37"/>
              <w:spacing w:after="0"/>
              <w:rPr>
                <w:sz w:val="20"/>
                <w:szCs w:val="20"/>
                <w:color w:val="auto"/>
              </w:rPr>
            </w:pPr>
            <w:r>
              <w:rPr>
                <w:rFonts w:ascii="Arial" w:cs="Arial" w:eastAsia="Arial" w:hAnsi="Arial"/>
                <w:sz w:val="14"/>
                <w:szCs w:val="14"/>
                <w:color w:val="0E2A35"/>
              </w:rPr>
              <w:t>582,648</w:t>
            </w:r>
          </w:p>
        </w:tc>
        <w:tc>
          <w:tcPr>
            <w:tcW w:w="880" w:type="dxa"/>
            <w:vAlign w:val="bottom"/>
          </w:tcPr>
          <w:p>
            <w:pPr>
              <w:spacing w:after="0"/>
              <w:rPr>
                <w:sz w:val="23"/>
                <w:szCs w:val="23"/>
                <w:color w:val="auto"/>
              </w:rPr>
            </w:pPr>
          </w:p>
        </w:tc>
      </w:tr>
      <w:tr>
        <w:trPr>
          <w:trHeight w:val="79"/>
        </w:trPr>
        <w:tc>
          <w:tcPr>
            <w:tcW w:w="860" w:type="dxa"/>
            <w:vAlign w:val="bottom"/>
          </w:tcPr>
          <w:p>
            <w:pPr>
              <w:spacing w:after="0"/>
              <w:rPr>
                <w:sz w:val="6"/>
                <w:szCs w:val="6"/>
                <w:color w:val="auto"/>
              </w:rPr>
            </w:pPr>
          </w:p>
        </w:tc>
        <w:tc>
          <w:tcPr>
            <w:tcW w:w="2520" w:type="dxa"/>
            <w:vAlign w:val="bottom"/>
            <w:tcBorders>
              <w:bottom w:val="single" w:sz="8" w:color="0E2A35"/>
            </w:tcBorders>
          </w:tcPr>
          <w:p>
            <w:pPr>
              <w:spacing w:after="0"/>
              <w:rPr>
                <w:sz w:val="6"/>
                <w:szCs w:val="6"/>
                <w:color w:val="auto"/>
              </w:rPr>
            </w:pPr>
          </w:p>
        </w:tc>
        <w:tc>
          <w:tcPr>
            <w:tcW w:w="2420" w:type="dxa"/>
            <w:vAlign w:val="bottom"/>
            <w:tcBorders>
              <w:bottom w:val="single" w:sz="8" w:color="0E2A35"/>
            </w:tcBorders>
          </w:tcPr>
          <w:p>
            <w:pPr>
              <w:spacing w:after="0"/>
              <w:rPr>
                <w:sz w:val="6"/>
                <w:szCs w:val="6"/>
                <w:color w:val="auto"/>
              </w:rPr>
            </w:pPr>
          </w:p>
        </w:tc>
        <w:tc>
          <w:tcPr>
            <w:tcW w:w="1420" w:type="dxa"/>
            <w:vAlign w:val="bottom"/>
            <w:tcBorders>
              <w:bottom w:val="single" w:sz="8" w:color="0E2A35"/>
            </w:tcBorders>
          </w:tcPr>
          <w:p>
            <w:pPr>
              <w:spacing w:after="0"/>
              <w:rPr>
                <w:sz w:val="6"/>
                <w:szCs w:val="6"/>
                <w:color w:val="auto"/>
              </w:rPr>
            </w:pPr>
          </w:p>
        </w:tc>
        <w:tc>
          <w:tcPr>
            <w:tcW w:w="1600" w:type="dxa"/>
            <w:vAlign w:val="bottom"/>
            <w:tcBorders>
              <w:bottom w:val="single" w:sz="8" w:color="0E2A35"/>
            </w:tcBorders>
          </w:tcPr>
          <w:p>
            <w:pPr>
              <w:spacing w:after="0"/>
              <w:rPr>
                <w:sz w:val="6"/>
                <w:szCs w:val="6"/>
                <w:color w:val="auto"/>
              </w:rPr>
            </w:pPr>
          </w:p>
        </w:tc>
        <w:tc>
          <w:tcPr>
            <w:tcW w:w="58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r>
      <w:tr>
        <w:trPr>
          <w:trHeight w:val="265"/>
        </w:trPr>
        <w:tc>
          <w:tcPr>
            <w:tcW w:w="86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2420" w:type="dxa"/>
            <w:vAlign w:val="bottom"/>
          </w:tcPr>
          <w:p>
            <w:pPr>
              <w:jc w:val="right"/>
              <w:ind w:right="250"/>
              <w:spacing w:after="0"/>
              <w:rPr>
                <w:sz w:val="20"/>
                <w:szCs w:val="20"/>
                <w:color w:val="auto"/>
              </w:rPr>
            </w:pPr>
            <w:r>
              <w:rPr>
                <w:rFonts w:ascii="Arial" w:cs="Arial" w:eastAsia="Arial" w:hAnsi="Arial"/>
                <w:sz w:val="14"/>
                <w:szCs w:val="14"/>
                <w:color w:val="0E2A35"/>
              </w:rPr>
              <w:t>3,487</w:t>
            </w:r>
          </w:p>
        </w:tc>
        <w:tc>
          <w:tcPr>
            <w:tcW w:w="1420" w:type="dxa"/>
            <w:vAlign w:val="bottom"/>
          </w:tcPr>
          <w:p>
            <w:pPr>
              <w:jc w:val="right"/>
              <w:ind w:right="150"/>
              <w:spacing w:after="0"/>
              <w:rPr>
                <w:sz w:val="20"/>
                <w:szCs w:val="20"/>
                <w:color w:val="auto"/>
              </w:rPr>
            </w:pPr>
            <w:r>
              <w:rPr>
                <w:rFonts w:ascii="Arial" w:cs="Arial" w:eastAsia="Arial" w:hAnsi="Arial"/>
                <w:sz w:val="14"/>
                <w:szCs w:val="14"/>
                <w:color w:val="0E2A35"/>
              </w:rPr>
              <w:t>$190,007</w:t>
            </w:r>
          </w:p>
        </w:tc>
        <w:tc>
          <w:tcPr>
            <w:tcW w:w="1600" w:type="dxa"/>
            <w:vAlign w:val="bottom"/>
          </w:tcPr>
          <w:p>
            <w:pPr>
              <w:jc w:val="right"/>
              <w:ind w:right="252"/>
              <w:spacing w:after="0"/>
              <w:rPr>
                <w:sz w:val="20"/>
                <w:szCs w:val="20"/>
                <w:color w:val="auto"/>
              </w:rPr>
            </w:pPr>
            <w:r>
              <w:rPr>
                <w:rFonts w:ascii="Arial" w:cs="Arial" w:eastAsia="Arial" w:hAnsi="Arial"/>
                <w:sz w:val="14"/>
                <w:szCs w:val="14"/>
                <w:color w:val="0E2A35"/>
              </w:rPr>
              <w:t>6,974</w:t>
            </w:r>
          </w:p>
        </w:tc>
        <w:tc>
          <w:tcPr>
            <w:tcW w:w="580" w:type="dxa"/>
            <w:vAlign w:val="bottom"/>
          </w:tcPr>
          <w:p>
            <w:pPr>
              <w:jc w:val="right"/>
              <w:spacing w:after="0"/>
              <w:rPr>
                <w:sz w:val="20"/>
                <w:szCs w:val="20"/>
                <w:color w:val="auto"/>
              </w:rPr>
            </w:pPr>
            <w:r>
              <w:rPr>
                <w:rFonts w:ascii="Arial" w:cs="Arial" w:eastAsia="Arial" w:hAnsi="Arial"/>
                <w:sz w:val="14"/>
                <w:szCs w:val="14"/>
                <w:color w:val="0E2A35"/>
              </w:rPr>
              <w:t>$</w:t>
            </w:r>
          </w:p>
        </w:tc>
        <w:tc>
          <w:tcPr>
            <w:tcW w:w="740" w:type="dxa"/>
            <w:vAlign w:val="bottom"/>
            <w:gridSpan w:val="2"/>
          </w:tcPr>
          <w:p>
            <w:pPr>
              <w:jc w:val="right"/>
              <w:ind w:right="37"/>
              <w:spacing w:after="0"/>
              <w:rPr>
                <w:sz w:val="20"/>
                <w:szCs w:val="20"/>
                <w:color w:val="auto"/>
              </w:rPr>
            </w:pPr>
            <w:r>
              <w:rPr>
                <w:rFonts w:ascii="Arial" w:cs="Arial" w:eastAsia="Arial" w:hAnsi="Arial"/>
                <w:sz w:val="14"/>
                <w:szCs w:val="14"/>
                <w:color w:val="0E2A35"/>
              </w:rPr>
              <w:t>527,165</w:t>
            </w:r>
          </w:p>
        </w:tc>
        <w:tc>
          <w:tcPr>
            <w:tcW w:w="880" w:type="dxa"/>
            <w:vAlign w:val="bottom"/>
          </w:tcPr>
          <w:p>
            <w:pPr>
              <w:spacing w:after="0"/>
              <w:rPr>
                <w:sz w:val="23"/>
                <w:szCs w:val="23"/>
                <w:color w:val="auto"/>
              </w:rPr>
            </w:pPr>
          </w:p>
        </w:tc>
      </w:tr>
      <w:tr>
        <w:trPr>
          <w:trHeight w:val="39"/>
        </w:trPr>
        <w:tc>
          <w:tcPr>
            <w:tcW w:w="860" w:type="dxa"/>
            <w:vAlign w:val="bottom"/>
          </w:tcPr>
          <w:p>
            <w:pPr>
              <w:spacing w:after="0"/>
              <w:rPr>
                <w:sz w:val="3"/>
                <w:szCs w:val="3"/>
                <w:color w:val="auto"/>
              </w:rPr>
            </w:pPr>
          </w:p>
        </w:tc>
        <w:tc>
          <w:tcPr>
            <w:tcW w:w="2520" w:type="dxa"/>
            <w:vAlign w:val="bottom"/>
            <w:tcBorders>
              <w:bottom w:val="single" w:sz="8" w:color="0E2A35"/>
            </w:tcBorders>
          </w:tcPr>
          <w:p>
            <w:pPr>
              <w:spacing w:after="0"/>
              <w:rPr>
                <w:sz w:val="3"/>
                <w:szCs w:val="3"/>
                <w:color w:val="auto"/>
              </w:rPr>
            </w:pPr>
          </w:p>
        </w:tc>
        <w:tc>
          <w:tcPr>
            <w:tcW w:w="2420" w:type="dxa"/>
            <w:vAlign w:val="bottom"/>
            <w:tcBorders>
              <w:bottom w:val="single" w:sz="8" w:color="0E2A35"/>
            </w:tcBorders>
          </w:tcPr>
          <w:p>
            <w:pPr>
              <w:spacing w:after="0"/>
              <w:rPr>
                <w:sz w:val="3"/>
                <w:szCs w:val="3"/>
                <w:color w:val="auto"/>
              </w:rPr>
            </w:pPr>
          </w:p>
        </w:tc>
        <w:tc>
          <w:tcPr>
            <w:tcW w:w="1420" w:type="dxa"/>
            <w:vAlign w:val="bottom"/>
            <w:tcBorders>
              <w:bottom w:val="single" w:sz="8" w:color="0E2A35"/>
            </w:tcBorders>
          </w:tcPr>
          <w:p>
            <w:pPr>
              <w:spacing w:after="0"/>
              <w:rPr>
                <w:sz w:val="3"/>
                <w:szCs w:val="3"/>
                <w:color w:val="auto"/>
              </w:rPr>
            </w:pPr>
          </w:p>
        </w:tc>
        <w:tc>
          <w:tcPr>
            <w:tcW w:w="2780" w:type="dxa"/>
            <w:vAlign w:val="bottom"/>
            <w:tcBorders>
              <w:bottom w:val="single" w:sz="8" w:color="0E2A35"/>
            </w:tcBorders>
            <w:gridSpan w:val="3"/>
          </w:tcPr>
          <w:p>
            <w:pPr>
              <w:spacing w:after="0"/>
              <w:rPr>
                <w:sz w:val="3"/>
                <w:szCs w:val="3"/>
                <w:color w:val="auto"/>
              </w:rPr>
            </w:pPr>
          </w:p>
        </w:tc>
        <w:tc>
          <w:tcPr>
            <w:tcW w:w="14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80" w:type="dxa"/>
            <w:vAlign w:val="bottom"/>
            <w:gridSpan w:val="3"/>
          </w:tcPr>
          <w:p>
            <w:pPr>
              <w:ind w:left="200"/>
              <w:spacing w:after="0"/>
              <w:rPr>
                <w:sz w:val="20"/>
                <w:szCs w:val="20"/>
                <w:color w:val="auto"/>
              </w:rPr>
            </w:pPr>
            <w:r>
              <w:rPr>
                <w:rFonts w:ascii="Arial" w:cs="Arial" w:eastAsia="Arial" w:hAnsi="Arial"/>
                <w:sz w:val="13"/>
                <w:szCs w:val="13"/>
                <w:color w:val="0E2A35"/>
              </w:rPr>
              <w:t>Proxy Statement for 2021 Annual Meeting</w:t>
            </w:r>
          </w:p>
        </w:tc>
        <w:tc>
          <w:tcPr>
            <w:tcW w:w="102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w w:val="82"/>
              </w:rPr>
              <w:t>48</w:t>
            </w:r>
          </w:p>
        </w:tc>
      </w:tr>
      <w:tr>
        <w:trPr>
          <w:trHeight w:val="239"/>
        </w:trPr>
        <w:tc>
          <w:tcPr>
            <w:tcW w:w="8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3" w:name="page54"/>
    <w:bookmarkEnd w:id="5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880" w:hanging="360"/>
        <w:spacing w:after="0" w:line="230" w:lineRule="auto"/>
        <w:tabs>
          <w:tab w:leader="none" w:pos="1220" w:val="left"/>
        </w:tabs>
        <w:numPr>
          <w:ilvl w:val="0"/>
          <w:numId w:val="40"/>
        </w:numPr>
        <w:rPr>
          <w:rFonts w:ascii="Arial" w:cs="Arial" w:eastAsia="Arial" w:hAnsi="Arial"/>
          <w:sz w:val="13"/>
          <w:szCs w:val="13"/>
          <w:color w:val="0E2A35"/>
        </w:rPr>
      </w:pPr>
      <w:r>
        <w:rPr>
          <w:rFonts w:ascii="Arial" w:cs="Arial" w:eastAsia="Arial" w:hAnsi="Arial"/>
          <w:sz w:val="13"/>
          <w:szCs w:val="13"/>
          <w:color w:val="0E2A35"/>
        </w:rPr>
        <w:t>Target payout is valued at the closing market price of our common stock on the grant date as quoted on the NYSE, which was $54.49 (October 13, 2020). Actual payout is valued at the closing market price of our common stock on October 12, 2021, which was $75.59.</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Benefits</w:t>
      </w:r>
    </w:p>
    <w:p>
      <w:pPr>
        <w:spacing w:after="0" w:line="200" w:lineRule="exact"/>
        <w:rPr>
          <w:sz w:val="20"/>
          <w:szCs w:val="20"/>
          <w:color w:val="auto"/>
        </w:rPr>
      </w:pPr>
    </w:p>
    <w:p>
      <w:pPr>
        <w:ind w:left="860" w:right="1360"/>
        <w:spacing w:after="0" w:line="260" w:lineRule="auto"/>
        <w:rPr>
          <w:sz w:val="20"/>
          <w:szCs w:val="20"/>
          <w:color w:val="auto"/>
        </w:rPr>
      </w:pPr>
      <w:r>
        <w:rPr>
          <w:rFonts w:ascii="Arial" w:cs="Arial" w:eastAsia="Arial" w:hAnsi="Arial"/>
          <w:sz w:val="16"/>
          <w:szCs w:val="16"/>
          <w:color w:val="0E2A35"/>
        </w:rPr>
        <w:t>Our NEOs are eligible to participate in the same benefit plans designed for all our full-time employees. The basic insurance package includes health, dental, disability and basic group life insurance.</w:t>
      </w:r>
    </w:p>
    <w:p>
      <w:pPr>
        <w:spacing w:after="0" w:line="155"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23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Profit Sharing and Deferred Savings and Investment Plan</w:t>
      </w:r>
    </w:p>
    <w:p>
      <w:pPr>
        <w:spacing w:after="0" w:line="200" w:lineRule="exact"/>
        <w:rPr>
          <w:sz w:val="20"/>
          <w:szCs w:val="20"/>
          <w:color w:val="auto"/>
        </w:rPr>
      </w:pPr>
    </w:p>
    <w:p>
      <w:pPr>
        <w:ind w:left="860" w:right="880"/>
        <w:spacing w:after="0" w:line="247" w:lineRule="auto"/>
        <w:rPr>
          <w:sz w:val="20"/>
          <w:szCs w:val="20"/>
          <w:color w:val="auto"/>
        </w:rPr>
      </w:pPr>
      <w:r>
        <w:rPr>
          <w:rFonts w:ascii="Arial" w:cs="Arial" w:eastAsia="Arial" w:hAnsi="Arial"/>
          <w:sz w:val="16"/>
          <w:szCs w:val="16"/>
          <w:color w:val="0E2A35"/>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and effective January 1, 2021, employees may defer a percentage of income that is part of their base salary and incentive pay. Effective January 1, 2018, the Company matching contribution increased to $0.50 per $1.00 of employee contribution up to 6% of the base compensation deferred by employees (subject to IRS limits and non-discrimination testing), subject to a two-year, pro-rata vesting period for those employees hired after January 1, 2018. Approved in October 2020 and effective January 1, 2020, for all Winnebago Outdoors and Enterprise function employees, the Company matching contribution was increased to $1.00 per $1.00 of employee contribution for the first 1% of base compensation deferred and $0.50 per $1.00 of employee contribution for the next 5% of base compensation deferred by employees (subject in each case to IRS limits and non-discrimination testing) and also subject to a two-year, pro-rata vesting period for those employees hired after January 1, 2018. Although executives, including the NEOs,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w:t>
      </w:r>
    </w:p>
    <w:p>
      <w:pPr>
        <w:spacing w:after="0" w:line="366" w:lineRule="exact"/>
        <w:rPr>
          <w:sz w:val="20"/>
          <w:szCs w:val="20"/>
          <w:color w:val="auto"/>
        </w:rPr>
      </w:pPr>
    </w:p>
    <w:p>
      <w:pPr>
        <w:ind w:left="860" w:right="1380"/>
        <w:spacing w:after="0" w:line="261" w:lineRule="auto"/>
        <w:rPr>
          <w:sz w:val="20"/>
          <w:szCs w:val="20"/>
          <w:color w:val="auto"/>
        </w:rPr>
      </w:pPr>
      <w:r>
        <w:rPr>
          <w:rFonts w:ascii="Arial" w:cs="Arial" w:eastAsia="Arial" w:hAnsi="Arial"/>
          <w:sz w:val="22"/>
          <w:szCs w:val="22"/>
          <w:b w:val="1"/>
          <w:bCs w:val="1"/>
          <w:color w:val="284752"/>
        </w:rPr>
        <w:t>Executive Deferred Compensation Plan (2007) (Non-Qualified Deferred Compensation Plan)</w:t>
      </w:r>
    </w:p>
    <w:p>
      <w:pPr>
        <w:spacing w:after="0" w:line="159" w:lineRule="exact"/>
        <w:rPr>
          <w:sz w:val="20"/>
          <w:szCs w:val="20"/>
          <w:color w:val="auto"/>
        </w:rPr>
      </w:pPr>
    </w:p>
    <w:p>
      <w:pPr>
        <w:ind w:left="860" w:right="1020"/>
        <w:spacing w:after="0" w:line="251" w:lineRule="auto"/>
        <w:rPr>
          <w:sz w:val="20"/>
          <w:szCs w:val="20"/>
          <w:color w:val="auto"/>
        </w:rPr>
      </w:pPr>
      <w:r>
        <w:rPr>
          <w:rFonts w:ascii="Arial" w:cs="Arial" w:eastAsia="Arial" w:hAnsi="Arial"/>
          <w:sz w:val="16"/>
          <w:szCs w:val="16"/>
          <w:color w:val="0E2A35"/>
        </w:rPr>
        <w:t>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Perquisites</w:t>
      </w:r>
    </w:p>
    <w:p>
      <w:pPr>
        <w:spacing w:after="0" w:line="200"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perquisites provided to our NEOs include:</w:t>
      </w:r>
    </w:p>
    <w:p>
      <w:pPr>
        <w:spacing w:after="0" w:line="174" w:lineRule="exact"/>
        <w:rPr>
          <w:sz w:val="20"/>
          <w:szCs w:val="20"/>
          <w:color w:val="auto"/>
        </w:rPr>
      </w:pPr>
    </w:p>
    <w:p>
      <w:pPr>
        <w:ind w:left="1580" w:right="1400" w:hanging="360"/>
        <w:spacing w:after="0" w:line="286" w:lineRule="auto"/>
        <w:tabs>
          <w:tab w:leader="none" w:pos="1580" w:val="left"/>
        </w:tabs>
        <w:numPr>
          <w:ilvl w:val="0"/>
          <w:numId w:val="41"/>
        </w:numPr>
        <w:rPr>
          <w:rFonts w:ascii="Arial" w:cs="Arial" w:eastAsia="Arial" w:hAnsi="Arial"/>
          <w:sz w:val="16"/>
          <w:szCs w:val="16"/>
          <w:color w:val="C7D265"/>
        </w:rPr>
      </w:pPr>
      <w:r>
        <w:rPr>
          <w:rFonts w:ascii="Arial" w:cs="Arial" w:eastAsia="Arial" w:hAnsi="Arial"/>
          <w:sz w:val="16"/>
          <w:szCs w:val="16"/>
          <w:b w:val="1"/>
          <w:bCs w:val="1"/>
          <w:color w:val="0E2A35"/>
        </w:rPr>
        <w:t>Executive Physical</w:t>
      </w:r>
      <w:r>
        <w:rPr>
          <w:rFonts w:ascii="Arial" w:cs="Arial" w:eastAsia="Arial" w:hAnsi="Arial"/>
          <w:sz w:val="16"/>
          <w:szCs w:val="16"/>
          <w:color w:val="0E2A35"/>
        </w:rPr>
        <w:t>. To encourage executives to monitor and maintain good health, we pay for voluntary annual</w:t>
      </w:r>
      <w:r>
        <w:rPr>
          <w:rFonts w:ascii="Arial" w:cs="Arial" w:eastAsia="Arial" w:hAnsi="Arial"/>
          <w:sz w:val="16"/>
          <w:szCs w:val="16"/>
          <w:b w:val="1"/>
          <w:bCs w:val="1"/>
          <w:color w:val="0E2A35"/>
        </w:rPr>
        <w:t xml:space="preserve"> </w:t>
      </w:r>
      <w:r>
        <w:rPr>
          <w:rFonts w:ascii="Arial" w:cs="Arial" w:eastAsia="Arial" w:hAnsi="Arial"/>
          <w:sz w:val="16"/>
          <w:szCs w:val="16"/>
          <w:color w:val="0E2A35"/>
        </w:rPr>
        <w:t>physical examinations for executives, including the NEOs.</w:t>
      </w:r>
    </w:p>
    <w:p>
      <w:pPr>
        <w:spacing w:after="0" w:line="115" w:lineRule="exact"/>
        <w:rPr>
          <w:rFonts w:ascii="Arial" w:cs="Arial" w:eastAsia="Arial" w:hAnsi="Arial"/>
          <w:sz w:val="16"/>
          <w:szCs w:val="16"/>
          <w:color w:val="C7D265"/>
        </w:rPr>
      </w:pPr>
    </w:p>
    <w:p>
      <w:pPr>
        <w:ind w:left="1580" w:right="980" w:hanging="360"/>
        <w:spacing w:after="0" w:line="259" w:lineRule="auto"/>
        <w:tabs>
          <w:tab w:leader="none" w:pos="1580" w:val="left"/>
        </w:tabs>
        <w:numPr>
          <w:ilvl w:val="0"/>
          <w:numId w:val="41"/>
        </w:numPr>
        <w:rPr>
          <w:rFonts w:ascii="Arial" w:cs="Arial" w:eastAsia="Arial" w:hAnsi="Arial"/>
          <w:sz w:val="16"/>
          <w:szCs w:val="16"/>
          <w:color w:val="C7D265"/>
        </w:rPr>
      </w:pPr>
      <w:r>
        <w:rPr>
          <w:rFonts w:ascii="Arial" w:cs="Arial" w:eastAsia="Arial" w:hAnsi="Arial"/>
          <w:sz w:val="16"/>
          <w:szCs w:val="16"/>
          <w:b w:val="1"/>
          <w:bCs w:val="1"/>
          <w:color w:val="0E2A35"/>
        </w:rPr>
        <w:t>Recreational Vehicle and Boat Use</w:t>
      </w:r>
      <w:r>
        <w:rPr>
          <w:rFonts w:ascii="Arial" w:cs="Arial" w:eastAsia="Arial" w:hAnsi="Arial"/>
          <w:sz w:val="16"/>
          <w:szCs w:val="16"/>
          <w:color w:val="0E2A35"/>
        </w:rPr>
        <w:t>. Our executives, including NEOs, can use our recreational vehicles and boats on</w:t>
      </w:r>
      <w:r>
        <w:rPr>
          <w:rFonts w:ascii="Arial" w:cs="Arial" w:eastAsia="Arial" w:hAnsi="Arial"/>
          <w:sz w:val="16"/>
          <w:szCs w:val="16"/>
          <w:b w:val="1"/>
          <w:bCs w:val="1"/>
          <w:color w:val="0E2A35"/>
        </w:rPr>
        <w:t xml:space="preserve"> </w:t>
      </w:r>
      <w:r>
        <w:rPr>
          <w:rFonts w:ascii="Arial" w:cs="Arial" w:eastAsia="Arial" w:hAnsi="Arial"/>
          <w:sz w:val="16"/>
          <w:szCs w:val="16"/>
          <w:color w:val="0E2A35"/>
        </w:rPr>
        <w:t>a periodic and temporary basis. We encourage the executive to have a first-hand understanding of the recreational vehicle lifestyle experienced by our customers and to provide the executive with the opportunity to evaluate product design and efficiency.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49</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4" w:name="page55"/>
    <w:bookmarkEnd w:id="5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580" w:hanging="360"/>
        <w:spacing w:after="0"/>
        <w:tabs>
          <w:tab w:leader="none" w:pos="1580" w:val="left"/>
        </w:tabs>
        <w:numPr>
          <w:ilvl w:val="0"/>
          <w:numId w:val="42"/>
        </w:numPr>
        <w:rPr>
          <w:rFonts w:ascii="Arial" w:cs="Arial" w:eastAsia="Arial" w:hAnsi="Arial"/>
          <w:sz w:val="16"/>
          <w:szCs w:val="16"/>
          <w:color w:val="C7D265"/>
        </w:rPr>
      </w:pPr>
      <w:r>
        <w:rPr>
          <w:rFonts w:ascii="Arial" w:cs="Arial" w:eastAsia="Arial" w:hAnsi="Arial"/>
          <w:sz w:val="16"/>
          <w:szCs w:val="16"/>
          <w:b w:val="1"/>
          <w:bCs w:val="1"/>
          <w:color w:val="0E2A35"/>
        </w:rPr>
        <w:t>Car Allowance</w:t>
      </w:r>
      <w:r>
        <w:rPr>
          <w:rFonts w:ascii="Arial" w:cs="Arial" w:eastAsia="Arial" w:hAnsi="Arial"/>
          <w:sz w:val="16"/>
          <w:szCs w:val="16"/>
          <w:color w:val="0E2A35"/>
        </w:rPr>
        <w:t>. A car allowance is provided as frequent travel is required.</w:t>
      </w:r>
    </w:p>
    <w:p>
      <w:pPr>
        <w:spacing w:after="0" w:line="194" w:lineRule="exact"/>
        <w:rPr>
          <w:rFonts w:ascii="Arial" w:cs="Arial" w:eastAsia="Arial" w:hAnsi="Arial"/>
          <w:sz w:val="16"/>
          <w:szCs w:val="16"/>
          <w:color w:val="C7D265"/>
        </w:rPr>
      </w:pPr>
    </w:p>
    <w:p>
      <w:pPr>
        <w:ind w:left="1580" w:right="1180" w:hanging="360"/>
        <w:spacing w:after="0" w:line="286" w:lineRule="auto"/>
        <w:tabs>
          <w:tab w:leader="none" w:pos="1580" w:val="left"/>
        </w:tabs>
        <w:numPr>
          <w:ilvl w:val="0"/>
          <w:numId w:val="42"/>
        </w:numPr>
        <w:rPr>
          <w:rFonts w:ascii="Arial" w:cs="Arial" w:eastAsia="Arial" w:hAnsi="Arial"/>
          <w:sz w:val="16"/>
          <w:szCs w:val="16"/>
          <w:color w:val="C7D265"/>
        </w:rPr>
      </w:pPr>
      <w:r>
        <w:rPr>
          <w:rFonts w:ascii="Arial" w:cs="Arial" w:eastAsia="Arial" w:hAnsi="Arial"/>
          <w:sz w:val="16"/>
          <w:szCs w:val="16"/>
          <w:b w:val="1"/>
          <w:bCs w:val="1"/>
          <w:color w:val="0E2A35"/>
        </w:rPr>
        <w:t>Financial &amp; Tax Planning</w:t>
      </w:r>
      <w:r>
        <w:rPr>
          <w:rFonts w:ascii="Arial" w:cs="Arial" w:eastAsia="Arial" w:hAnsi="Arial"/>
          <w:sz w:val="16"/>
          <w:szCs w:val="16"/>
          <w:color w:val="0E2A35"/>
        </w:rPr>
        <w:t>. To address complex tax and financial situations, a tax and financial planning payment is</w:t>
      </w:r>
      <w:r>
        <w:rPr>
          <w:rFonts w:ascii="Arial" w:cs="Arial" w:eastAsia="Arial" w:hAnsi="Arial"/>
          <w:sz w:val="16"/>
          <w:szCs w:val="16"/>
          <w:b w:val="1"/>
          <w:bCs w:val="1"/>
          <w:color w:val="0E2A35"/>
        </w:rPr>
        <w:t xml:space="preserve"> </w:t>
      </w:r>
      <w:r>
        <w:rPr>
          <w:rFonts w:ascii="Arial" w:cs="Arial" w:eastAsia="Arial" w:hAnsi="Arial"/>
          <w:sz w:val="16"/>
          <w:szCs w:val="16"/>
          <w:color w:val="0E2A35"/>
        </w:rPr>
        <w:t>provided.</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Additional Compensation Policies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Stock Ownership Guidelines</w:t>
      </w:r>
    </w:p>
    <w:p>
      <w:pPr>
        <w:spacing w:after="0" w:line="201" w:lineRule="exact"/>
        <w:rPr>
          <w:sz w:val="20"/>
          <w:szCs w:val="20"/>
          <w:color w:val="auto"/>
        </w:rPr>
      </w:pPr>
    </w:p>
    <w:p>
      <w:pPr>
        <w:ind w:left="860" w:right="880"/>
        <w:spacing w:after="0" w:line="250" w:lineRule="auto"/>
        <w:rPr>
          <w:sz w:val="20"/>
          <w:szCs w:val="20"/>
          <w:color w:val="auto"/>
        </w:rPr>
      </w:pPr>
      <w:r>
        <w:rPr>
          <w:rFonts w:ascii="Arial" w:cs="Arial" w:eastAsia="Arial" w:hAnsi="Arial"/>
          <w:sz w:val="16"/>
          <w:szCs w:val="16"/>
          <w:color w:val="0E2A35"/>
        </w:rPr>
        <w:t>The committee has adopted stock ownership guidelines for executives. In general, each executive has five years from the date 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176"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We review our stock ownership guidelines on a periodic basis. The table below describes the current ownership guidelines for the NEOs. Each of our NEOs has either met his stock ownership guideline goal or is on track to meet this goal within the prescribed five-year time frame.</w:t>
      </w:r>
    </w:p>
    <w:p>
      <w:pPr>
        <w:spacing w:after="0" w:line="51"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6500" w:type="dxa"/>
            <w:vAlign w:val="bottom"/>
            <w:shd w:val="clear" w:color="auto" w:fill="0E2A35"/>
          </w:tcPr>
          <w:p>
            <w:pPr>
              <w:spacing w:after="0"/>
              <w:rPr>
                <w:sz w:val="22"/>
                <w:szCs w:val="22"/>
                <w:color w:val="auto"/>
              </w:rPr>
            </w:pPr>
          </w:p>
        </w:tc>
        <w:tc>
          <w:tcPr>
            <w:tcW w:w="2780" w:type="dxa"/>
            <w:vAlign w:val="bottom"/>
            <w:gridSpan w:val="2"/>
            <w:shd w:val="clear" w:color="auto" w:fill="0E2A35"/>
          </w:tcPr>
          <w:p>
            <w:pPr>
              <w:jc w:val="right"/>
              <w:ind w:right="370"/>
              <w:spacing w:after="0"/>
              <w:rPr>
                <w:sz w:val="20"/>
                <w:szCs w:val="20"/>
                <w:color w:val="auto"/>
              </w:rPr>
            </w:pPr>
            <w:r>
              <w:rPr>
                <w:rFonts w:ascii="Arial" w:cs="Arial" w:eastAsia="Arial" w:hAnsi="Arial"/>
                <w:sz w:val="13"/>
                <w:szCs w:val="13"/>
                <w:b w:val="1"/>
                <w:bCs w:val="1"/>
                <w:color w:val="FFFFFF"/>
              </w:rPr>
              <w:t>Stock Ownership Guideline</w:t>
            </w:r>
          </w:p>
        </w:tc>
      </w:tr>
      <w:tr>
        <w:trPr>
          <w:trHeight w:val="364"/>
        </w:trPr>
        <w:tc>
          <w:tcPr>
            <w:tcW w:w="65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520" w:type="dxa"/>
            <w:vAlign w:val="bottom"/>
            <w:shd w:val="clear" w:color="auto" w:fill="0E2A35"/>
          </w:tcPr>
          <w:p>
            <w:pPr>
              <w:jc w:val="right"/>
              <w:ind w:right="371"/>
              <w:spacing w:after="0"/>
              <w:rPr>
                <w:sz w:val="20"/>
                <w:szCs w:val="20"/>
                <w:color w:val="auto"/>
              </w:rPr>
            </w:pPr>
            <w:r>
              <w:rPr>
                <w:rFonts w:ascii="Arial" w:cs="Arial" w:eastAsia="Arial" w:hAnsi="Arial"/>
                <w:sz w:val="13"/>
                <w:szCs w:val="13"/>
                <w:b w:val="1"/>
                <w:bCs w:val="1"/>
                <w:color w:val="FFFFFF"/>
              </w:rPr>
              <w:t>% of Salary</w:t>
            </w:r>
          </w:p>
        </w:tc>
        <w:tc>
          <w:tcPr>
            <w:tcW w:w="1260" w:type="dxa"/>
            <w:vAlign w:val="bottom"/>
            <w:shd w:val="clear" w:color="auto" w:fill="0E2A35"/>
          </w:tcPr>
          <w:p>
            <w:pPr>
              <w:jc w:val="right"/>
              <w:ind w:right="290"/>
              <w:spacing w:after="0"/>
              <w:rPr>
                <w:sz w:val="20"/>
                <w:szCs w:val="20"/>
                <w:color w:val="auto"/>
              </w:rPr>
            </w:pPr>
            <w:r>
              <w:rPr>
                <w:rFonts w:ascii="Arial" w:cs="Arial" w:eastAsia="Arial" w:hAnsi="Arial"/>
                <w:sz w:val="13"/>
                <w:szCs w:val="13"/>
                <w:b w:val="1"/>
                <w:bCs w:val="1"/>
                <w:color w:val="FFFFFF"/>
              </w:rPr>
              <w:t>Value</w:t>
            </w:r>
          </w:p>
        </w:tc>
      </w:tr>
      <w:tr>
        <w:trPr>
          <w:trHeight w:val="97"/>
        </w:trPr>
        <w:tc>
          <w:tcPr>
            <w:tcW w:w="6500" w:type="dxa"/>
            <w:vAlign w:val="bottom"/>
            <w:shd w:val="clear" w:color="auto" w:fill="0E2A35"/>
          </w:tcPr>
          <w:p>
            <w:pPr>
              <w:spacing w:after="0"/>
              <w:rPr>
                <w:sz w:val="8"/>
                <w:szCs w:val="8"/>
                <w:color w:val="auto"/>
              </w:rPr>
            </w:pPr>
          </w:p>
        </w:tc>
        <w:tc>
          <w:tcPr>
            <w:tcW w:w="1520" w:type="dxa"/>
            <w:vAlign w:val="bottom"/>
            <w:shd w:val="clear" w:color="auto" w:fill="0E2A35"/>
          </w:tcPr>
          <w:p>
            <w:pPr>
              <w:spacing w:after="0"/>
              <w:rPr>
                <w:sz w:val="8"/>
                <w:szCs w:val="8"/>
                <w:color w:val="auto"/>
              </w:rPr>
            </w:pPr>
          </w:p>
        </w:tc>
        <w:tc>
          <w:tcPr>
            <w:tcW w:w="1260" w:type="dxa"/>
            <w:vAlign w:val="bottom"/>
            <w:shd w:val="clear" w:color="auto" w:fill="0E2A35"/>
          </w:tcPr>
          <w:p>
            <w:pPr>
              <w:spacing w:after="0"/>
              <w:rPr>
                <w:sz w:val="8"/>
                <w:szCs w:val="8"/>
                <w:color w:val="auto"/>
              </w:rPr>
            </w:pPr>
          </w:p>
        </w:tc>
      </w:tr>
      <w:tr>
        <w:trPr>
          <w:trHeight w:val="285"/>
        </w:trPr>
        <w:tc>
          <w:tcPr>
            <w:tcW w:w="6500" w:type="dxa"/>
            <w:vAlign w:val="bottom"/>
          </w:tcPr>
          <w:p>
            <w:pPr>
              <w:ind w:left="160"/>
              <w:spacing w:after="0"/>
              <w:rPr>
                <w:sz w:val="20"/>
                <w:szCs w:val="20"/>
                <w:color w:val="auto"/>
              </w:rPr>
            </w:pPr>
            <w:r>
              <w:rPr>
                <w:rFonts w:ascii="Arial" w:cs="Arial" w:eastAsia="Arial" w:hAnsi="Arial"/>
                <w:sz w:val="14"/>
                <w:szCs w:val="14"/>
                <w:color w:val="0E2A35"/>
              </w:rPr>
              <w:t>Michael J. Happe</w:t>
            </w:r>
          </w:p>
        </w:tc>
        <w:tc>
          <w:tcPr>
            <w:tcW w:w="1520" w:type="dxa"/>
            <w:vAlign w:val="bottom"/>
          </w:tcPr>
          <w:p>
            <w:pPr>
              <w:jc w:val="right"/>
              <w:ind w:right="471"/>
              <w:spacing w:after="0"/>
              <w:rPr>
                <w:sz w:val="20"/>
                <w:szCs w:val="20"/>
                <w:color w:val="auto"/>
              </w:rPr>
            </w:pPr>
            <w:r>
              <w:rPr>
                <w:rFonts w:ascii="Arial" w:cs="Arial" w:eastAsia="Arial" w:hAnsi="Arial"/>
                <w:sz w:val="14"/>
                <w:szCs w:val="14"/>
                <w:color w:val="0E2A35"/>
              </w:rPr>
              <w:t>500%</w:t>
            </w:r>
          </w:p>
        </w:tc>
        <w:tc>
          <w:tcPr>
            <w:tcW w:w="1260" w:type="dxa"/>
            <w:vAlign w:val="bottom"/>
          </w:tcPr>
          <w:p>
            <w:pPr>
              <w:jc w:val="right"/>
              <w:ind w:right="10"/>
              <w:spacing w:after="0"/>
              <w:rPr>
                <w:sz w:val="20"/>
                <w:szCs w:val="20"/>
                <w:color w:val="auto"/>
              </w:rPr>
            </w:pPr>
            <w:r>
              <w:rPr>
                <w:rFonts w:ascii="Arial" w:cs="Arial" w:eastAsia="Arial" w:hAnsi="Arial"/>
                <w:sz w:val="14"/>
                <w:szCs w:val="14"/>
                <w:color w:val="0E2A35"/>
              </w:rPr>
              <w:t>$4,500,000</w:t>
            </w:r>
          </w:p>
        </w:tc>
      </w:tr>
      <w:tr>
        <w:trPr>
          <w:trHeight w:val="93"/>
        </w:trPr>
        <w:tc>
          <w:tcPr>
            <w:tcW w:w="6500" w:type="dxa"/>
            <w:vAlign w:val="bottom"/>
            <w:tcBorders>
              <w:bottom w:val="single" w:sz="8" w:color="0E2A35"/>
            </w:tcBorders>
          </w:tcPr>
          <w:p>
            <w:pPr>
              <w:spacing w:after="0"/>
              <w:rPr>
                <w:sz w:val="8"/>
                <w:szCs w:val="8"/>
                <w:color w:val="auto"/>
              </w:rPr>
            </w:pPr>
          </w:p>
        </w:tc>
        <w:tc>
          <w:tcPr>
            <w:tcW w:w="152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r>
      <w:tr>
        <w:trPr>
          <w:trHeight w:val="278"/>
        </w:trPr>
        <w:tc>
          <w:tcPr>
            <w:tcW w:w="6500" w:type="dxa"/>
            <w:vAlign w:val="bottom"/>
          </w:tcPr>
          <w:p>
            <w:pPr>
              <w:ind w:left="160"/>
              <w:spacing w:after="0"/>
              <w:rPr>
                <w:sz w:val="20"/>
                <w:szCs w:val="20"/>
                <w:color w:val="auto"/>
              </w:rPr>
            </w:pPr>
            <w:r>
              <w:rPr>
                <w:rFonts w:ascii="Arial" w:cs="Arial" w:eastAsia="Arial" w:hAnsi="Arial"/>
                <w:sz w:val="14"/>
                <w:szCs w:val="14"/>
                <w:color w:val="0E2A35"/>
              </w:rPr>
              <w:t>Bryan L. Hughes</w:t>
            </w:r>
          </w:p>
        </w:tc>
        <w:tc>
          <w:tcPr>
            <w:tcW w:w="1520" w:type="dxa"/>
            <w:vAlign w:val="bottom"/>
          </w:tcPr>
          <w:p>
            <w:pPr>
              <w:jc w:val="right"/>
              <w:ind w:right="471"/>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10"/>
              <w:spacing w:after="0"/>
              <w:rPr>
                <w:sz w:val="20"/>
                <w:szCs w:val="20"/>
                <w:color w:val="auto"/>
              </w:rPr>
            </w:pPr>
            <w:r>
              <w:rPr>
                <w:rFonts w:ascii="Arial" w:cs="Arial" w:eastAsia="Arial" w:hAnsi="Arial"/>
                <w:sz w:val="14"/>
                <w:szCs w:val="14"/>
                <w:color w:val="0E2A35"/>
              </w:rPr>
              <w:t>1,312,500</w:t>
            </w:r>
          </w:p>
        </w:tc>
      </w:tr>
      <w:tr>
        <w:trPr>
          <w:trHeight w:val="93"/>
        </w:trPr>
        <w:tc>
          <w:tcPr>
            <w:tcW w:w="6500" w:type="dxa"/>
            <w:vAlign w:val="bottom"/>
            <w:tcBorders>
              <w:bottom w:val="single" w:sz="8" w:color="0E2A35"/>
            </w:tcBorders>
          </w:tcPr>
          <w:p>
            <w:pPr>
              <w:spacing w:after="0"/>
              <w:rPr>
                <w:sz w:val="8"/>
                <w:szCs w:val="8"/>
                <w:color w:val="auto"/>
              </w:rPr>
            </w:pPr>
          </w:p>
        </w:tc>
        <w:tc>
          <w:tcPr>
            <w:tcW w:w="152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r>
      <w:tr>
        <w:trPr>
          <w:trHeight w:val="278"/>
        </w:trPr>
        <w:tc>
          <w:tcPr>
            <w:tcW w:w="6500" w:type="dxa"/>
            <w:vAlign w:val="bottom"/>
          </w:tcPr>
          <w:p>
            <w:pPr>
              <w:ind w:left="160"/>
              <w:spacing w:after="0"/>
              <w:rPr>
                <w:sz w:val="20"/>
                <w:szCs w:val="20"/>
                <w:color w:val="auto"/>
              </w:rPr>
            </w:pPr>
            <w:r>
              <w:rPr>
                <w:rFonts w:ascii="Arial" w:cs="Arial" w:eastAsia="Arial" w:hAnsi="Arial"/>
                <w:sz w:val="14"/>
                <w:szCs w:val="14"/>
                <w:color w:val="0E2A35"/>
              </w:rPr>
              <w:t>Huw S. Bower</w:t>
            </w:r>
          </w:p>
        </w:tc>
        <w:tc>
          <w:tcPr>
            <w:tcW w:w="1520" w:type="dxa"/>
            <w:vAlign w:val="bottom"/>
          </w:tcPr>
          <w:p>
            <w:pPr>
              <w:jc w:val="right"/>
              <w:ind w:right="471"/>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10"/>
              <w:spacing w:after="0"/>
              <w:rPr>
                <w:sz w:val="20"/>
                <w:szCs w:val="20"/>
                <w:color w:val="auto"/>
              </w:rPr>
            </w:pPr>
            <w:r>
              <w:rPr>
                <w:rFonts w:ascii="Arial" w:cs="Arial" w:eastAsia="Arial" w:hAnsi="Arial"/>
                <w:sz w:val="14"/>
                <w:szCs w:val="14"/>
                <w:color w:val="0E2A35"/>
              </w:rPr>
              <w:t>1,375,000</w:t>
            </w:r>
          </w:p>
        </w:tc>
      </w:tr>
      <w:tr>
        <w:trPr>
          <w:trHeight w:val="93"/>
        </w:trPr>
        <w:tc>
          <w:tcPr>
            <w:tcW w:w="6500" w:type="dxa"/>
            <w:vAlign w:val="bottom"/>
            <w:tcBorders>
              <w:bottom w:val="single" w:sz="8" w:color="0E2A35"/>
            </w:tcBorders>
          </w:tcPr>
          <w:p>
            <w:pPr>
              <w:spacing w:after="0"/>
              <w:rPr>
                <w:sz w:val="8"/>
                <w:szCs w:val="8"/>
                <w:color w:val="auto"/>
              </w:rPr>
            </w:pPr>
          </w:p>
        </w:tc>
        <w:tc>
          <w:tcPr>
            <w:tcW w:w="152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r>
      <w:tr>
        <w:trPr>
          <w:trHeight w:val="278"/>
        </w:trPr>
        <w:tc>
          <w:tcPr>
            <w:tcW w:w="6500" w:type="dxa"/>
            <w:vAlign w:val="bottom"/>
          </w:tcPr>
          <w:p>
            <w:pPr>
              <w:ind w:left="160"/>
              <w:spacing w:after="0"/>
              <w:rPr>
                <w:sz w:val="20"/>
                <w:szCs w:val="20"/>
                <w:color w:val="auto"/>
              </w:rPr>
            </w:pPr>
            <w:r>
              <w:rPr>
                <w:rFonts w:ascii="Arial" w:cs="Arial" w:eastAsia="Arial" w:hAnsi="Arial"/>
                <w:sz w:val="14"/>
                <w:szCs w:val="14"/>
                <w:color w:val="0E2A35"/>
              </w:rPr>
              <w:t>Donald J. Clark</w:t>
            </w:r>
          </w:p>
        </w:tc>
        <w:tc>
          <w:tcPr>
            <w:tcW w:w="1520" w:type="dxa"/>
            <w:vAlign w:val="bottom"/>
          </w:tcPr>
          <w:p>
            <w:pPr>
              <w:jc w:val="right"/>
              <w:ind w:right="471"/>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10"/>
              <w:spacing w:after="0"/>
              <w:rPr>
                <w:sz w:val="20"/>
                <w:szCs w:val="20"/>
                <w:color w:val="auto"/>
              </w:rPr>
            </w:pPr>
            <w:r>
              <w:rPr>
                <w:rFonts w:ascii="Arial" w:cs="Arial" w:eastAsia="Arial" w:hAnsi="Arial"/>
                <w:sz w:val="14"/>
                <w:szCs w:val="14"/>
                <w:color w:val="0E2A35"/>
              </w:rPr>
              <w:t>1,000,000</w:t>
            </w:r>
          </w:p>
        </w:tc>
      </w:tr>
      <w:tr>
        <w:trPr>
          <w:trHeight w:val="93"/>
        </w:trPr>
        <w:tc>
          <w:tcPr>
            <w:tcW w:w="6500" w:type="dxa"/>
            <w:vAlign w:val="bottom"/>
            <w:tcBorders>
              <w:bottom w:val="single" w:sz="8" w:color="0E2A35"/>
            </w:tcBorders>
          </w:tcPr>
          <w:p>
            <w:pPr>
              <w:spacing w:after="0"/>
              <w:rPr>
                <w:sz w:val="8"/>
                <w:szCs w:val="8"/>
                <w:color w:val="auto"/>
              </w:rPr>
            </w:pPr>
          </w:p>
        </w:tc>
        <w:tc>
          <w:tcPr>
            <w:tcW w:w="152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r>
      <w:tr>
        <w:trPr>
          <w:trHeight w:val="279"/>
        </w:trPr>
        <w:tc>
          <w:tcPr>
            <w:tcW w:w="6500" w:type="dxa"/>
            <w:vAlign w:val="bottom"/>
          </w:tcPr>
          <w:p>
            <w:pPr>
              <w:ind w:left="160"/>
              <w:spacing w:after="0"/>
              <w:rPr>
                <w:sz w:val="20"/>
                <w:szCs w:val="20"/>
                <w:color w:val="auto"/>
              </w:rPr>
            </w:pPr>
            <w:r>
              <w:rPr>
                <w:rFonts w:ascii="Arial" w:cs="Arial" w:eastAsia="Arial" w:hAnsi="Arial"/>
                <w:sz w:val="14"/>
                <w:szCs w:val="14"/>
                <w:color w:val="0E2A35"/>
              </w:rPr>
              <w:t>Brian D. Hazelton</w:t>
            </w:r>
          </w:p>
        </w:tc>
        <w:tc>
          <w:tcPr>
            <w:tcW w:w="1520" w:type="dxa"/>
            <w:vAlign w:val="bottom"/>
          </w:tcPr>
          <w:p>
            <w:pPr>
              <w:jc w:val="right"/>
              <w:ind w:right="471"/>
              <w:spacing w:after="0"/>
              <w:rPr>
                <w:sz w:val="20"/>
                <w:szCs w:val="20"/>
                <w:color w:val="auto"/>
              </w:rPr>
            </w:pPr>
            <w:r>
              <w:rPr>
                <w:rFonts w:ascii="Arial" w:cs="Arial" w:eastAsia="Arial" w:hAnsi="Arial"/>
                <w:sz w:val="14"/>
                <w:szCs w:val="14"/>
                <w:color w:val="0E2A35"/>
              </w:rPr>
              <w:t>250%</w:t>
            </w:r>
          </w:p>
        </w:tc>
        <w:tc>
          <w:tcPr>
            <w:tcW w:w="1260" w:type="dxa"/>
            <w:vAlign w:val="bottom"/>
          </w:tcPr>
          <w:p>
            <w:pPr>
              <w:jc w:val="right"/>
              <w:ind w:right="10"/>
              <w:spacing w:after="0"/>
              <w:rPr>
                <w:sz w:val="20"/>
                <w:szCs w:val="20"/>
                <w:color w:val="auto"/>
              </w:rPr>
            </w:pPr>
            <w:r>
              <w:rPr>
                <w:rFonts w:ascii="Arial" w:cs="Arial" w:eastAsia="Arial" w:hAnsi="Arial"/>
                <w:sz w:val="14"/>
                <w:szCs w:val="14"/>
                <w:color w:val="0E2A35"/>
              </w:rPr>
              <w:t>1,281,250</w:t>
            </w:r>
          </w:p>
        </w:tc>
      </w:tr>
      <w:tr>
        <w:trPr>
          <w:trHeight w:val="39"/>
        </w:trPr>
        <w:tc>
          <w:tcPr>
            <w:tcW w:w="6500" w:type="dxa"/>
            <w:vAlign w:val="bottom"/>
            <w:tcBorders>
              <w:bottom w:val="single" w:sz="8" w:color="0E2A35"/>
            </w:tcBorders>
          </w:tcPr>
          <w:p>
            <w:pPr>
              <w:spacing w:after="0"/>
              <w:rPr>
                <w:sz w:val="3"/>
                <w:szCs w:val="3"/>
                <w:color w:val="auto"/>
              </w:rPr>
            </w:pPr>
          </w:p>
        </w:tc>
        <w:tc>
          <w:tcPr>
            <w:tcW w:w="1520" w:type="dxa"/>
            <w:vAlign w:val="bottom"/>
            <w:tcBorders>
              <w:bottom w:val="single" w:sz="8" w:color="0E2A35"/>
            </w:tcBorders>
          </w:tcPr>
          <w:p>
            <w:pPr>
              <w:spacing w:after="0"/>
              <w:rPr>
                <w:sz w:val="3"/>
                <w:szCs w:val="3"/>
                <w:color w:val="auto"/>
              </w:rPr>
            </w:pPr>
          </w:p>
        </w:tc>
        <w:tc>
          <w:tcPr>
            <w:tcW w:w="1260" w:type="dxa"/>
            <w:vAlign w:val="bottom"/>
            <w:tcBorders>
              <w:bottom w:val="single" w:sz="8" w:color="0E2A35"/>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4892040</wp:posOffset>
            </wp:positionH>
            <wp:positionV relativeFrom="paragraph">
              <wp:posOffset>-1439545</wp:posOffset>
            </wp:positionV>
            <wp:extent cx="1491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Severance and Change in Control Arrangements</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Employment Agreements</w:t>
      </w:r>
    </w:p>
    <w:p>
      <w:pPr>
        <w:spacing w:after="0" w:line="201"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Mr. Happe and Mr. Clark are the only NEOs with individual employment agreements with the Company. In addition, these are the only agreements with NEOs that provide for severance following a termination of employment outside of a change in control of the Company.</w:t>
      </w:r>
    </w:p>
    <w:p>
      <w:pPr>
        <w:spacing w:after="0" w:line="174"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If Mr. Happe is terminated by the Company without cause or terminates employment with the Company for good reason (as such terms are defined in his employment agreement), he is entitled to severance pay of his base salary for 12 months, health insurance for 12 months, and accrued unused vacation pay. Mr. Happe also is subject to one-year non-competition and non-solicitation covenants following termination of employment.</w:t>
      </w:r>
    </w:p>
    <w:p>
      <w:pPr>
        <w:spacing w:after="0" w:line="162" w:lineRule="exact"/>
        <w:rPr>
          <w:sz w:val="20"/>
          <w:szCs w:val="20"/>
          <w:color w:val="auto"/>
        </w:rPr>
      </w:pPr>
    </w:p>
    <w:p>
      <w:pPr>
        <w:ind w:left="860" w:right="880"/>
        <w:spacing w:after="0" w:line="246" w:lineRule="auto"/>
        <w:rPr>
          <w:sz w:val="20"/>
          <w:szCs w:val="20"/>
          <w:color w:val="auto"/>
        </w:rPr>
      </w:pPr>
      <w:r>
        <w:rPr>
          <w:rFonts w:ascii="Arial" w:cs="Arial" w:eastAsia="Arial" w:hAnsi="Arial"/>
          <w:sz w:val="16"/>
          <w:szCs w:val="16"/>
          <w:color w:val="0E2A35"/>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w:t>
      </w:r>
    </w:p>
    <w:p>
      <w:pPr>
        <w:spacing w:after="0" w:line="1"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Mr. Clark is subject to a non-compete and non-solicitation covenant that terminates upon the later of October 2021 or one year from cessation of employment.</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Executive Change in Control Agreement</w:t>
      </w:r>
    </w:p>
    <w:p>
      <w:pPr>
        <w:spacing w:after="0" w:line="201"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Each of the NEOs, including Mr. Happe and Mr. Clark, have also entered into an Executive Change in Control Agreement (CIC Agreement) with the Company.</w:t>
      </w:r>
    </w:p>
    <w:p>
      <w:pPr>
        <w:spacing w:after="0" w:line="168" w:lineRule="exact"/>
        <w:rPr>
          <w:sz w:val="20"/>
          <w:szCs w:val="20"/>
          <w:color w:val="auto"/>
        </w:rPr>
      </w:pPr>
    </w:p>
    <w:p>
      <w:pPr>
        <w:ind w:left="860" w:right="1000"/>
        <w:spacing w:after="0" w:line="260" w:lineRule="auto"/>
        <w:rPr>
          <w:sz w:val="20"/>
          <w:szCs w:val="20"/>
          <w:color w:val="auto"/>
        </w:rPr>
      </w:pPr>
      <w:r>
        <w:rPr>
          <w:rFonts w:ascii="Arial" w:cs="Arial" w:eastAsia="Arial" w:hAnsi="Arial"/>
          <w:sz w:val="16"/>
          <w:szCs w:val="16"/>
          <w:color w:val="0E2A35"/>
        </w:rPr>
        <w:t>The CIC Agreements generally provide that, in the event of a termination of the executive’s employment (for a reason other than death, disability, termination for cause or, under certain circumstances, a voluntary termination of</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50</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5" w:name="page56"/>
    <w:bookmarkEnd w:id="5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80"/>
        <w:spacing w:after="0" w:line="251" w:lineRule="auto"/>
        <w:rPr>
          <w:sz w:val="20"/>
          <w:szCs w:val="20"/>
          <w:color w:val="auto"/>
        </w:rPr>
      </w:pPr>
      <w:r>
        <w:rPr>
          <w:rFonts w:ascii="Arial" w:cs="Arial" w:eastAsia="Arial" w:hAnsi="Arial"/>
          <w:sz w:val="16"/>
          <w:szCs w:val="16"/>
          <w:color w:val="0E2A35"/>
        </w:rPr>
        <w:t>employment by the executive) within two years of a change of control, such executive will receive a severance only relative to salary and target annual incentives under the OICP (as well as annual COBRA premium cost) at a 2x multiple (or 3x, in the case of Mr. Happe only). The CIC Agreement for Mr. Clark provides that the severance benefit payable would be capped at $3,000,000.</w:t>
      </w:r>
    </w:p>
    <w:p>
      <w:pPr>
        <w:spacing w:after="0" w:line="283" w:lineRule="exact"/>
        <w:rPr>
          <w:sz w:val="20"/>
          <w:szCs w:val="20"/>
          <w:color w:val="auto"/>
        </w:rPr>
      </w:pPr>
    </w:p>
    <w:p>
      <w:pPr>
        <w:ind w:left="860" w:right="940"/>
        <w:spacing w:after="0" w:line="249" w:lineRule="auto"/>
        <w:rPr>
          <w:sz w:val="20"/>
          <w:szCs w:val="20"/>
          <w:color w:val="auto"/>
        </w:rPr>
      </w:pPr>
      <w:r>
        <w:rPr>
          <w:rFonts w:ascii="Arial" w:cs="Arial" w:eastAsia="Arial" w:hAnsi="Arial"/>
          <w:sz w:val="16"/>
          <w:szCs w:val="16"/>
          <w:color w:val="0E2A35"/>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Insider Trading and Hedging</w:t>
      </w:r>
    </w:p>
    <w:p>
      <w:pPr>
        <w:spacing w:after="0" w:line="201" w:lineRule="exact"/>
        <w:rPr>
          <w:sz w:val="20"/>
          <w:szCs w:val="20"/>
          <w:color w:val="auto"/>
        </w:rPr>
      </w:pPr>
    </w:p>
    <w:p>
      <w:pPr>
        <w:ind w:left="860" w:right="880"/>
        <w:spacing w:after="0" w:line="251" w:lineRule="auto"/>
        <w:rPr>
          <w:sz w:val="20"/>
          <w:szCs w:val="20"/>
          <w:color w:val="auto"/>
        </w:rPr>
      </w:pPr>
      <w:r>
        <w:rPr>
          <w:rFonts w:ascii="Arial" w:cs="Arial" w:eastAsia="Arial" w:hAnsi="Arial"/>
          <w:sz w:val="16"/>
          <w:szCs w:val="16"/>
          <w:color w:val="0E2A35"/>
        </w:rPr>
        <w:t>The Company's insider trading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in the Corporate Governance section of this proxy statement under the heading “Anti-Hedging and Anti-Pledging.”</w:t>
      </w:r>
    </w:p>
    <w:p>
      <w:pPr>
        <w:spacing w:after="0" w:line="20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Clawback Policy</w:t>
      </w:r>
    </w:p>
    <w:p>
      <w:pPr>
        <w:spacing w:after="0" w:line="201" w:lineRule="exact"/>
        <w:rPr>
          <w:sz w:val="20"/>
          <w:szCs w:val="20"/>
          <w:color w:val="auto"/>
        </w:rPr>
      </w:pPr>
    </w:p>
    <w:p>
      <w:pPr>
        <w:ind w:left="860" w:right="1060"/>
        <w:spacing w:after="0" w:line="248" w:lineRule="auto"/>
        <w:rPr>
          <w:sz w:val="20"/>
          <w:szCs w:val="20"/>
          <w:color w:val="auto"/>
        </w:rPr>
      </w:pPr>
      <w:r>
        <w:rPr>
          <w:rFonts w:ascii="Arial" w:cs="Arial" w:eastAsia="Arial" w:hAnsi="Arial"/>
          <w:sz w:val="16"/>
          <w:szCs w:val="16"/>
          <w:color w:val="0E2A35"/>
        </w:rPr>
        <w:t>Our incentive compensation programs include “clawback” provisions for each of the OICP and LTIP programs, which also apply to the fiscal 2021 PSUs, which, in part, provide for the recoupment of incentive compensation payouts if payments are made based upon the achievement of financial results that are subsequently subject to a restatement due to material noncompliance with financial reporting requirements. In addition, our Executive Officer Incentive Compensation Recovery Policy (the Clawback Policy), provides for the recovery of incentive compensation from executive officers in certain circumstances. The Clawback Policy provides that the Company will require forfeiture or recovery of all or a portion of any incentive-based compensation awarded to an executive officer after the effective date of the policy in the event of certain financial restatements or certain misconduct.</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Tax Considerations</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Deductibility of Executive Compensation</w:t>
      </w:r>
    </w:p>
    <w:p>
      <w:pPr>
        <w:spacing w:after="0" w:line="201"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Due to the enactment of the Tax Cuts and Jobs Act of 2017 in December 2017, compensation paid in fiscal 2019 and later years to our NEOs in excess of $1 million is not deductible under Section 162(m) of the Internal Revenue Code of 1986 (the Code) unless it qualifies for transitional relief applicable to certain binding, written performance-based compensation arrangements that were in place as of November 2, 2017. While our committee is mindful of the benefit to us of the deductibility, it believes that we should maintain flexibility in compensating our executive officers in a manner that best promotes our corporate objectives.</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Section 409A of the Internal Revenue Code</w:t>
      </w:r>
    </w:p>
    <w:p>
      <w:pPr>
        <w:spacing w:after="0" w:line="214"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Section 409A of the Code deals specifically with non-qualified deferred compensation plans. Although the Company makes no guarantees with respect to exemption from, or compliance with, Section 409A of the Code, we have designed all of our executive benefit plans and severance arrangements with the intention that they are exempt from, or otherwise comply with, the requirements of Section 409A of the Code.</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Compensation-Related Risk Assessment</w:t>
      </w:r>
    </w:p>
    <w:p>
      <w:pPr>
        <w:spacing w:after="0" w:line="201" w:lineRule="exact"/>
        <w:rPr>
          <w:sz w:val="20"/>
          <w:szCs w:val="20"/>
          <w:color w:val="auto"/>
        </w:rPr>
      </w:pPr>
    </w:p>
    <w:p>
      <w:pPr>
        <w:ind w:left="860" w:right="1140"/>
        <w:spacing w:after="0" w:line="260" w:lineRule="auto"/>
        <w:rPr>
          <w:sz w:val="20"/>
          <w:szCs w:val="20"/>
          <w:color w:val="auto"/>
        </w:rPr>
      </w:pPr>
      <w:r>
        <w:rPr>
          <w:rFonts w:ascii="Arial" w:cs="Arial" w:eastAsia="Arial" w:hAnsi="Arial"/>
          <w:sz w:val="16"/>
          <w:szCs w:val="16"/>
          <w:color w:val="0E2A35"/>
        </w:rPr>
        <w:t>Our committee has analyzed the potential risks arising from our compensation policies and practices, and has determined that there are no such risks that are reasonably likely to have a material adverse effect on us.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51</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6" w:name="page57"/>
    <w:bookmarkEnd w:id="5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Human Resources Committee Report</w:t>
      </w:r>
    </w:p>
    <w:p>
      <w:pPr>
        <w:spacing w:after="0" w:line="224"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Human Resources Committee: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John M. Murabito, Chair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Sara E. Armbruster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Robert M. Chiusano</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Christopher J. Braun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Jacqueline D. Woods</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Human Resources Committee Interlocks and Insider Participation</w:t>
      </w:r>
    </w:p>
    <w:p>
      <w:pPr>
        <w:spacing w:after="0" w:line="213" w:lineRule="exact"/>
        <w:rPr>
          <w:sz w:val="20"/>
          <w:szCs w:val="20"/>
          <w:color w:val="auto"/>
        </w:rPr>
      </w:pPr>
    </w:p>
    <w:p>
      <w:pPr>
        <w:jc w:val="both"/>
        <w:ind w:left="860" w:right="1020"/>
        <w:spacing w:after="0" w:line="250" w:lineRule="auto"/>
        <w:rPr>
          <w:sz w:val="20"/>
          <w:szCs w:val="20"/>
          <w:color w:val="auto"/>
        </w:rPr>
      </w:pPr>
      <w:r>
        <w:rPr>
          <w:rFonts w:ascii="Arial" w:cs="Arial" w:eastAsia="Arial" w:hAnsi="Arial"/>
          <w:sz w:val="16"/>
          <w:szCs w:val="16"/>
          <w:color w:val="0E2A35"/>
        </w:rPr>
        <w:t>The current members of the Human Resources Committee, Mses. Armbruster and Woods and Messrs. Murabito, Chiusano and Braun, were not at any time during fiscal 2021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7" w:name="page58"/>
    <w:bookmarkEnd w:id="5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Compensation Tables and Narrative Disclosure</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Summary Compensation Table</w:t>
      </w:r>
    </w:p>
    <w:p>
      <w:pPr>
        <w:spacing w:after="0" w:line="213" w:lineRule="exact"/>
        <w:rPr>
          <w:sz w:val="20"/>
          <w:szCs w:val="20"/>
          <w:color w:val="auto"/>
        </w:rPr>
      </w:pPr>
    </w:p>
    <w:p>
      <w:pPr>
        <w:ind w:left="860" w:right="1460"/>
        <w:spacing w:after="0" w:line="260" w:lineRule="auto"/>
        <w:rPr>
          <w:sz w:val="20"/>
          <w:szCs w:val="20"/>
          <w:color w:val="auto"/>
        </w:rPr>
      </w:pPr>
      <w:r>
        <w:rPr>
          <w:rFonts w:ascii="Arial" w:cs="Arial" w:eastAsia="Arial" w:hAnsi="Arial"/>
          <w:sz w:val="16"/>
          <w:szCs w:val="16"/>
          <w:color w:val="0E2A35"/>
        </w:rPr>
        <w:t>The following tables set forth compensation information for our NEOs for services rendered in all capacities to Winnebago Industries and its subsidiaries in fiscal 2021, 2020, and 2019.</w:t>
      </w:r>
    </w:p>
    <w:p>
      <w:pPr>
        <w:spacing w:after="0" w:line="139"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1400" w:type="dxa"/>
            <w:vAlign w:val="bottom"/>
            <w:shd w:val="clear" w:color="auto" w:fill="0E2A35"/>
          </w:tcPr>
          <w:p>
            <w:pPr>
              <w:spacing w:after="0"/>
              <w:rPr>
                <w:sz w:val="19"/>
                <w:szCs w:val="19"/>
                <w:color w:val="auto"/>
              </w:rPr>
            </w:pPr>
          </w:p>
        </w:tc>
        <w:tc>
          <w:tcPr>
            <w:tcW w:w="540" w:type="dxa"/>
            <w:vAlign w:val="bottom"/>
            <w:shd w:val="clear" w:color="auto" w:fill="0E2A35"/>
          </w:tcPr>
          <w:p>
            <w:pPr>
              <w:spacing w:after="0"/>
              <w:rPr>
                <w:sz w:val="19"/>
                <w:szCs w:val="19"/>
                <w:color w:val="auto"/>
              </w:rPr>
            </w:pPr>
          </w:p>
        </w:tc>
        <w:tc>
          <w:tcPr>
            <w:tcW w:w="720" w:type="dxa"/>
            <w:vAlign w:val="bottom"/>
            <w:shd w:val="clear" w:color="auto" w:fill="0E2A35"/>
          </w:tcPr>
          <w:p>
            <w:pPr>
              <w:spacing w:after="0"/>
              <w:rPr>
                <w:sz w:val="19"/>
                <w:szCs w:val="19"/>
                <w:color w:val="auto"/>
              </w:rPr>
            </w:pPr>
          </w:p>
        </w:tc>
        <w:tc>
          <w:tcPr>
            <w:tcW w:w="700" w:type="dxa"/>
            <w:vAlign w:val="bottom"/>
            <w:shd w:val="clear" w:color="auto" w:fill="0E2A35"/>
          </w:tcPr>
          <w:p>
            <w:pPr>
              <w:spacing w:after="0"/>
              <w:rPr>
                <w:sz w:val="19"/>
                <w:szCs w:val="19"/>
                <w:color w:val="auto"/>
              </w:rPr>
            </w:pPr>
          </w:p>
        </w:tc>
        <w:tc>
          <w:tcPr>
            <w:tcW w:w="840" w:type="dxa"/>
            <w:vAlign w:val="bottom"/>
            <w:shd w:val="clear" w:color="auto" w:fill="0E2A35"/>
          </w:tcPr>
          <w:p>
            <w:pPr>
              <w:spacing w:after="0"/>
              <w:rPr>
                <w:sz w:val="19"/>
                <w:szCs w:val="19"/>
                <w:color w:val="auto"/>
              </w:rPr>
            </w:pPr>
          </w:p>
        </w:tc>
        <w:tc>
          <w:tcPr>
            <w:tcW w:w="74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c>
          <w:tcPr>
            <w:tcW w:w="10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Changes in</w:t>
            </w:r>
          </w:p>
        </w:tc>
        <w:tc>
          <w:tcPr>
            <w:tcW w:w="124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and Non-</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Non-Equity</w:t>
            </w: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qualified</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ind w:left="140"/>
              <w:spacing w:after="0" w:line="135" w:lineRule="exact"/>
              <w:rPr>
                <w:sz w:val="20"/>
                <w:szCs w:val="20"/>
                <w:color w:val="auto"/>
              </w:rPr>
            </w:pPr>
            <w:r>
              <w:rPr>
                <w:rFonts w:ascii="Arial" w:cs="Arial" w:eastAsia="Arial" w:hAnsi="Arial"/>
                <w:sz w:val="13"/>
                <w:szCs w:val="13"/>
                <w:b w:val="1"/>
                <w:bCs w:val="1"/>
                <w:color w:val="FFFFFF"/>
              </w:rPr>
              <w:t>Name</w:t>
            </w: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4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0" w:type="dxa"/>
            <w:vAlign w:val="bottom"/>
            <w:shd w:val="clear" w:color="auto" w:fill="0E2A35"/>
          </w:tcPr>
          <w:p>
            <w:pPr>
              <w:ind w:left="140"/>
              <w:spacing w:after="0" w:line="131" w:lineRule="exact"/>
              <w:rPr>
                <w:sz w:val="20"/>
                <w:szCs w:val="20"/>
                <w:color w:val="auto"/>
              </w:rPr>
            </w:pPr>
            <w:r>
              <w:rPr>
                <w:rFonts w:ascii="Arial" w:cs="Arial" w:eastAsia="Arial" w:hAnsi="Arial"/>
                <w:sz w:val="13"/>
                <w:szCs w:val="13"/>
                <w:b w:val="1"/>
                <w:bCs w:val="1"/>
                <w:color w:val="FFFFFF"/>
              </w:rPr>
              <w:t>and</w:t>
            </w:r>
          </w:p>
        </w:tc>
        <w:tc>
          <w:tcPr>
            <w:tcW w:w="540" w:type="dxa"/>
            <w:vAlign w:val="bottom"/>
            <w:shd w:val="clear" w:color="auto" w:fill="0E2A35"/>
          </w:tcPr>
          <w:p>
            <w:pPr>
              <w:spacing w:after="0"/>
              <w:rPr>
                <w:sz w:val="11"/>
                <w:szCs w:val="11"/>
                <w:color w:val="auto"/>
              </w:rPr>
            </w:pPr>
          </w:p>
        </w:tc>
        <w:tc>
          <w:tcPr>
            <w:tcW w:w="720" w:type="dxa"/>
            <w:vAlign w:val="bottom"/>
            <w:vMerge w:val="restart"/>
            <w:shd w:val="clear" w:color="auto" w:fill="0E2A35"/>
          </w:tcPr>
          <w:p>
            <w:pPr>
              <w:jc w:val="right"/>
              <w:ind w:right="57"/>
              <w:spacing w:after="0"/>
              <w:rPr>
                <w:sz w:val="20"/>
                <w:szCs w:val="20"/>
                <w:color w:val="auto"/>
              </w:rPr>
            </w:pPr>
            <w:r>
              <w:rPr>
                <w:rFonts w:ascii="Arial" w:cs="Arial" w:eastAsia="Arial" w:hAnsi="Arial"/>
                <w:sz w:val="13"/>
                <w:szCs w:val="13"/>
                <w:b w:val="1"/>
                <w:bCs w:val="1"/>
                <w:color w:val="FFFFFF"/>
                <w:w w:val="98"/>
              </w:rPr>
              <w:t xml:space="preserve">Salary </w:t>
            </w:r>
            <w:r>
              <w:rPr>
                <w:rFonts w:ascii="Arial" w:cs="Arial" w:eastAsia="Arial" w:hAnsi="Arial"/>
                <w:sz w:val="20"/>
                <w:szCs w:val="20"/>
                <w:b w:val="1"/>
                <w:bCs w:val="1"/>
                <w:color w:val="FFFFFF"/>
                <w:w w:val="98"/>
                <w:vertAlign w:val="superscript"/>
              </w:rPr>
              <w:t>(1)</w:t>
            </w:r>
          </w:p>
        </w:tc>
        <w:tc>
          <w:tcPr>
            <w:tcW w:w="700" w:type="dxa"/>
            <w:vAlign w:val="bottom"/>
            <w:shd w:val="clear" w:color="auto" w:fill="0E2A35"/>
          </w:tcPr>
          <w:p>
            <w:pPr>
              <w:spacing w:after="0"/>
              <w:rPr>
                <w:sz w:val="11"/>
                <w:szCs w:val="11"/>
                <w:color w:val="auto"/>
              </w:rPr>
            </w:pPr>
          </w:p>
        </w:tc>
        <w:tc>
          <w:tcPr>
            <w:tcW w:w="8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Stock</w:t>
            </w:r>
          </w:p>
        </w:tc>
        <w:tc>
          <w:tcPr>
            <w:tcW w:w="7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Option</w:t>
            </w: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Plan</w:t>
            </w:r>
          </w:p>
        </w:tc>
        <w:tc>
          <w:tcPr>
            <w:tcW w:w="108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Compensation</w:t>
            </w:r>
          </w:p>
        </w:tc>
        <w:tc>
          <w:tcPr>
            <w:tcW w:w="12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All Other</w:t>
            </w:r>
          </w:p>
        </w:tc>
        <w:tc>
          <w:tcPr>
            <w:tcW w:w="8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0E2A35"/>
          </w:tcPr>
          <w:p>
            <w:pPr>
              <w:ind w:left="140"/>
              <w:spacing w:after="0" w:line="139" w:lineRule="exact"/>
              <w:rPr>
                <w:sz w:val="20"/>
                <w:szCs w:val="20"/>
                <w:color w:val="auto"/>
              </w:rPr>
            </w:pPr>
            <w:r>
              <w:rPr>
                <w:rFonts w:ascii="Arial" w:cs="Arial" w:eastAsia="Arial" w:hAnsi="Arial"/>
                <w:sz w:val="13"/>
                <w:szCs w:val="13"/>
                <w:b w:val="1"/>
                <w:bCs w:val="1"/>
                <w:color w:val="FFFFFF"/>
              </w:rPr>
              <w:t>Principal</w:t>
            </w:r>
          </w:p>
        </w:tc>
        <w:tc>
          <w:tcPr>
            <w:tcW w:w="540" w:type="dxa"/>
            <w:vAlign w:val="bottom"/>
            <w:shd w:val="clear" w:color="auto" w:fill="0E2A35"/>
          </w:tcPr>
          <w:p>
            <w:pPr>
              <w:jc w:val="right"/>
              <w:ind w:right="57"/>
              <w:spacing w:after="0" w:line="139" w:lineRule="exact"/>
              <w:rPr>
                <w:sz w:val="20"/>
                <w:szCs w:val="20"/>
                <w:color w:val="auto"/>
              </w:rPr>
            </w:pPr>
            <w:r>
              <w:rPr>
                <w:rFonts w:ascii="Arial" w:cs="Arial" w:eastAsia="Arial" w:hAnsi="Arial"/>
                <w:sz w:val="13"/>
                <w:szCs w:val="13"/>
                <w:b w:val="1"/>
                <w:bCs w:val="1"/>
                <w:color w:val="FFFFFF"/>
              </w:rPr>
              <w:t>Fiscal</w:t>
            </w:r>
          </w:p>
        </w:tc>
        <w:tc>
          <w:tcPr>
            <w:tcW w:w="720" w:type="dxa"/>
            <w:vAlign w:val="bottom"/>
            <w:vMerge w:val="continue"/>
            <w:shd w:val="clear" w:color="auto" w:fill="0E2A35"/>
          </w:tcPr>
          <w:p>
            <w:pPr>
              <w:spacing w:after="0"/>
              <w:rPr>
                <w:sz w:val="12"/>
                <w:szCs w:val="12"/>
                <w:color w:val="auto"/>
              </w:rPr>
            </w:pPr>
          </w:p>
        </w:tc>
        <w:tc>
          <w:tcPr>
            <w:tcW w:w="700" w:type="dxa"/>
            <w:vAlign w:val="bottom"/>
            <w:shd w:val="clear" w:color="auto" w:fill="0E2A35"/>
          </w:tcPr>
          <w:p>
            <w:pPr>
              <w:jc w:val="right"/>
              <w:ind w:right="117"/>
              <w:spacing w:after="0" w:line="139" w:lineRule="exact"/>
              <w:rPr>
                <w:sz w:val="20"/>
                <w:szCs w:val="20"/>
                <w:color w:val="auto"/>
              </w:rPr>
            </w:pPr>
            <w:r>
              <w:rPr>
                <w:rFonts w:ascii="Arial" w:cs="Arial" w:eastAsia="Arial" w:hAnsi="Arial"/>
                <w:sz w:val="13"/>
                <w:szCs w:val="13"/>
                <w:b w:val="1"/>
                <w:bCs w:val="1"/>
                <w:color w:val="FFFFFF"/>
              </w:rPr>
              <w:t>Bonus</w:t>
            </w:r>
          </w:p>
        </w:tc>
        <w:tc>
          <w:tcPr>
            <w:tcW w:w="8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7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(3)</w:t>
            </w:r>
          </w:p>
        </w:tc>
        <w:tc>
          <w:tcPr>
            <w:tcW w:w="120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1080" w:type="dxa"/>
            <w:vAlign w:val="bottom"/>
            <w:shd w:val="clear" w:color="auto" w:fill="0E2A35"/>
          </w:tcPr>
          <w:p>
            <w:pPr>
              <w:jc w:val="center"/>
              <w:spacing w:after="0" w:line="139" w:lineRule="exact"/>
              <w:rPr>
                <w:sz w:val="20"/>
                <w:szCs w:val="20"/>
                <w:color w:val="auto"/>
              </w:rPr>
            </w:pPr>
            <w:r>
              <w:rPr>
                <w:rFonts w:ascii="Arial" w:cs="Arial" w:eastAsia="Arial" w:hAnsi="Arial"/>
                <w:sz w:val="13"/>
                <w:szCs w:val="13"/>
                <w:b w:val="1"/>
                <w:bCs w:val="1"/>
                <w:color w:val="FFFFFF"/>
                <w:w w:val="96"/>
              </w:rPr>
              <w:t>Earnings</w:t>
            </w:r>
          </w:p>
        </w:tc>
        <w:tc>
          <w:tcPr>
            <w:tcW w:w="12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(5)</w:t>
            </w:r>
          </w:p>
        </w:tc>
        <w:tc>
          <w:tcPr>
            <w:tcW w:w="820" w:type="dxa"/>
            <w:vAlign w:val="bottom"/>
            <w:shd w:val="clear" w:color="auto" w:fill="0E2A35"/>
          </w:tcPr>
          <w:p>
            <w:pPr>
              <w:jc w:val="right"/>
              <w:ind w:right="217"/>
              <w:spacing w:after="0" w:line="139"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68"/>
        </w:trPr>
        <w:tc>
          <w:tcPr>
            <w:tcW w:w="140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Position</w:t>
            </w:r>
          </w:p>
        </w:tc>
        <w:tc>
          <w:tcPr>
            <w:tcW w:w="540" w:type="dxa"/>
            <w:vAlign w:val="bottom"/>
            <w:shd w:val="clear" w:color="auto" w:fill="0E2A35"/>
          </w:tcPr>
          <w:p>
            <w:pPr>
              <w:jc w:val="right"/>
              <w:ind w:right="77"/>
              <w:spacing w:after="0"/>
              <w:rPr>
                <w:sz w:val="20"/>
                <w:szCs w:val="20"/>
                <w:color w:val="auto"/>
              </w:rPr>
            </w:pPr>
            <w:r>
              <w:rPr>
                <w:rFonts w:ascii="Arial" w:cs="Arial" w:eastAsia="Arial" w:hAnsi="Arial"/>
                <w:sz w:val="13"/>
                <w:szCs w:val="13"/>
                <w:b w:val="1"/>
                <w:bCs w:val="1"/>
                <w:color w:val="FFFFFF"/>
              </w:rPr>
              <w:t>Year</w:t>
            </w:r>
          </w:p>
        </w:tc>
        <w:tc>
          <w:tcPr>
            <w:tcW w:w="720" w:type="dxa"/>
            <w:vAlign w:val="bottom"/>
            <w:shd w:val="clear" w:color="auto" w:fill="0E2A35"/>
          </w:tcPr>
          <w:p>
            <w:pPr>
              <w:jc w:val="right"/>
              <w:ind w:right="237"/>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E2A35"/>
          </w:tcPr>
          <w:p>
            <w:pPr>
              <w:jc w:val="right"/>
              <w:ind w:right="237"/>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820" w:type="dxa"/>
            <w:vAlign w:val="bottom"/>
            <w:shd w:val="clear" w:color="auto" w:fill="0E2A35"/>
          </w:tcPr>
          <w:p>
            <w:pPr>
              <w:jc w:val="right"/>
              <w:ind w:right="29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7"/>
        </w:trPr>
        <w:tc>
          <w:tcPr>
            <w:tcW w:w="1400" w:type="dxa"/>
            <w:vAlign w:val="bottom"/>
            <w:shd w:val="clear" w:color="auto" w:fill="0E2A35"/>
          </w:tcPr>
          <w:p>
            <w:pPr>
              <w:spacing w:after="0"/>
              <w:rPr>
                <w:sz w:val="8"/>
                <w:szCs w:val="8"/>
                <w:color w:val="auto"/>
              </w:rPr>
            </w:pPr>
          </w:p>
        </w:tc>
        <w:tc>
          <w:tcPr>
            <w:tcW w:w="540" w:type="dxa"/>
            <w:vAlign w:val="bottom"/>
            <w:shd w:val="clear" w:color="auto" w:fill="0E2A35"/>
          </w:tcPr>
          <w:p>
            <w:pPr>
              <w:spacing w:after="0"/>
              <w:rPr>
                <w:sz w:val="8"/>
                <w:szCs w:val="8"/>
                <w:color w:val="auto"/>
              </w:rPr>
            </w:pPr>
          </w:p>
        </w:tc>
        <w:tc>
          <w:tcPr>
            <w:tcW w:w="720" w:type="dxa"/>
            <w:vAlign w:val="bottom"/>
            <w:shd w:val="clear" w:color="auto" w:fill="0E2A35"/>
          </w:tcPr>
          <w:p>
            <w:pPr>
              <w:spacing w:after="0"/>
              <w:rPr>
                <w:sz w:val="8"/>
                <w:szCs w:val="8"/>
                <w:color w:val="auto"/>
              </w:rPr>
            </w:pPr>
          </w:p>
        </w:tc>
        <w:tc>
          <w:tcPr>
            <w:tcW w:w="700" w:type="dxa"/>
            <w:vAlign w:val="bottom"/>
            <w:shd w:val="clear" w:color="auto" w:fill="0E2A35"/>
          </w:tcPr>
          <w:p>
            <w:pPr>
              <w:spacing w:after="0"/>
              <w:rPr>
                <w:sz w:val="8"/>
                <w:szCs w:val="8"/>
                <w:color w:val="auto"/>
              </w:rPr>
            </w:pPr>
          </w:p>
        </w:tc>
        <w:tc>
          <w:tcPr>
            <w:tcW w:w="840" w:type="dxa"/>
            <w:vAlign w:val="bottom"/>
            <w:shd w:val="clear" w:color="auto" w:fill="0E2A35"/>
          </w:tcPr>
          <w:p>
            <w:pPr>
              <w:spacing w:after="0"/>
              <w:rPr>
                <w:sz w:val="8"/>
                <w:szCs w:val="8"/>
                <w:color w:val="auto"/>
              </w:rPr>
            </w:pPr>
          </w:p>
        </w:tc>
        <w:tc>
          <w:tcPr>
            <w:tcW w:w="740" w:type="dxa"/>
            <w:vAlign w:val="bottom"/>
            <w:shd w:val="clear" w:color="auto" w:fill="0E2A35"/>
          </w:tcPr>
          <w:p>
            <w:pPr>
              <w:spacing w:after="0"/>
              <w:rPr>
                <w:sz w:val="8"/>
                <w:szCs w:val="8"/>
                <w:color w:val="auto"/>
              </w:rPr>
            </w:pPr>
          </w:p>
        </w:tc>
        <w:tc>
          <w:tcPr>
            <w:tcW w:w="1200" w:type="dxa"/>
            <w:vAlign w:val="bottom"/>
            <w:shd w:val="clear" w:color="auto" w:fill="0E2A35"/>
          </w:tcPr>
          <w:p>
            <w:pPr>
              <w:spacing w:after="0"/>
              <w:rPr>
                <w:sz w:val="8"/>
                <w:szCs w:val="8"/>
                <w:color w:val="auto"/>
              </w:rPr>
            </w:pPr>
          </w:p>
        </w:tc>
        <w:tc>
          <w:tcPr>
            <w:tcW w:w="1080" w:type="dxa"/>
            <w:vAlign w:val="bottom"/>
            <w:shd w:val="clear" w:color="auto" w:fill="0E2A35"/>
          </w:tcPr>
          <w:p>
            <w:pPr>
              <w:spacing w:after="0"/>
              <w:rPr>
                <w:sz w:val="8"/>
                <w:szCs w:val="8"/>
                <w:color w:val="auto"/>
              </w:rPr>
            </w:pPr>
          </w:p>
        </w:tc>
        <w:tc>
          <w:tcPr>
            <w:tcW w:w="1240" w:type="dxa"/>
            <w:vAlign w:val="bottom"/>
            <w:shd w:val="clear" w:color="auto" w:fill="0E2A35"/>
          </w:tcPr>
          <w:p>
            <w:pPr>
              <w:spacing w:after="0"/>
              <w:rPr>
                <w:sz w:val="8"/>
                <w:szCs w:val="8"/>
                <w:color w:val="auto"/>
              </w:rPr>
            </w:pPr>
          </w:p>
        </w:tc>
        <w:tc>
          <w:tcPr>
            <w:tcW w:w="820" w:type="dxa"/>
            <w:vAlign w:val="bottom"/>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400" w:type="dxa"/>
            <w:vAlign w:val="bottom"/>
          </w:tcPr>
          <w:p>
            <w:pPr>
              <w:ind w:left="140"/>
              <w:spacing w:after="0"/>
              <w:rPr>
                <w:sz w:val="20"/>
                <w:szCs w:val="20"/>
                <w:color w:val="auto"/>
              </w:rPr>
            </w:pPr>
            <w:r>
              <w:rPr>
                <w:rFonts w:ascii="Arial" w:cs="Arial" w:eastAsia="Arial" w:hAnsi="Arial"/>
                <w:sz w:val="13"/>
                <w:szCs w:val="13"/>
                <w:color w:val="0E2A35"/>
              </w:rPr>
              <w:t>Michael J. Happe</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900,000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3,574,980</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525,004</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1,600,000</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49,202</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6,649,186</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 CEO</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739,423</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2,634,999</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464,992</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500,000</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31,354</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4,370,768</w:t>
            </w: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691,346</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11,731</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1,425,000</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475,000</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138,269</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34,484</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2,775,830</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Bryan L. Hughes</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525,000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767,819</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98,433</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668,535</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45,914</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2,108,367</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CFO; Senior Vice</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00" w:type="dxa"/>
            <w:vAlign w:val="bottom"/>
          </w:tcPr>
          <w:p>
            <w:pPr>
              <w:ind w:left="140"/>
              <w:spacing w:after="0" w:line="136" w:lineRule="exact"/>
              <w:rPr>
                <w:sz w:val="20"/>
                <w:szCs w:val="20"/>
                <w:color w:val="auto"/>
              </w:rPr>
            </w:pPr>
            <w:r>
              <w:rPr>
                <w:rFonts w:ascii="Arial" w:cs="Arial" w:eastAsia="Arial" w:hAnsi="Arial"/>
                <w:sz w:val="13"/>
                <w:szCs w:val="13"/>
                <w:color w:val="0E2A35"/>
              </w:rPr>
              <w:t>President, Finance,</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0E2A35"/>
              </w:rPr>
              <w:t>469,267</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0E2A35"/>
              </w:rPr>
              <w:t>46,980</w:t>
            </w:r>
          </w:p>
        </w:tc>
        <w:tc>
          <w:tcPr>
            <w:tcW w:w="840" w:type="dxa"/>
            <w:vAlign w:val="bottom"/>
            <w:vMerge w:val="restart"/>
          </w:tcPr>
          <w:p>
            <w:pPr>
              <w:jc w:val="right"/>
              <w:ind w:right="18"/>
              <w:spacing w:after="0"/>
              <w:rPr>
                <w:sz w:val="20"/>
                <w:szCs w:val="20"/>
                <w:color w:val="auto"/>
              </w:rPr>
            </w:pPr>
            <w:r>
              <w:rPr>
                <w:rFonts w:ascii="Arial" w:cs="Arial" w:eastAsia="Arial" w:hAnsi="Arial"/>
                <w:sz w:val="13"/>
                <w:szCs w:val="13"/>
                <w:color w:val="0E2A35"/>
              </w:rPr>
              <w:t>524,786</w:t>
            </w: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0E2A35"/>
              </w:rPr>
              <w:t>83,647</w:t>
            </w:r>
          </w:p>
        </w:tc>
        <w:tc>
          <w:tcPr>
            <w:tcW w:w="1200" w:type="dxa"/>
            <w:vAlign w:val="bottom"/>
            <w:vMerge w:val="restart"/>
          </w:tcPr>
          <w:p>
            <w:pPr>
              <w:jc w:val="right"/>
              <w:ind w:right="218"/>
              <w:spacing w:after="0"/>
              <w:rPr>
                <w:sz w:val="20"/>
                <w:szCs w:val="20"/>
                <w:color w:val="auto"/>
              </w:rPr>
            </w:pPr>
            <w:r>
              <w:rPr>
                <w:rFonts w:ascii="Arial" w:cs="Arial" w:eastAsia="Arial" w:hAnsi="Arial"/>
                <w:sz w:val="13"/>
                <w:szCs w:val="13"/>
                <w:color w:val="0E2A35"/>
              </w:rPr>
              <w:t>216,106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18"/>
              <w:spacing w:after="0"/>
              <w:rPr>
                <w:sz w:val="20"/>
                <w:szCs w:val="20"/>
                <w:color w:val="auto"/>
              </w:rPr>
            </w:pPr>
            <w:r>
              <w:rPr>
                <w:rFonts w:ascii="Arial" w:cs="Arial" w:eastAsia="Arial" w:hAnsi="Arial"/>
                <w:sz w:val="13"/>
                <w:szCs w:val="13"/>
                <w:color w:val="0E2A35"/>
              </w:rPr>
              <w:t>34,506</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0E2A35"/>
              </w:rPr>
              <w:t>1,375,292</w:t>
            </w:r>
          </w:p>
        </w:tc>
        <w:tc>
          <w:tcPr>
            <w:tcW w:w="0" w:type="dxa"/>
            <w:vAlign w:val="bottom"/>
          </w:tcPr>
          <w:p>
            <w:pPr>
              <w:spacing w:after="0"/>
              <w:rPr>
                <w:sz w:val="1"/>
                <w:szCs w:val="1"/>
                <w:color w:val="auto"/>
              </w:rPr>
            </w:pPr>
          </w:p>
        </w:tc>
      </w:tr>
      <w:tr>
        <w:trPr>
          <w:trHeight w:val="135"/>
        </w:trPr>
        <w:tc>
          <w:tcPr>
            <w:tcW w:w="1400" w:type="dxa"/>
            <w:vAlign w:val="bottom"/>
          </w:tcPr>
          <w:p>
            <w:pPr>
              <w:ind w:left="140"/>
              <w:spacing w:after="0" w:line="135" w:lineRule="exact"/>
              <w:rPr>
                <w:sz w:val="20"/>
                <w:szCs w:val="20"/>
                <w:color w:val="auto"/>
              </w:rPr>
            </w:pPr>
            <w:r>
              <w:rPr>
                <w:rFonts w:ascii="Arial" w:cs="Arial" w:eastAsia="Arial" w:hAnsi="Arial"/>
                <w:sz w:val="13"/>
                <w:szCs w:val="13"/>
                <w:color w:val="0E2A35"/>
              </w:rPr>
              <w:t>IT and Strategic</w:t>
            </w: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400" w:type="dxa"/>
            <w:vAlign w:val="bottom"/>
            <w:vMerge w:val="restart"/>
          </w:tcPr>
          <w:p>
            <w:pPr>
              <w:ind w:left="140"/>
              <w:spacing w:after="0"/>
              <w:rPr>
                <w:sz w:val="20"/>
                <w:szCs w:val="20"/>
                <w:color w:val="auto"/>
              </w:rPr>
            </w:pPr>
            <w:r>
              <w:rPr>
                <w:rFonts w:ascii="Arial" w:cs="Arial" w:eastAsia="Arial" w:hAnsi="Arial"/>
                <w:sz w:val="13"/>
                <w:szCs w:val="13"/>
                <w:color w:val="0E2A35"/>
              </w:rPr>
              <w:t>Planning</w:t>
            </w:r>
          </w:p>
        </w:tc>
        <w:tc>
          <w:tcPr>
            <w:tcW w:w="54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70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74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08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82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400" w:type="dxa"/>
            <w:vAlign w:val="bottom"/>
            <w:vMerge w:val="continue"/>
          </w:tcPr>
          <w:p>
            <w:pPr>
              <w:spacing w:after="0"/>
              <w:rPr>
                <w:sz w:val="5"/>
                <w:szCs w:val="5"/>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0E2A35"/>
              </w:rPr>
              <w:t>473,183</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0E2A35"/>
              </w:rPr>
              <w:t>27,746</w:t>
            </w:r>
          </w:p>
        </w:tc>
        <w:tc>
          <w:tcPr>
            <w:tcW w:w="840" w:type="dxa"/>
            <w:vAlign w:val="bottom"/>
            <w:vMerge w:val="restart"/>
          </w:tcPr>
          <w:p>
            <w:pPr>
              <w:jc w:val="right"/>
              <w:ind w:right="18"/>
              <w:spacing w:after="0"/>
              <w:rPr>
                <w:sz w:val="20"/>
                <w:szCs w:val="20"/>
                <w:color w:val="auto"/>
              </w:rPr>
            </w:pPr>
            <w:r>
              <w:rPr>
                <w:rFonts w:ascii="Arial" w:cs="Arial" w:eastAsia="Arial" w:hAnsi="Arial"/>
                <w:sz w:val="13"/>
                <w:szCs w:val="13"/>
                <w:color w:val="0E2A35"/>
              </w:rPr>
              <w:t>380,532</w:t>
            </w: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0E2A35"/>
              </w:rPr>
              <w:t>126,844</w:t>
            </w:r>
          </w:p>
        </w:tc>
        <w:tc>
          <w:tcPr>
            <w:tcW w:w="1200" w:type="dxa"/>
            <w:vAlign w:val="bottom"/>
            <w:vMerge w:val="restart"/>
          </w:tcPr>
          <w:p>
            <w:pPr>
              <w:jc w:val="right"/>
              <w:ind w:right="238"/>
              <w:spacing w:after="0"/>
              <w:rPr>
                <w:sz w:val="20"/>
                <w:szCs w:val="20"/>
                <w:color w:val="auto"/>
              </w:rPr>
            </w:pPr>
            <w:r>
              <w:rPr>
                <w:rFonts w:ascii="Arial" w:cs="Arial" w:eastAsia="Arial" w:hAnsi="Arial"/>
                <w:sz w:val="13"/>
                <w:szCs w:val="13"/>
                <w:color w:val="0E2A35"/>
              </w:rPr>
              <w:t>70,997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18"/>
              <w:spacing w:after="0"/>
              <w:rPr>
                <w:sz w:val="20"/>
                <w:szCs w:val="20"/>
                <w:color w:val="auto"/>
              </w:rPr>
            </w:pPr>
            <w:r>
              <w:rPr>
                <w:rFonts w:ascii="Arial" w:cs="Arial" w:eastAsia="Arial" w:hAnsi="Arial"/>
                <w:sz w:val="13"/>
                <w:szCs w:val="13"/>
                <w:color w:val="0E2A35"/>
              </w:rPr>
              <w:t>36,084</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0E2A35"/>
              </w:rPr>
              <w:t>1,115,386</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Huw S. Bower</w:t>
            </w:r>
            <w:r>
              <w:rPr>
                <w:rFonts w:ascii="Arial" w:cs="Arial" w:eastAsia="Arial" w:hAnsi="Arial"/>
                <w:sz w:val="20"/>
                <w:szCs w:val="20"/>
                <w:color w:val="0E2A35"/>
                <w:vertAlign w:val="superscript"/>
              </w:rPr>
              <w:t>(6)</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486,539</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275,000</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1,991,511</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148,499</w:t>
            </w:r>
          </w:p>
        </w:tc>
        <w:tc>
          <w:tcPr>
            <w:tcW w:w="1200" w:type="dxa"/>
            <w:vAlign w:val="bottom"/>
          </w:tcPr>
          <w:p>
            <w:pPr>
              <w:jc w:val="right"/>
              <w:ind w:right="238"/>
              <w:spacing w:after="0"/>
              <w:rPr>
                <w:sz w:val="20"/>
                <w:szCs w:val="20"/>
                <w:color w:val="auto"/>
              </w:rPr>
            </w:pPr>
            <w:r>
              <w:rPr>
                <w:rFonts w:ascii="Arial" w:cs="Arial" w:eastAsia="Arial" w:hAnsi="Arial"/>
                <w:sz w:val="13"/>
                <w:szCs w:val="13"/>
                <w:color w:val="0E2A35"/>
              </w:rPr>
              <w:t>645,254</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36,947</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3,583,750</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00" w:type="dxa"/>
            <w:vAlign w:val="bottom"/>
          </w:tcPr>
          <w:p>
            <w:pPr>
              <w:ind w:left="140"/>
              <w:spacing w:after="0" w:line="136" w:lineRule="exact"/>
              <w:rPr>
                <w:sz w:val="20"/>
                <w:szCs w:val="20"/>
                <w:color w:val="auto"/>
              </w:rPr>
            </w:pPr>
            <w:r>
              <w:rPr>
                <w:rFonts w:ascii="Arial" w:cs="Arial" w:eastAsia="Arial" w:hAnsi="Arial"/>
                <w:sz w:val="13"/>
                <w:szCs w:val="13"/>
                <w:color w:val="0E2A35"/>
              </w:rPr>
              <w:t>Winnebago</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00" w:type="dxa"/>
            <w:vAlign w:val="bottom"/>
            <w:vMerge w:val="restart"/>
          </w:tcPr>
          <w:p>
            <w:pPr>
              <w:ind w:left="140"/>
              <w:spacing w:after="0"/>
              <w:rPr>
                <w:sz w:val="20"/>
                <w:szCs w:val="20"/>
                <w:color w:val="auto"/>
              </w:rPr>
            </w:pPr>
            <w:r>
              <w:rPr>
                <w:rFonts w:ascii="Arial" w:cs="Arial" w:eastAsia="Arial" w:hAnsi="Arial"/>
                <w:sz w:val="13"/>
                <w:szCs w:val="13"/>
                <w:color w:val="0E2A35"/>
              </w:rPr>
              <w:t>Outdoors</w:t>
            </w:r>
          </w:p>
        </w:tc>
        <w:tc>
          <w:tcPr>
            <w:tcW w:w="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4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1400" w:type="dxa"/>
            <w:vAlign w:val="bottom"/>
          </w:tcPr>
          <w:p>
            <w:pPr>
              <w:spacing w:after="0"/>
              <w:rPr>
                <w:sz w:val="4"/>
                <w:szCs w:val="4"/>
                <w:color w:val="auto"/>
              </w:rPr>
            </w:pPr>
          </w:p>
        </w:tc>
        <w:tc>
          <w:tcPr>
            <w:tcW w:w="540" w:type="dxa"/>
            <w:vAlign w:val="bottom"/>
            <w:tcBorders>
              <w:bottom w:val="single" w:sz="8" w:color="0E2A35"/>
            </w:tcBorders>
          </w:tcPr>
          <w:p>
            <w:pPr>
              <w:spacing w:after="0"/>
              <w:rPr>
                <w:sz w:val="4"/>
                <w:szCs w:val="4"/>
                <w:color w:val="auto"/>
              </w:rPr>
            </w:pPr>
          </w:p>
        </w:tc>
        <w:tc>
          <w:tcPr>
            <w:tcW w:w="720" w:type="dxa"/>
            <w:vAlign w:val="bottom"/>
            <w:tcBorders>
              <w:bottom w:val="single" w:sz="8" w:color="0E2A35"/>
            </w:tcBorders>
          </w:tcPr>
          <w:p>
            <w:pPr>
              <w:spacing w:after="0"/>
              <w:rPr>
                <w:sz w:val="4"/>
                <w:szCs w:val="4"/>
                <w:color w:val="auto"/>
              </w:rPr>
            </w:pPr>
          </w:p>
        </w:tc>
        <w:tc>
          <w:tcPr>
            <w:tcW w:w="700" w:type="dxa"/>
            <w:vAlign w:val="bottom"/>
            <w:tcBorders>
              <w:bottom w:val="single" w:sz="8" w:color="0E2A35"/>
            </w:tcBorders>
          </w:tcPr>
          <w:p>
            <w:pPr>
              <w:spacing w:after="0"/>
              <w:rPr>
                <w:sz w:val="4"/>
                <w:szCs w:val="4"/>
                <w:color w:val="auto"/>
              </w:rPr>
            </w:pPr>
          </w:p>
        </w:tc>
        <w:tc>
          <w:tcPr>
            <w:tcW w:w="840" w:type="dxa"/>
            <w:vAlign w:val="bottom"/>
            <w:tcBorders>
              <w:bottom w:val="single" w:sz="8" w:color="0E2A35"/>
            </w:tcBorders>
          </w:tcPr>
          <w:p>
            <w:pPr>
              <w:spacing w:after="0"/>
              <w:rPr>
                <w:sz w:val="4"/>
                <w:szCs w:val="4"/>
                <w:color w:val="auto"/>
              </w:rPr>
            </w:pPr>
          </w:p>
        </w:tc>
        <w:tc>
          <w:tcPr>
            <w:tcW w:w="740" w:type="dxa"/>
            <w:vAlign w:val="bottom"/>
            <w:tcBorders>
              <w:bottom w:val="single" w:sz="8" w:color="0E2A35"/>
            </w:tcBorders>
          </w:tcPr>
          <w:p>
            <w:pPr>
              <w:spacing w:after="0"/>
              <w:rPr>
                <w:sz w:val="4"/>
                <w:szCs w:val="4"/>
                <w:color w:val="auto"/>
              </w:rPr>
            </w:pPr>
          </w:p>
        </w:tc>
        <w:tc>
          <w:tcPr>
            <w:tcW w:w="1200" w:type="dxa"/>
            <w:vAlign w:val="bottom"/>
            <w:tcBorders>
              <w:bottom w:val="single" w:sz="8" w:color="0E2A35"/>
            </w:tcBorders>
          </w:tcPr>
          <w:p>
            <w:pPr>
              <w:spacing w:after="0"/>
              <w:rPr>
                <w:sz w:val="4"/>
                <w:szCs w:val="4"/>
                <w:color w:val="auto"/>
              </w:rPr>
            </w:pPr>
          </w:p>
        </w:tc>
        <w:tc>
          <w:tcPr>
            <w:tcW w:w="1080" w:type="dxa"/>
            <w:vAlign w:val="bottom"/>
            <w:tcBorders>
              <w:bottom w:val="single" w:sz="8" w:color="0E2A35"/>
            </w:tcBorders>
          </w:tcPr>
          <w:p>
            <w:pPr>
              <w:spacing w:after="0"/>
              <w:rPr>
                <w:sz w:val="4"/>
                <w:szCs w:val="4"/>
                <w:color w:val="auto"/>
              </w:rPr>
            </w:pPr>
          </w:p>
        </w:tc>
        <w:tc>
          <w:tcPr>
            <w:tcW w:w="1240" w:type="dxa"/>
            <w:vAlign w:val="bottom"/>
            <w:tcBorders>
              <w:bottom w:val="single" w:sz="8" w:color="0E2A35"/>
            </w:tcBorders>
          </w:tcPr>
          <w:p>
            <w:pPr>
              <w:spacing w:after="0"/>
              <w:rPr>
                <w:sz w:val="4"/>
                <w:szCs w:val="4"/>
                <w:color w:val="auto"/>
              </w:rPr>
            </w:pPr>
          </w:p>
        </w:tc>
        <w:tc>
          <w:tcPr>
            <w:tcW w:w="82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Donald J. Clark</w:t>
            </w:r>
            <w:r>
              <w:rPr>
                <w:rFonts w:ascii="Arial" w:cs="Arial" w:eastAsia="Arial" w:hAnsi="Arial"/>
                <w:sz w:val="20"/>
                <w:szCs w:val="20"/>
                <w:color w:val="0E2A35"/>
                <w:vertAlign w:val="superscript"/>
              </w:rPr>
              <w:t>(7)</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400,000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1200" w:type="dxa"/>
            <w:vAlign w:val="bottom"/>
          </w:tcPr>
          <w:p>
            <w:pPr>
              <w:jc w:val="right"/>
              <w:ind w:right="78"/>
              <w:spacing w:after="0"/>
              <w:rPr>
                <w:sz w:val="20"/>
                <w:szCs w:val="20"/>
                <w:color w:val="auto"/>
              </w:rPr>
            </w:pPr>
            <w:r>
              <w:rPr>
                <w:rFonts w:ascii="Arial" w:cs="Arial" w:eastAsia="Arial" w:hAnsi="Arial"/>
                <w:sz w:val="13"/>
                <w:szCs w:val="13"/>
                <w:color w:val="0E2A35"/>
              </w:rPr>
              <w:t>10,119,403</w:t>
            </w:r>
            <w:r>
              <w:rPr>
                <w:rFonts w:ascii="Arial" w:cs="Arial" w:eastAsia="Arial" w:hAnsi="Arial"/>
                <w:sz w:val="20"/>
                <w:szCs w:val="20"/>
                <w:color w:val="0E2A35"/>
                <w:vertAlign w:val="superscript"/>
              </w:rPr>
              <w:t>(8)</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10,519,403</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 Grand</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40"/>
              <w:spacing w:after="0"/>
              <w:rPr>
                <w:sz w:val="20"/>
                <w:szCs w:val="20"/>
                <w:color w:val="auto"/>
              </w:rPr>
            </w:pPr>
            <w:r>
              <w:rPr>
                <w:rFonts w:ascii="Arial" w:cs="Arial" w:eastAsia="Arial" w:hAnsi="Arial"/>
                <w:sz w:val="13"/>
                <w:szCs w:val="13"/>
                <w:color w:val="0E2A35"/>
              </w:rPr>
              <w:t>Design</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0E2A35"/>
              </w:rPr>
              <w:t>400,000</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vMerge w:val="restart"/>
          </w:tcPr>
          <w:p>
            <w:pPr>
              <w:jc w:val="right"/>
              <w:ind w:right="18"/>
              <w:spacing w:after="0"/>
              <w:rPr>
                <w:sz w:val="20"/>
                <w:szCs w:val="20"/>
                <w:color w:val="auto"/>
              </w:rPr>
            </w:pPr>
            <w:r>
              <w:rPr>
                <w:rFonts w:ascii="Arial" w:cs="Arial" w:eastAsia="Arial" w:hAnsi="Arial"/>
                <w:sz w:val="13"/>
                <w:szCs w:val="13"/>
                <w:color w:val="0E2A35"/>
              </w:rPr>
              <w:t>—</w:t>
            </w:r>
          </w:p>
        </w:tc>
        <w:tc>
          <w:tcPr>
            <w:tcW w:w="740" w:type="dxa"/>
            <w:vAlign w:val="bottom"/>
            <w:vMerge w:val="restart"/>
          </w:tcPr>
          <w:p>
            <w:pPr>
              <w:jc w:val="right"/>
              <w:ind w:right="18"/>
              <w:spacing w:after="0"/>
              <w:rPr>
                <w:sz w:val="20"/>
                <w:szCs w:val="20"/>
                <w:color w:val="auto"/>
              </w:rPr>
            </w:pPr>
            <w:r>
              <w:rPr>
                <w:rFonts w:ascii="Arial" w:cs="Arial" w:eastAsia="Arial" w:hAnsi="Arial"/>
                <w:sz w:val="13"/>
                <w:szCs w:val="13"/>
                <w:color w:val="0E2A35"/>
              </w:rPr>
              <w:t>—</w:t>
            </w:r>
          </w:p>
        </w:tc>
        <w:tc>
          <w:tcPr>
            <w:tcW w:w="1200" w:type="dxa"/>
            <w:vAlign w:val="bottom"/>
            <w:vMerge w:val="restart"/>
          </w:tcPr>
          <w:p>
            <w:pPr>
              <w:jc w:val="right"/>
              <w:ind w:right="78"/>
              <w:spacing w:after="0"/>
              <w:rPr>
                <w:sz w:val="20"/>
                <w:szCs w:val="20"/>
                <w:color w:val="auto"/>
              </w:rPr>
            </w:pPr>
            <w:r>
              <w:rPr>
                <w:rFonts w:ascii="Arial" w:cs="Arial" w:eastAsia="Arial" w:hAnsi="Arial"/>
                <w:sz w:val="13"/>
                <w:szCs w:val="13"/>
                <w:color w:val="0E2A35"/>
              </w:rPr>
              <w:t>5,515,397</w:t>
            </w:r>
            <w:r>
              <w:rPr>
                <w:rFonts w:ascii="Arial" w:cs="Arial" w:eastAsia="Arial" w:hAnsi="Arial"/>
                <w:sz w:val="20"/>
                <w:szCs w:val="20"/>
                <w:color w:val="0E2A35"/>
                <w:vertAlign w:val="superscript"/>
              </w:rPr>
              <w:t>(9)</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18"/>
              <w:spacing w:after="0"/>
              <w:rPr>
                <w:sz w:val="20"/>
                <w:szCs w:val="20"/>
                <w:color w:val="auto"/>
              </w:rPr>
            </w:pPr>
            <w:r>
              <w:rPr>
                <w:rFonts w:ascii="Arial" w:cs="Arial" w:eastAsia="Arial" w:hAnsi="Arial"/>
                <w:sz w:val="13"/>
                <w:szCs w:val="13"/>
                <w:color w:val="0E2A35"/>
              </w:rPr>
              <w:t>—</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0E2A35"/>
              </w:rPr>
              <w:t>5,915,397</w:t>
            </w: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6"/>
                <w:szCs w:val="16"/>
                <w:color w:val="auto"/>
              </w:rPr>
            </w:pPr>
          </w:p>
        </w:tc>
        <w:tc>
          <w:tcPr>
            <w:tcW w:w="540" w:type="dxa"/>
            <w:vAlign w:val="bottom"/>
            <w:tcBorders>
              <w:bottom w:val="single" w:sz="8" w:color="0E2A35"/>
            </w:tcBorders>
            <w:vMerge w:val="continue"/>
          </w:tcPr>
          <w:p>
            <w:pPr>
              <w:spacing w:after="0"/>
              <w:rPr>
                <w:sz w:val="16"/>
                <w:szCs w:val="16"/>
                <w:color w:val="auto"/>
              </w:rPr>
            </w:pPr>
          </w:p>
        </w:tc>
        <w:tc>
          <w:tcPr>
            <w:tcW w:w="720" w:type="dxa"/>
            <w:vAlign w:val="bottom"/>
            <w:tcBorders>
              <w:bottom w:val="single" w:sz="8" w:color="0E2A35"/>
            </w:tcBorders>
            <w:vMerge w:val="continue"/>
          </w:tcPr>
          <w:p>
            <w:pPr>
              <w:spacing w:after="0"/>
              <w:rPr>
                <w:sz w:val="16"/>
                <w:szCs w:val="16"/>
                <w:color w:val="auto"/>
              </w:rPr>
            </w:pPr>
          </w:p>
        </w:tc>
        <w:tc>
          <w:tcPr>
            <w:tcW w:w="700" w:type="dxa"/>
            <w:vAlign w:val="bottom"/>
            <w:tcBorders>
              <w:bottom w:val="single" w:sz="8" w:color="0E2A35"/>
            </w:tcBorders>
            <w:vMerge w:val="continue"/>
          </w:tcPr>
          <w:p>
            <w:pPr>
              <w:spacing w:after="0"/>
              <w:rPr>
                <w:sz w:val="16"/>
                <w:szCs w:val="16"/>
                <w:color w:val="auto"/>
              </w:rPr>
            </w:pPr>
          </w:p>
        </w:tc>
        <w:tc>
          <w:tcPr>
            <w:tcW w:w="840" w:type="dxa"/>
            <w:vAlign w:val="bottom"/>
            <w:tcBorders>
              <w:bottom w:val="single" w:sz="8" w:color="0E2A35"/>
            </w:tcBorders>
            <w:vMerge w:val="continue"/>
          </w:tcPr>
          <w:p>
            <w:pPr>
              <w:spacing w:after="0"/>
              <w:rPr>
                <w:sz w:val="16"/>
                <w:szCs w:val="16"/>
                <w:color w:val="auto"/>
              </w:rPr>
            </w:pPr>
          </w:p>
        </w:tc>
        <w:tc>
          <w:tcPr>
            <w:tcW w:w="740" w:type="dxa"/>
            <w:vAlign w:val="bottom"/>
            <w:tcBorders>
              <w:bottom w:val="single" w:sz="8" w:color="0E2A35"/>
            </w:tcBorders>
            <w:vMerge w:val="continue"/>
          </w:tcPr>
          <w:p>
            <w:pPr>
              <w:spacing w:after="0"/>
              <w:rPr>
                <w:sz w:val="16"/>
                <w:szCs w:val="16"/>
                <w:color w:val="auto"/>
              </w:rPr>
            </w:pPr>
          </w:p>
        </w:tc>
        <w:tc>
          <w:tcPr>
            <w:tcW w:w="1200" w:type="dxa"/>
            <w:vAlign w:val="bottom"/>
            <w:tcBorders>
              <w:bottom w:val="single" w:sz="8" w:color="0E2A35"/>
            </w:tcBorders>
            <w:vMerge w:val="continue"/>
          </w:tcPr>
          <w:p>
            <w:pPr>
              <w:spacing w:after="0"/>
              <w:rPr>
                <w:sz w:val="16"/>
                <w:szCs w:val="16"/>
                <w:color w:val="auto"/>
              </w:rPr>
            </w:pPr>
          </w:p>
        </w:tc>
        <w:tc>
          <w:tcPr>
            <w:tcW w:w="1080" w:type="dxa"/>
            <w:vAlign w:val="bottom"/>
            <w:tcBorders>
              <w:bottom w:val="single" w:sz="8" w:color="0E2A35"/>
            </w:tcBorders>
            <w:vMerge w:val="continue"/>
          </w:tcPr>
          <w:p>
            <w:pPr>
              <w:spacing w:after="0"/>
              <w:rPr>
                <w:sz w:val="16"/>
                <w:szCs w:val="16"/>
                <w:color w:val="auto"/>
              </w:rPr>
            </w:pPr>
          </w:p>
        </w:tc>
        <w:tc>
          <w:tcPr>
            <w:tcW w:w="1240" w:type="dxa"/>
            <w:vAlign w:val="bottom"/>
            <w:tcBorders>
              <w:bottom w:val="single" w:sz="8" w:color="0E2A35"/>
            </w:tcBorders>
            <w:vMerge w:val="continue"/>
          </w:tcPr>
          <w:p>
            <w:pPr>
              <w:spacing w:after="0"/>
              <w:rPr>
                <w:sz w:val="16"/>
                <w:szCs w:val="16"/>
                <w:color w:val="auto"/>
              </w:rPr>
            </w:pPr>
          </w:p>
        </w:tc>
        <w:tc>
          <w:tcPr>
            <w:tcW w:w="820" w:type="dxa"/>
            <w:vAlign w:val="bottom"/>
            <w:tcBorders>
              <w:bottom w:val="single" w:sz="8" w:color="0E2A3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400,000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1200" w:type="dxa"/>
            <w:vAlign w:val="bottom"/>
          </w:tcPr>
          <w:p>
            <w:pPr>
              <w:jc w:val="right"/>
              <w:ind w:right="198"/>
              <w:spacing w:after="0"/>
              <w:rPr>
                <w:sz w:val="20"/>
                <w:szCs w:val="20"/>
                <w:color w:val="auto"/>
              </w:rPr>
            </w:pPr>
            <w:r>
              <w:rPr>
                <w:rFonts w:ascii="Arial" w:cs="Arial" w:eastAsia="Arial" w:hAnsi="Arial"/>
                <w:sz w:val="13"/>
                <w:szCs w:val="13"/>
                <w:color w:val="0E2A35"/>
              </w:rPr>
              <w:t>5,160,931</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5,560,931</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40"/>
              <w:spacing w:after="0"/>
              <w:rPr>
                <w:sz w:val="20"/>
                <w:szCs w:val="20"/>
                <w:color w:val="auto"/>
              </w:rPr>
            </w:pPr>
            <w:r>
              <w:rPr>
                <w:rFonts w:ascii="Arial" w:cs="Arial" w:eastAsia="Arial" w:hAnsi="Arial"/>
                <w:sz w:val="13"/>
                <w:szCs w:val="13"/>
                <w:color w:val="0E2A35"/>
              </w:rPr>
              <w:t>Brian D. Hazelton</w:t>
            </w: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2021</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512,500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690,988</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88,408</w:t>
            </w:r>
          </w:p>
        </w:tc>
        <w:tc>
          <w:tcPr>
            <w:tcW w:w="1200" w:type="dxa"/>
            <w:vAlign w:val="bottom"/>
          </w:tcPr>
          <w:p>
            <w:pPr>
              <w:jc w:val="right"/>
              <w:ind w:right="198"/>
              <w:spacing w:after="0"/>
              <w:rPr>
                <w:sz w:val="20"/>
                <w:szCs w:val="20"/>
                <w:color w:val="auto"/>
              </w:rPr>
            </w:pPr>
            <w:r>
              <w:rPr>
                <w:rFonts w:ascii="Arial" w:cs="Arial" w:eastAsia="Arial" w:hAnsi="Arial"/>
                <w:sz w:val="13"/>
                <w:szCs w:val="13"/>
                <w:color w:val="0E2A35"/>
              </w:rPr>
              <w:t>611,694</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47,299</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1,950,889</w:t>
            </w:r>
          </w:p>
        </w:tc>
        <w:tc>
          <w:tcPr>
            <w:tcW w:w="0" w:type="dxa"/>
            <w:vAlign w:val="bottom"/>
          </w:tcPr>
          <w:p>
            <w:pPr>
              <w:spacing w:after="0"/>
              <w:rPr>
                <w:sz w:val="1"/>
                <w:szCs w:val="1"/>
                <w:color w:val="auto"/>
              </w:rPr>
            </w:pPr>
          </w:p>
        </w:tc>
      </w:tr>
      <w:tr>
        <w:trPr>
          <w:trHeight w:val="114"/>
        </w:trPr>
        <w:tc>
          <w:tcPr>
            <w:tcW w:w="1400" w:type="dxa"/>
            <w:vAlign w:val="bottom"/>
          </w:tcPr>
          <w:p>
            <w:pPr>
              <w:ind w:left="140"/>
              <w:spacing w:after="0" w:line="94" w:lineRule="exact"/>
              <w:rPr>
                <w:sz w:val="20"/>
                <w:szCs w:val="20"/>
                <w:color w:val="auto"/>
              </w:rPr>
            </w:pPr>
            <w:r>
              <w:rPr>
                <w:rFonts w:ascii="Arial" w:cs="Arial" w:eastAsia="Arial" w:hAnsi="Arial"/>
                <w:sz w:val="10"/>
                <w:szCs w:val="10"/>
                <w:color w:val="0E2A35"/>
              </w:rPr>
              <w:t>President, Newmar</w:t>
            </w:r>
          </w:p>
        </w:tc>
        <w:tc>
          <w:tcPr>
            <w:tcW w:w="540" w:type="dxa"/>
            <w:vAlign w:val="bottom"/>
            <w:tcBorders>
              <w:bottom w:val="single" w:sz="8" w:color="0E2A35"/>
            </w:tcBorders>
          </w:tcPr>
          <w:p>
            <w:pPr>
              <w:spacing w:after="0"/>
              <w:rPr>
                <w:sz w:val="9"/>
                <w:szCs w:val="9"/>
                <w:color w:val="auto"/>
              </w:rPr>
            </w:pPr>
          </w:p>
        </w:tc>
        <w:tc>
          <w:tcPr>
            <w:tcW w:w="720" w:type="dxa"/>
            <w:vAlign w:val="bottom"/>
            <w:tcBorders>
              <w:bottom w:val="single" w:sz="8" w:color="0E2A35"/>
            </w:tcBorders>
          </w:tcPr>
          <w:p>
            <w:pPr>
              <w:spacing w:after="0"/>
              <w:rPr>
                <w:sz w:val="9"/>
                <w:szCs w:val="9"/>
                <w:color w:val="auto"/>
              </w:rPr>
            </w:pPr>
          </w:p>
        </w:tc>
        <w:tc>
          <w:tcPr>
            <w:tcW w:w="70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120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82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2020</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452,027</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459,553</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81,103</w:t>
            </w:r>
          </w:p>
        </w:tc>
        <w:tc>
          <w:tcPr>
            <w:tcW w:w="1200" w:type="dxa"/>
            <w:vAlign w:val="bottom"/>
          </w:tcPr>
          <w:p>
            <w:pPr>
              <w:jc w:val="right"/>
              <w:ind w:right="218"/>
              <w:spacing w:after="0"/>
              <w:rPr>
                <w:sz w:val="20"/>
                <w:szCs w:val="20"/>
                <w:color w:val="auto"/>
              </w:rPr>
            </w:pPr>
            <w:r>
              <w:rPr>
                <w:rFonts w:ascii="Arial" w:cs="Arial" w:eastAsia="Arial" w:hAnsi="Arial"/>
                <w:sz w:val="13"/>
                <w:szCs w:val="13"/>
                <w:color w:val="0E2A35"/>
              </w:rPr>
              <w:t>213,449</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34,815</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1,240,947</w:t>
            </w: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0E2A35"/>
              </w:rPr>
              <w:t>2019</w:t>
            </w:r>
          </w:p>
        </w:tc>
        <w:tc>
          <w:tcPr>
            <w:tcW w:w="720" w:type="dxa"/>
            <w:vAlign w:val="bottom"/>
          </w:tcPr>
          <w:p>
            <w:pPr>
              <w:jc w:val="right"/>
              <w:ind w:right="37"/>
              <w:spacing w:after="0"/>
              <w:rPr>
                <w:sz w:val="20"/>
                <w:szCs w:val="20"/>
                <w:color w:val="auto"/>
              </w:rPr>
            </w:pPr>
            <w:r>
              <w:rPr>
                <w:rFonts w:ascii="Arial" w:cs="Arial" w:eastAsia="Arial" w:hAnsi="Arial"/>
                <w:sz w:val="13"/>
                <w:szCs w:val="13"/>
                <w:color w:val="0E2A35"/>
              </w:rPr>
              <w:t>477,400</w:t>
            </w:r>
          </w:p>
        </w:tc>
        <w:tc>
          <w:tcPr>
            <w:tcW w:w="700" w:type="dxa"/>
            <w:vAlign w:val="bottom"/>
          </w:tcPr>
          <w:p>
            <w:pPr>
              <w:jc w:val="right"/>
              <w:ind w:right="37"/>
              <w:spacing w:after="0"/>
              <w:rPr>
                <w:sz w:val="20"/>
                <w:szCs w:val="20"/>
                <w:color w:val="auto"/>
              </w:rPr>
            </w:pPr>
            <w:r>
              <w:rPr>
                <w:rFonts w:ascii="Arial" w:cs="Arial" w:eastAsia="Arial" w:hAnsi="Arial"/>
                <w:sz w:val="13"/>
                <w:szCs w:val="13"/>
                <w:color w:val="0E2A35"/>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0E2A35"/>
              </w:rPr>
              <w:t>393,855</w:t>
            </w:r>
          </w:p>
        </w:tc>
        <w:tc>
          <w:tcPr>
            <w:tcW w:w="740" w:type="dxa"/>
            <w:vAlign w:val="bottom"/>
          </w:tcPr>
          <w:p>
            <w:pPr>
              <w:jc w:val="right"/>
              <w:ind w:right="18"/>
              <w:spacing w:after="0"/>
              <w:rPr>
                <w:sz w:val="20"/>
                <w:szCs w:val="20"/>
                <w:color w:val="auto"/>
              </w:rPr>
            </w:pPr>
            <w:r>
              <w:rPr>
                <w:rFonts w:ascii="Arial" w:cs="Arial" w:eastAsia="Arial" w:hAnsi="Arial"/>
                <w:sz w:val="13"/>
                <w:szCs w:val="13"/>
                <w:color w:val="0E2A35"/>
              </w:rPr>
              <w:t>131,285</w:t>
            </w:r>
          </w:p>
        </w:tc>
        <w:tc>
          <w:tcPr>
            <w:tcW w:w="1200" w:type="dxa"/>
            <w:vAlign w:val="bottom"/>
          </w:tcPr>
          <w:p>
            <w:pPr>
              <w:jc w:val="right"/>
              <w:ind w:right="218"/>
              <w:spacing w:after="0"/>
              <w:rPr>
                <w:sz w:val="20"/>
                <w:szCs w:val="20"/>
                <w:color w:val="auto"/>
              </w:rPr>
            </w:pPr>
            <w:r>
              <w:rPr>
                <w:rFonts w:ascii="Arial" w:cs="Arial" w:eastAsia="Arial" w:hAnsi="Arial"/>
                <w:sz w:val="13"/>
                <w:szCs w:val="13"/>
                <w:color w:val="0E2A35"/>
              </w:rPr>
              <w:t>46,546</w:t>
            </w:r>
          </w:p>
        </w:tc>
        <w:tc>
          <w:tcPr>
            <w:tcW w:w="1080" w:type="dxa"/>
            <w:vAlign w:val="bottom"/>
          </w:tcPr>
          <w:p>
            <w:pPr>
              <w:jc w:val="center"/>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18"/>
              <w:spacing w:after="0"/>
              <w:rPr>
                <w:sz w:val="20"/>
                <w:szCs w:val="20"/>
                <w:color w:val="auto"/>
              </w:rPr>
            </w:pPr>
            <w:r>
              <w:rPr>
                <w:rFonts w:ascii="Arial" w:cs="Arial" w:eastAsia="Arial" w:hAnsi="Arial"/>
                <w:sz w:val="13"/>
                <w:szCs w:val="13"/>
                <w:color w:val="0E2A35"/>
              </w:rPr>
              <w:t>36,535</w:t>
            </w:r>
          </w:p>
        </w:tc>
        <w:tc>
          <w:tcPr>
            <w:tcW w:w="820" w:type="dxa"/>
            <w:vAlign w:val="bottom"/>
          </w:tcPr>
          <w:p>
            <w:pPr>
              <w:jc w:val="right"/>
              <w:ind w:right="17"/>
              <w:spacing w:after="0"/>
              <w:rPr>
                <w:sz w:val="20"/>
                <w:szCs w:val="20"/>
                <w:color w:val="auto"/>
              </w:rPr>
            </w:pPr>
            <w:r>
              <w:rPr>
                <w:rFonts w:ascii="Arial" w:cs="Arial" w:eastAsia="Arial" w:hAnsi="Arial"/>
                <w:sz w:val="13"/>
                <w:szCs w:val="13"/>
                <w:color w:val="0E2A35"/>
              </w:rPr>
              <w:t>1,085,621</w:t>
            </w:r>
          </w:p>
        </w:tc>
        <w:tc>
          <w:tcPr>
            <w:tcW w:w="0" w:type="dxa"/>
            <w:vAlign w:val="bottom"/>
          </w:tcPr>
          <w:p>
            <w:pPr>
              <w:spacing w:after="0"/>
              <w:rPr>
                <w:sz w:val="1"/>
                <w:szCs w:val="1"/>
                <w:color w:val="auto"/>
              </w:rPr>
            </w:pPr>
          </w:p>
        </w:tc>
      </w:tr>
      <w:tr>
        <w:trPr>
          <w:trHeight w:val="43"/>
        </w:trPr>
        <w:tc>
          <w:tcPr>
            <w:tcW w:w="1400" w:type="dxa"/>
            <w:vAlign w:val="bottom"/>
            <w:tcBorders>
              <w:bottom w:val="single" w:sz="8" w:color="0E2A35"/>
            </w:tcBorders>
          </w:tcPr>
          <w:p>
            <w:pPr>
              <w:spacing w:after="0"/>
              <w:rPr>
                <w:sz w:val="3"/>
                <w:szCs w:val="3"/>
                <w:color w:val="auto"/>
              </w:rPr>
            </w:pPr>
          </w:p>
        </w:tc>
        <w:tc>
          <w:tcPr>
            <w:tcW w:w="540" w:type="dxa"/>
            <w:vAlign w:val="bottom"/>
            <w:tcBorders>
              <w:bottom w:val="single" w:sz="8" w:color="0E2A35"/>
            </w:tcBorders>
          </w:tcPr>
          <w:p>
            <w:pPr>
              <w:spacing w:after="0"/>
              <w:rPr>
                <w:sz w:val="3"/>
                <w:szCs w:val="3"/>
                <w:color w:val="auto"/>
              </w:rPr>
            </w:pPr>
          </w:p>
        </w:tc>
        <w:tc>
          <w:tcPr>
            <w:tcW w:w="72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84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c>
          <w:tcPr>
            <w:tcW w:w="1080" w:type="dxa"/>
            <w:vAlign w:val="bottom"/>
            <w:tcBorders>
              <w:bottom w:val="single" w:sz="8" w:color="0E2A35"/>
            </w:tcBorders>
          </w:tcPr>
          <w:p>
            <w:pPr>
              <w:spacing w:after="0"/>
              <w:rPr>
                <w:sz w:val="3"/>
                <w:szCs w:val="3"/>
                <w:color w:val="auto"/>
              </w:rPr>
            </w:pPr>
          </w:p>
        </w:tc>
        <w:tc>
          <w:tcPr>
            <w:tcW w:w="124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right="960" w:hanging="360"/>
        <w:spacing w:after="0" w:line="223" w:lineRule="auto"/>
        <w:tabs>
          <w:tab w:leader="none" w:pos="1220" w:val="left"/>
        </w:tabs>
        <w:numPr>
          <w:ilvl w:val="0"/>
          <w:numId w:val="43"/>
        </w:numPr>
        <w:rPr>
          <w:rFonts w:ascii="Arial" w:cs="Arial" w:eastAsia="Arial" w:hAnsi="Arial"/>
          <w:sz w:val="13"/>
          <w:szCs w:val="13"/>
          <w:color w:val="0E2A35"/>
        </w:rPr>
      </w:pPr>
      <w:r>
        <w:rPr>
          <w:rFonts w:ascii="Arial" w:cs="Arial" w:eastAsia="Arial" w:hAnsi="Arial"/>
          <w:sz w:val="13"/>
          <w:szCs w:val="13"/>
          <w:color w:val="0E2A35"/>
        </w:rPr>
        <w:t>Represents actual base salary paid during fiscal 2020. Effective from April 1, 2020 through the remainder of fiscal 2020, the base salary of each of our NEOs (with the exception of Messrs. Bower and Clark) was reduced by 15%, or, in the case of Mr. Happe, 25%. These temporary reductions were approved by the Board and were taken in response to the economic disruption created by COVID-19. These reductions in base salary did not impact the calculation of incentive compensation or equity awards.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8" w:name="page59"/>
    <w:bookmarkEnd w:id="5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hanging="360"/>
        <w:spacing w:after="0"/>
        <w:tabs>
          <w:tab w:leader="none" w:pos="1220" w:val="left"/>
        </w:tabs>
        <w:numPr>
          <w:ilvl w:val="0"/>
          <w:numId w:val="44"/>
        </w:numPr>
        <w:rPr>
          <w:rFonts w:ascii="Arial" w:cs="Arial" w:eastAsia="Arial" w:hAnsi="Arial"/>
          <w:sz w:val="13"/>
          <w:szCs w:val="13"/>
          <w:color w:val="0E2A35"/>
        </w:rPr>
      </w:pPr>
      <w:r>
        <w:rPr>
          <w:rFonts w:ascii="Arial" w:cs="Arial" w:eastAsia="Arial" w:hAnsi="Arial"/>
          <w:sz w:val="13"/>
          <w:szCs w:val="13"/>
          <w:color w:val="0E2A35"/>
        </w:rPr>
        <w:t>The table below illustrates the two categories of stock awards as presented above:</w:t>
      </w:r>
    </w:p>
    <w:p>
      <w:pPr>
        <w:spacing w:after="0" w:line="72" w:lineRule="exact"/>
        <w:rPr>
          <w:sz w:val="20"/>
          <w:szCs w:val="20"/>
          <w:color w:val="auto"/>
        </w:rPr>
      </w:pPr>
    </w:p>
    <w:tbl>
      <w:tblPr>
        <w:tblLayout w:type="fixed"/>
        <w:tblInd w:w="1220" w:type="dxa"/>
        <w:tblCellMar>
          <w:top w:w="0" w:type="dxa"/>
          <w:left w:w="0" w:type="dxa"/>
          <w:bottom w:w="0" w:type="dxa"/>
          <w:right w:w="0" w:type="dxa"/>
        </w:tblCellMar>
      </w:tblPr>
      <w:tr>
        <w:trPr>
          <w:trHeight w:val="221"/>
        </w:trPr>
        <w:tc>
          <w:tcPr>
            <w:tcW w:w="2520" w:type="dxa"/>
            <w:vAlign w:val="bottom"/>
            <w:shd w:val="clear" w:color="auto" w:fill="0E2A35"/>
          </w:tcPr>
          <w:p>
            <w:pPr>
              <w:spacing w:after="0"/>
              <w:rPr>
                <w:sz w:val="19"/>
                <w:szCs w:val="19"/>
                <w:color w:val="auto"/>
              </w:rPr>
            </w:pPr>
          </w:p>
        </w:tc>
        <w:tc>
          <w:tcPr>
            <w:tcW w:w="820" w:type="dxa"/>
            <w:vAlign w:val="bottom"/>
            <w:shd w:val="clear" w:color="auto" w:fill="0E2A35"/>
          </w:tcPr>
          <w:p>
            <w:pPr>
              <w:spacing w:after="0"/>
              <w:rPr>
                <w:sz w:val="19"/>
                <w:szCs w:val="19"/>
                <w:color w:val="auto"/>
              </w:rPr>
            </w:pPr>
          </w:p>
        </w:tc>
        <w:tc>
          <w:tcPr>
            <w:tcW w:w="15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Non-</w:t>
            </w:r>
          </w:p>
        </w:tc>
        <w:tc>
          <w:tcPr>
            <w:tcW w:w="1340" w:type="dxa"/>
            <w:vAlign w:val="bottom"/>
            <w:shd w:val="clear" w:color="auto" w:fill="0E2A35"/>
          </w:tcPr>
          <w:p>
            <w:pPr>
              <w:spacing w:after="0"/>
              <w:rPr>
                <w:sz w:val="19"/>
                <w:szCs w:val="19"/>
                <w:color w:val="auto"/>
              </w:rPr>
            </w:pPr>
          </w:p>
        </w:tc>
        <w:tc>
          <w:tcPr>
            <w:tcW w:w="1740" w:type="dxa"/>
            <w:vAlign w:val="bottom"/>
            <w:shd w:val="clear" w:color="auto" w:fill="0E2A35"/>
          </w:tcPr>
          <w:p>
            <w:pPr>
              <w:spacing w:after="0"/>
              <w:rPr>
                <w:sz w:val="19"/>
                <w:szCs w:val="19"/>
                <w:color w:val="auto"/>
              </w:rPr>
            </w:pPr>
          </w:p>
        </w:tc>
        <w:tc>
          <w:tcPr>
            <w:tcW w:w="960" w:type="dxa"/>
            <w:vAlign w:val="bottom"/>
            <w:shd w:val="clear" w:color="auto" w:fill="0E2A35"/>
          </w:tcPr>
          <w:p>
            <w:pPr>
              <w:spacing w:after="0"/>
              <w:rPr>
                <w:sz w:val="19"/>
                <w:szCs w:val="19"/>
                <w:color w:val="auto"/>
              </w:rPr>
            </w:pPr>
          </w:p>
        </w:tc>
      </w:tr>
      <w:tr>
        <w:trPr>
          <w:trHeight w:val="135"/>
        </w:trPr>
        <w:tc>
          <w:tcPr>
            <w:tcW w:w="2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15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Performance-</w:t>
            </w:r>
          </w:p>
        </w:tc>
        <w:tc>
          <w:tcPr>
            <w:tcW w:w="1340" w:type="dxa"/>
            <w:vAlign w:val="bottom"/>
            <w:shd w:val="clear" w:color="auto" w:fill="0E2A35"/>
          </w:tcPr>
          <w:p>
            <w:pPr>
              <w:spacing w:after="0"/>
              <w:rPr>
                <w:sz w:val="11"/>
                <w:szCs w:val="11"/>
                <w:color w:val="auto"/>
              </w:rPr>
            </w:pPr>
          </w:p>
        </w:tc>
        <w:tc>
          <w:tcPr>
            <w:tcW w:w="1740" w:type="dxa"/>
            <w:vAlign w:val="bottom"/>
            <w:shd w:val="clear" w:color="auto" w:fill="0E2A35"/>
          </w:tcPr>
          <w:p>
            <w:pPr>
              <w:spacing w:after="0"/>
              <w:rPr>
                <w:sz w:val="11"/>
                <w:szCs w:val="11"/>
                <w:color w:val="auto"/>
              </w:rPr>
            </w:pPr>
          </w:p>
        </w:tc>
        <w:tc>
          <w:tcPr>
            <w:tcW w:w="960" w:type="dxa"/>
            <w:vAlign w:val="bottom"/>
            <w:shd w:val="clear" w:color="auto" w:fill="0E2A35"/>
          </w:tcPr>
          <w:p>
            <w:pPr>
              <w:spacing w:after="0"/>
              <w:rPr>
                <w:sz w:val="11"/>
                <w:szCs w:val="11"/>
                <w:color w:val="auto"/>
              </w:rPr>
            </w:pPr>
          </w:p>
        </w:tc>
      </w:tr>
      <w:tr>
        <w:trPr>
          <w:trHeight w:val="135"/>
        </w:trPr>
        <w:tc>
          <w:tcPr>
            <w:tcW w:w="2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15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Based</w:t>
            </w:r>
          </w:p>
        </w:tc>
        <w:tc>
          <w:tcPr>
            <w:tcW w:w="13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Fiscal 2021</w:t>
            </w:r>
          </w:p>
        </w:tc>
        <w:tc>
          <w:tcPr>
            <w:tcW w:w="1740" w:type="dxa"/>
            <w:vAlign w:val="bottom"/>
            <w:shd w:val="clear" w:color="auto" w:fill="0E2A35"/>
          </w:tcPr>
          <w:p>
            <w:pPr>
              <w:spacing w:after="0"/>
              <w:rPr>
                <w:sz w:val="11"/>
                <w:szCs w:val="11"/>
                <w:color w:val="auto"/>
              </w:rPr>
            </w:pPr>
          </w:p>
        </w:tc>
        <w:tc>
          <w:tcPr>
            <w:tcW w:w="960" w:type="dxa"/>
            <w:vAlign w:val="bottom"/>
            <w:shd w:val="clear" w:color="auto" w:fill="0E2A35"/>
          </w:tcPr>
          <w:p>
            <w:pPr>
              <w:jc w:val="center"/>
              <w:ind w:left="17"/>
              <w:spacing w:after="0" w:line="135" w:lineRule="exact"/>
              <w:rPr>
                <w:sz w:val="20"/>
                <w:szCs w:val="20"/>
                <w:color w:val="auto"/>
              </w:rPr>
            </w:pPr>
            <w:r>
              <w:rPr>
                <w:rFonts w:ascii="Arial" w:cs="Arial" w:eastAsia="Arial" w:hAnsi="Arial"/>
                <w:sz w:val="13"/>
                <w:szCs w:val="13"/>
                <w:b w:val="1"/>
                <w:bCs w:val="1"/>
                <w:color w:val="FFFFFF"/>
                <w:w w:val="89"/>
              </w:rPr>
              <w:t>Total</w:t>
            </w:r>
          </w:p>
        </w:tc>
      </w:tr>
      <w:tr>
        <w:trPr>
          <w:trHeight w:val="131"/>
        </w:trPr>
        <w:tc>
          <w:tcPr>
            <w:tcW w:w="25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15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Restricted Stock</w:t>
            </w:r>
          </w:p>
        </w:tc>
        <w:tc>
          <w:tcPr>
            <w:tcW w:w="13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Performance</w:t>
            </w:r>
          </w:p>
        </w:tc>
        <w:tc>
          <w:tcPr>
            <w:tcW w:w="1740" w:type="dxa"/>
            <w:vAlign w:val="bottom"/>
            <w:shd w:val="clear" w:color="auto" w:fill="0E2A35"/>
          </w:tcPr>
          <w:p>
            <w:pPr>
              <w:jc w:val="center"/>
              <w:ind w:right="58"/>
              <w:spacing w:after="0" w:line="131" w:lineRule="exact"/>
              <w:rPr>
                <w:sz w:val="20"/>
                <w:szCs w:val="20"/>
                <w:color w:val="auto"/>
              </w:rPr>
            </w:pPr>
            <w:r>
              <w:rPr>
                <w:rFonts w:ascii="Arial" w:cs="Arial" w:eastAsia="Arial" w:hAnsi="Arial"/>
                <w:sz w:val="13"/>
                <w:szCs w:val="13"/>
                <w:b w:val="1"/>
                <w:bCs w:val="1"/>
                <w:color w:val="FFFFFF"/>
                <w:w w:val="96"/>
              </w:rPr>
              <w:t>LTIP / Performance</w:t>
            </w:r>
          </w:p>
        </w:tc>
        <w:tc>
          <w:tcPr>
            <w:tcW w:w="9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Stock</w:t>
            </w:r>
          </w:p>
        </w:tc>
      </w:tr>
      <w:tr>
        <w:trPr>
          <w:trHeight w:val="139"/>
        </w:trPr>
        <w:tc>
          <w:tcPr>
            <w:tcW w:w="2520" w:type="dxa"/>
            <w:vAlign w:val="bottom"/>
            <w:shd w:val="clear" w:color="auto" w:fill="0E2A35"/>
          </w:tcPr>
          <w:p>
            <w:pPr>
              <w:spacing w:after="0"/>
              <w:rPr>
                <w:sz w:val="12"/>
                <w:szCs w:val="12"/>
                <w:color w:val="auto"/>
              </w:rPr>
            </w:pPr>
          </w:p>
        </w:tc>
        <w:tc>
          <w:tcPr>
            <w:tcW w:w="820" w:type="dxa"/>
            <w:vAlign w:val="bottom"/>
            <w:shd w:val="clear" w:color="auto" w:fill="0E2A35"/>
          </w:tcPr>
          <w:p>
            <w:pPr>
              <w:jc w:val="right"/>
              <w:ind w:right="177"/>
              <w:spacing w:after="0" w:line="139" w:lineRule="exact"/>
              <w:rPr>
                <w:sz w:val="20"/>
                <w:szCs w:val="20"/>
                <w:color w:val="auto"/>
              </w:rPr>
            </w:pPr>
            <w:r>
              <w:rPr>
                <w:rFonts w:ascii="Arial" w:cs="Arial" w:eastAsia="Arial" w:hAnsi="Arial"/>
                <w:sz w:val="13"/>
                <w:szCs w:val="13"/>
                <w:b w:val="1"/>
                <w:bCs w:val="1"/>
                <w:color w:val="FFFFFF"/>
              </w:rPr>
              <w:t>Fiscal</w:t>
            </w:r>
          </w:p>
        </w:tc>
        <w:tc>
          <w:tcPr>
            <w:tcW w:w="15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Grant</w:t>
            </w:r>
            <w:r>
              <w:rPr>
                <w:rFonts w:ascii="Arial" w:cs="Arial" w:eastAsia="Arial" w:hAnsi="Arial"/>
                <w:sz w:val="16"/>
                <w:szCs w:val="16"/>
                <w:b w:val="1"/>
                <w:bCs w:val="1"/>
                <w:color w:val="FFFFFF"/>
                <w:vertAlign w:val="superscript"/>
              </w:rPr>
              <w:t>(a)</w:t>
            </w:r>
          </w:p>
        </w:tc>
        <w:tc>
          <w:tcPr>
            <w:tcW w:w="13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Stock Units</w:t>
            </w:r>
            <w:r>
              <w:rPr>
                <w:rFonts w:ascii="Arial" w:cs="Arial" w:eastAsia="Arial" w:hAnsi="Arial"/>
                <w:sz w:val="16"/>
                <w:szCs w:val="16"/>
                <w:b w:val="1"/>
                <w:bCs w:val="1"/>
                <w:color w:val="FFFFFF"/>
                <w:vertAlign w:val="superscript"/>
              </w:rPr>
              <w:t>(b)</w:t>
            </w:r>
          </w:p>
        </w:tc>
        <w:tc>
          <w:tcPr>
            <w:tcW w:w="1740" w:type="dxa"/>
            <w:vAlign w:val="bottom"/>
            <w:shd w:val="clear" w:color="auto" w:fill="0E2A35"/>
          </w:tcPr>
          <w:p>
            <w:pPr>
              <w:jc w:val="center"/>
              <w:ind w:right="18"/>
              <w:spacing w:after="0" w:line="139"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(c)</w:t>
            </w:r>
          </w:p>
        </w:tc>
        <w:tc>
          <w:tcPr>
            <w:tcW w:w="960" w:type="dxa"/>
            <w:vAlign w:val="bottom"/>
            <w:shd w:val="clear" w:color="auto" w:fill="0E2A35"/>
          </w:tcPr>
          <w:p>
            <w:pPr>
              <w:jc w:val="center"/>
              <w:ind w:left="17"/>
              <w:spacing w:after="0" w:line="139" w:lineRule="exact"/>
              <w:rPr>
                <w:sz w:val="20"/>
                <w:szCs w:val="20"/>
                <w:color w:val="auto"/>
              </w:rPr>
            </w:pPr>
            <w:r>
              <w:rPr>
                <w:rFonts w:ascii="Arial" w:cs="Arial" w:eastAsia="Arial" w:hAnsi="Arial"/>
                <w:sz w:val="13"/>
                <w:szCs w:val="13"/>
                <w:b w:val="1"/>
                <w:bCs w:val="1"/>
                <w:color w:val="FFFFFF"/>
                <w:w w:val="93"/>
              </w:rPr>
              <w:t>Awards</w:t>
            </w:r>
          </w:p>
        </w:tc>
      </w:tr>
      <w:tr>
        <w:trPr>
          <w:trHeight w:val="168"/>
        </w:trPr>
        <w:tc>
          <w:tcPr>
            <w:tcW w:w="252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0E2A35"/>
          </w:tcPr>
          <w:p>
            <w:pPr>
              <w:jc w:val="right"/>
              <w:ind w:right="217"/>
              <w:spacing w:after="0"/>
              <w:rPr>
                <w:sz w:val="20"/>
                <w:szCs w:val="20"/>
                <w:color w:val="auto"/>
              </w:rPr>
            </w:pPr>
            <w:r>
              <w:rPr>
                <w:rFonts w:ascii="Arial" w:cs="Arial" w:eastAsia="Arial" w:hAnsi="Arial"/>
                <w:sz w:val="13"/>
                <w:szCs w:val="13"/>
                <w:b w:val="1"/>
                <w:bCs w:val="1"/>
                <w:color w:val="FFFFFF"/>
              </w:rPr>
              <w:t>Year</w:t>
            </w:r>
          </w:p>
        </w:tc>
        <w:tc>
          <w:tcPr>
            <w:tcW w:w="15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3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740" w:type="dxa"/>
            <w:vAlign w:val="bottom"/>
            <w:shd w:val="clear" w:color="auto" w:fill="0E2A35"/>
          </w:tcPr>
          <w:p>
            <w:pPr>
              <w:jc w:val="center"/>
              <w:ind w:right="38"/>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0E2A35"/>
          </w:tcPr>
          <w:p>
            <w:pPr>
              <w:jc w:val="center"/>
              <w:ind w:left="17"/>
              <w:spacing w:after="0"/>
              <w:rPr>
                <w:sz w:val="20"/>
                <w:szCs w:val="20"/>
                <w:color w:val="auto"/>
              </w:rPr>
            </w:pPr>
            <w:r>
              <w:rPr>
                <w:rFonts w:ascii="Arial" w:cs="Arial" w:eastAsia="Arial" w:hAnsi="Arial"/>
                <w:sz w:val="13"/>
                <w:szCs w:val="13"/>
                <w:b w:val="1"/>
                <w:bCs w:val="1"/>
                <w:color w:val="FFFFFF"/>
              </w:rPr>
              <w:t>($)</w:t>
            </w:r>
          </w:p>
        </w:tc>
      </w:tr>
      <w:tr>
        <w:trPr>
          <w:trHeight w:val="83"/>
        </w:trPr>
        <w:tc>
          <w:tcPr>
            <w:tcW w:w="252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1540" w:type="dxa"/>
            <w:vAlign w:val="bottom"/>
            <w:shd w:val="clear" w:color="auto" w:fill="0E2A35"/>
          </w:tcPr>
          <w:p>
            <w:pPr>
              <w:spacing w:after="0"/>
              <w:rPr>
                <w:sz w:val="7"/>
                <w:szCs w:val="7"/>
                <w:color w:val="auto"/>
              </w:rPr>
            </w:pPr>
          </w:p>
        </w:tc>
        <w:tc>
          <w:tcPr>
            <w:tcW w:w="1340" w:type="dxa"/>
            <w:vAlign w:val="bottom"/>
            <w:shd w:val="clear" w:color="auto" w:fill="0E2A35"/>
          </w:tcPr>
          <w:p>
            <w:pPr>
              <w:spacing w:after="0"/>
              <w:rPr>
                <w:sz w:val="7"/>
                <w:szCs w:val="7"/>
                <w:color w:val="auto"/>
              </w:rPr>
            </w:pPr>
          </w:p>
        </w:tc>
        <w:tc>
          <w:tcPr>
            <w:tcW w:w="1740" w:type="dxa"/>
            <w:vAlign w:val="bottom"/>
            <w:shd w:val="clear" w:color="auto" w:fill="0E2A35"/>
          </w:tcPr>
          <w:p>
            <w:pPr>
              <w:spacing w:after="0"/>
              <w:rPr>
                <w:sz w:val="7"/>
                <w:szCs w:val="7"/>
                <w:color w:val="auto"/>
              </w:rPr>
            </w:pPr>
          </w:p>
        </w:tc>
        <w:tc>
          <w:tcPr>
            <w:tcW w:w="960" w:type="dxa"/>
            <w:vAlign w:val="bottom"/>
            <w:shd w:val="clear" w:color="auto" w:fill="0E2A35"/>
          </w:tcPr>
          <w:p>
            <w:pPr>
              <w:spacing w:after="0"/>
              <w:rPr>
                <w:sz w:val="7"/>
                <w:szCs w:val="7"/>
                <w:color w:val="auto"/>
              </w:rPr>
            </w:pPr>
          </w:p>
        </w:tc>
      </w:tr>
      <w:tr>
        <w:trPr>
          <w:trHeight w:val="241"/>
        </w:trPr>
        <w:tc>
          <w:tcPr>
            <w:tcW w:w="2520" w:type="dxa"/>
            <w:vAlign w:val="bottom"/>
          </w:tcPr>
          <w:p>
            <w:pPr>
              <w:ind w:left="160"/>
              <w:spacing w:after="0"/>
              <w:rPr>
                <w:sz w:val="20"/>
                <w:szCs w:val="20"/>
                <w:color w:val="auto"/>
              </w:rPr>
            </w:pPr>
            <w:r>
              <w:rPr>
                <w:rFonts w:ascii="Arial" w:cs="Arial" w:eastAsia="Arial" w:hAnsi="Arial"/>
                <w:sz w:val="13"/>
                <w:szCs w:val="13"/>
                <w:color w:val="0E2A35"/>
              </w:rPr>
              <w:t>Michael J. Happe</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1,224,990</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599,989</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1,750,001</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3,574,980</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1,084,991</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1,550,008</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2,634,999</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475,000</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950,000</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1,425,000</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ind w:left="160"/>
              <w:spacing w:after="0"/>
              <w:rPr>
                <w:sz w:val="20"/>
                <w:szCs w:val="20"/>
                <w:color w:val="auto"/>
              </w:rPr>
            </w:pPr>
            <w:r>
              <w:rPr>
                <w:rFonts w:ascii="Arial" w:cs="Arial" w:eastAsia="Arial" w:hAnsi="Arial"/>
                <w:sz w:val="13"/>
                <w:szCs w:val="13"/>
                <w:color w:val="0E2A35"/>
              </w:rPr>
              <w:t>Bryan L. Hughes</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229,675</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210,004</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328,139</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767,819</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245,929</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278,857</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524,786</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126,844</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253,688</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380,532</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318"/>
        </w:trPr>
        <w:tc>
          <w:tcPr>
            <w:tcW w:w="2520" w:type="dxa"/>
            <w:vAlign w:val="bottom"/>
          </w:tcPr>
          <w:p>
            <w:pPr>
              <w:ind w:left="160"/>
              <w:spacing w:after="0"/>
              <w:rPr>
                <w:sz w:val="20"/>
                <w:szCs w:val="20"/>
                <w:color w:val="auto"/>
              </w:rPr>
            </w:pPr>
            <w:r>
              <w:rPr>
                <w:rFonts w:ascii="Arial" w:cs="Arial" w:eastAsia="Arial" w:hAnsi="Arial"/>
                <w:sz w:val="13"/>
                <w:szCs w:val="13"/>
                <w:color w:val="0E2A35"/>
              </w:rPr>
              <w:t>Huw S. Bower</w:t>
            </w:r>
            <w:r>
              <w:rPr>
                <w:rFonts w:ascii="Arial" w:cs="Arial" w:eastAsia="Arial" w:hAnsi="Arial"/>
                <w:sz w:val="20"/>
                <w:szCs w:val="20"/>
                <w:color w:val="0E2A35"/>
                <w:vertAlign w:val="superscript"/>
              </w:rPr>
              <w:t>(d)</w:t>
            </w:r>
          </w:p>
        </w:tc>
        <w:tc>
          <w:tcPr>
            <w:tcW w:w="820" w:type="dxa"/>
            <w:vAlign w:val="bottom"/>
            <w:tcBorders>
              <w:bottom w:val="single" w:sz="8" w:color="0E2A35"/>
            </w:tcBorders>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Borders>
              <w:bottom w:val="single" w:sz="8" w:color="0E2A35"/>
            </w:tcBorders>
          </w:tcPr>
          <w:p>
            <w:pPr>
              <w:jc w:val="right"/>
              <w:ind w:right="178"/>
              <w:spacing w:after="0"/>
              <w:rPr>
                <w:sz w:val="20"/>
                <w:szCs w:val="20"/>
                <w:color w:val="auto"/>
              </w:rPr>
            </w:pPr>
            <w:r>
              <w:rPr>
                <w:rFonts w:ascii="Arial" w:cs="Arial" w:eastAsia="Arial" w:hAnsi="Arial"/>
                <w:sz w:val="13"/>
                <w:szCs w:val="13"/>
                <w:color w:val="0E2A35"/>
              </w:rPr>
              <w:t>1,496,524</w:t>
            </w:r>
          </w:p>
        </w:tc>
        <w:tc>
          <w:tcPr>
            <w:tcW w:w="1340" w:type="dxa"/>
            <w:vAlign w:val="bottom"/>
            <w:tcBorders>
              <w:bottom w:val="single" w:sz="8" w:color="0E2A35"/>
            </w:tcBorders>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Borders>
              <w:bottom w:val="single" w:sz="8" w:color="0E2A35"/>
            </w:tcBorders>
          </w:tcPr>
          <w:p>
            <w:pPr>
              <w:jc w:val="right"/>
              <w:ind w:right="238"/>
              <w:spacing w:after="0"/>
              <w:rPr>
                <w:sz w:val="20"/>
                <w:szCs w:val="20"/>
                <w:color w:val="auto"/>
              </w:rPr>
            </w:pPr>
            <w:r>
              <w:rPr>
                <w:rFonts w:ascii="Arial" w:cs="Arial" w:eastAsia="Arial" w:hAnsi="Arial"/>
                <w:sz w:val="13"/>
                <w:szCs w:val="13"/>
                <w:color w:val="0E2A35"/>
              </w:rPr>
              <w:t>494,987</w:t>
            </w:r>
          </w:p>
        </w:tc>
        <w:tc>
          <w:tcPr>
            <w:tcW w:w="960" w:type="dxa"/>
            <w:vAlign w:val="bottom"/>
            <w:tcBorders>
              <w:bottom w:val="single" w:sz="8" w:color="0E2A35"/>
            </w:tcBorders>
          </w:tcPr>
          <w:p>
            <w:pPr>
              <w:jc w:val="right"/>
              <w:ind w:right="37"/>
              <w:spacing w:after="0"/>
              <w:rPr>
                <w:sz w:val="20"/>
                <w:szCs w:val="20"/>
                <w:color w:val="auto"/>
              </w:rPr>
            </w:pPr>
            <w:r>
              <w:rPr>
                <w:rFonts w:ascii="Arial" w:cs="Arial" w:eastAsia="Arial" w:hAnsi="Arial"/>
                <w:sz w:val="13"/>
                <w:szCs w:val="13"/>
                <w:color w:val="0E2A35"/>
              </w:rPr>
              <w:t>1,991,511</w:t>
            </w: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ind w:left="160"/>
              <w:spacing w:after="0"/>
              <w:rPr>
                <w:sz w:val="20"/>
                <w:szCs w:val="20"/>
                <w:color w:val="auto"/>
              </w:rPr>
            </w:pPr>
            <w:r>
              <w:rPr>
                <w:rFonts w:ascii="Arial" w:cs="Arial" w:eastAsia="Arial" w:hAnsi="Arial"/>
                <w:sz w:val="13"/>
                <w:szCs w:val="13"/>
                <w:color w:val="0E2A35"/>
              </w:rPr>
              <w:t>Donald J. Clark</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w:t>
            </w:r>
          </w:p>
        </w:tc>
      </w:tr>
      <w:tr>
        <w:trPr>
          <w:trHeight w:val="83"/>
        </w:trPr>
        <w:tc>
          <w:tcPr>
            <w:tcW w:w="2520" w:type="dxa"/>
            <w:vAlign w:val="bottom"/>
            <w:tcBorders>
              <w:bottom w:val="single" w:sz="8" w:color="0E2A35"/>
            </w:tcBorders>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ind w:left="160"/>
              <w:spacing w:after="0"/>
              <w:rPr>
                <w:sz w:val="20"/>
                <w:szCs w:val="20"/>
                <w:color w:val="auto"/>
              </w:rPr>
            </w:pPr>
            <w:r>
              <w:rPr>
                <w:rFonts w:ascii="Arial" w:cs="Arial" w:eastAsia="Arial" w:hAnsi="Arial"/>
                <w:sz w:val="13"/>
                <w:szCs w:val="13"/>
                <w:color w:val="0E2A35"/>
              </w:rPr>
              <w:t>Brian D. Hazelton</w:t>
            </w: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2021</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206,299</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190,007</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294,682</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690,988</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2020</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189,228</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270,325</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459,553</w:t>
            </w:r>
          </w:p>
        </w:tc>
      </w:tr>
      <w:tr>
        <w:trPr>
          <w:trHeight w:val="83"/>
        </w:trPr>
        <w:tc>
          <w:tcPr>
            <w:tcW w:w="2520" w:type="dxa"/>
            <w:vAlign w:val="bottom"/>
          </w:tcPr>
          <w:p>
            <w:pPr>
              <w:spacing w:after="0"/>
              <w:rPr>
                <w:sz w:val="7"/>
                <w:szCs w:val="7"/>
                <w:color w:val="auto"/>
              </w:rPr>
            </w:pPr>
          </w:p>
        </w:tc>
        <w:tc>
          <w:tcPr>
            <w:tcW w:w="820" w:type="dxa"/>
            <w:vAlign w:val="bottom"/>
            <w:tcBorders>
              <w:bottom w:val="single" w:sz="8" w:color="0E2A35"/>
            </w:tcBorders>
          </w:tcPr>
          <w:p>
            <w:pPr>
              <w:spacing w:after="0"/>
              <w:rPr>
                <w:sz w:val="7"/>
                <w:szCs w:val="7"/>
                <w:color w:val="auto"/>
              </w:rPr>
            </w:pPr>
          </w:p>
        </w:tc>
        <w:tc>
          <w:tcPr>
            <w:tcW w:w="154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740" w:type="dxa"/>
            <w:vAlign w:val="bottom"/>
            <w:tcBorders>
              <w:bottom w:val="single" w:sz="8" w:color="0E2A35"/>
            </w:tcBorders>
          </w:tcPr>
          <w:p>
            <w:pPr>
              <w:spacing w:after="0"/>
              <w:rPr>
                <w:sz w:val="7"/>
                <w:szCs w:val="7"/>
                <w:color w:val="auto"/>
              </w:rPr>
            </w:pPr>
          </w:p>
        </w:tc>
        <w:tc>
          <w:tcPr>
            <w:tcW w:w="960" w:type="dxa"/>
            <w:vAlign w:val="bottom"/>
            <w:tcBorders>
              <w:bottom w:val="single" w:sz="8" w:color="0E2A35"/>
            </w:tcBorders>
          </w:tcPr>
          <w:p>
            <w:pPr>
              <w:spacing w:after="0"/>
              <w:rPr>
                <w:sz w:val="7"/>
                <w:szCs w:val="7"/>
                <w:color w:val="auto"/>
              </w:rPr>
            </w:pPr>
          </w:p>
        </w:tc>
      </w:tr>
      <w:tr>
        <w:trPr>
          <w:trHeight w:val="234"/>
        </w:trPr>
        <w:tc>
          <w:tcPr>
            <w:tcW w:w="2520" w:type="dxa"/>
            <w:vAlign w:val="bottom"/>
          </w:tcPr>
          <w:p>
            <w:pPr>
              <w:spacing w:after="0"/>
              <w:rPr>
                <w:sz w:val="20"/>
                <w:szCs w:val="20"/>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color w:val="0E2A35"/>
              </w:rPr>
              <w:t>2019</w:t>
            </w:r>
          </w:p>
        </w:tc>
        <w:tc>
          <w:tcPr>
            <w:tcW w:w="1540" w:type="dxa"/>
            <w:vAlign w:val="bottom"/>
          </w:tcPr>
          <w:p>
            <w:pPr>
              <w:jc w:val="right"/>
              <w:ind w:right="178"/>
              <w:spacing w:after="0"/>
              <w:rPr>
                <w:sz w:val="20"/>
                <w:szCs w:val="20"/>
                <w:color w:val="auto"/>
              </w:rPr>
            </w:pPr>
            <w:r>
              <w:rPr>
                <w:rFonts w:ascii="Arial" w:cs="Arial" w:eastAsia="Arial" w:hAnsi="Arial"/>
                <w:sz w:val="13"/>
                <w:szCs w:val="13"/>
                <w:color w:val="0E2A35"/>
              </w:rPr>
              <w:t>131,285</w:t>
            </w:r>
          </w:p>
        </w:tc>
        <w:tc>
          <w:tcPr>
            <w:tcW w:w="1340" w:type="dxa"/>
            <w:vAlign w:val="bottom"/>
          </w:tcPr>
          <w:p>
            <w:pPr>
              <w:jc w:val="right"/>
              <w:ind w:right="198"/>
              <w:spacing w:after="0"/>
              <w:rPr>
                <w:sz w:val="20"/>
                <w:szCs w:val="20"/>
                <w:color w:val="auto"/>
              </w:rPr>
            </w:pPr>
            <w:r>
              <w:rPr>
                <w:rFonts w:ascii="Arial" w:cs="Arial" w:eastAsia="Arial" w:hAnsi="Arial"/>
                <w:sz w:val="13"/>
                <w:szCs w:val="13"/>
                <w:color w:val="0E2A35"/>
              </w:rPr>
              <w:t>—</w:t>
            </w:r>
          </w:p>
        </w:tc>
        <w:tc>
          <w:tcPr>
            <w:tcW w:w="1740" w:type="dxa"/>
            <w:vAlign w:val="bottom"/>
          </w:tcPr>
          <w:p>
            <w:pPr>
              <w:jc w:val="right"/>
              <w:ind w:right="238"/>
              <w:spacing w:after="0"/>
              <w:rPr>
                <w:sz w:val="20"/>
                <w:szCs w:val="20"/>
                <w:color w:val="auto"/>
              </w:rPr>
            </w:pPr>
            <w:r>
              <w:rPr>
                <w:rFonts w:ascii="Arial" w:cs="Arial" w:eastAsia="Arial" w:hAnsi="Arial"/>
                <w:sz w:val="13"/>
                <w:szCs w:val="13"/>
                <w:color w:val="0E2A35"/>
              </w:rPr>
              <w:t>262,570</w:t>
            </w:r>
          </w:p>
        </w:tc>
        <w:tc>
          <w:tcPr>
            <w:tcW w:w="960" w:type="dxa"/>
            <w:vAlign w:val="bottom"/>
          </w:tcPr>
          <w:p>
            <w:pPr>
              <w:jc w:val="right"/>
              <w:ind w:right="37"/>
              <w:spacing w:after="0"/>
              <w:rPr>
                <w:sz w:val="20"/>
                <w:szCs w:val="20"/>
                <w:color w:val="auto"/>
              </w:rPr>
            </w:pPr>
            <w:r>
              <w:rPr>
                <w:rFonts w:ascii="Arial" w:cs="Arial" w:eastAsia="Arial" w:hAnsi="Arial"/>
                <w:sz w:val="13"/>
                <w:szCs w:val="13"/>
                <w:color w:val="0E2A35"/>
              </w:rPr>
              <w:t>393,855</w:t>
            </w:r>
          </w:p>
        </w:tc>
      </w:tr>
      <w:tr>
        <w:trPr>
          <w:trHeight w:val="43"/>
        </w:trPr>
        <w:tc>
          <w:tcPr>
            <w:tcW w:w="2520" w:type="dxa"/>
            <w:vAlign w:val="bottom"/>
            <w:tcBorders>
              <w:bottom w:val="single" w:sz="8" w:color="0E2A35"/>
            </w:tcBorders>
          </w:tcPr>
          <w:p>
            <w:pPr>
              <w:spacing w:after="0"/>
              <w:rPr>
                <w:sz w:val="3"/>
                <w:szCs w:val="3"/>
                <w:color w:val="auto"/>
              </w:rPr>
            </w:pPr>
          </w:p>
        </w:tc>
        <w:tc>
          <w:tcPr>
            <w:tcW w:w="820" w:type="dxa"/>
            <w:vAlign w:val="bottom"/>
            <w:tcBorders>
              <w:bottom w:val="single" w:sz="8" w:color="0E2A35"/>
            </w:tcBorders>
          </w:tcPr>
          <w:p>
            <w:pPr>
              <w:spacing w:after="0"/>
              <w:rPr>
                <w:sz w:val="3"/>
                <w:szCs w:val="3"/>
                <w:color w:val="auto"/>
              </w:rPr>
            </w:pPr>
          </w:p>
        </w:tc>
        <w:tc>
          <w:tcPr>
            <w:tcW w:w="154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c>
          <w:tcPr>
            <w:tcW w:w="1740" w:type="dxa"/>
            <w:vAlign w:val="bottom"/>
            <w:tcBorders>
              <w:bottom w:val="single" w:sz="8" w:color="0E2A35"/>
            </w:tcBorders>
          </w:tcPr>
          <w:p>
            <w:pPr>
              <w:spacing w:after="0"/>
              <w:rPr>
                <w:sz w:val="3"/>
                <w:szCs w:val="3"/>
                <w:color w:val="auto"/>
              </w:rPr>
            </w:pPr>
          </w:p>
        </w:tc>
        <w:tc>
          <w:tcPr>
            <w:tcW w:w="96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jc w:val="both"/>
        <w:ind w:left="1580" w:right="940" w:hanging="360"/>
        <w:spacing w:after="0" w:line="225" w:lineRule="auto"/>
        <w:tabs>
          <w:tab w:leader="none" w:pos="158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These amounts represent restricted stock and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38" w:lineRule="exact"/>
        <w:rPr>
          <w:rFonts w:ascii="Arial" w:cs="Arial" w:eastAsia="Arial" w:hAnsi="Arial"/>
          <w:sz w:val="13"/>
          <w:szCs w:val="13"/>
          <w:color w:val="0E2A35"/>
        </w:rPr>
      </w:pPr>
    </w:p>
    <w:p>
      <w:pPr>
        <w:jc w:val="both"/>
        <w:ind w:left="1580" w:right="1060" w:hanging="360"/>
        <w:spacing w:after="0" w:line="225" w:lineRule="auto"/>
        <w:tabs>
          <w:tab w:leader="none" w:pos="158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These amounts represent the grant date fair value computed in accordance with ASC 718 of the PSU specific to fiscal 2021. Assuming achievement of the maximum 200% of the target performance, the value of the PSUs would be: $1,199,979 for Mr. Happe; $420,009 for Mr. Hughes; and $380,013 for Mr. Hazelton.</w:t>
      </w:r>
    </w:p>
    <w:p>
      <w:pPr>
        <w:spacing w:after="0" w:line="38" w:lineRule="exact"/>
        <w:rPr>
          <w:rFonts w:ascii="Arial" w:cs="Arial" w:eastAsia="Arial" w:hAnsi="Arial"/>
          <w:sz w:val="13"/>
          <w:szCs w:val="13"/>
          <w:color w:val="0E2A35"/>
        </w:rPr>
      </w:pPr>
    </w:p>
    <w:p>
      <w:pPr>
        <w:ind w:left="1580" w:right="1000" w:hanging="360"/>
        <w:spacing w:after="0"/>
        <w:tabs>
          <w:tab w:leader="none" w:pos="1580" w:val="left"/>
        </w:tabs>
        <w:numPr>
          <w:ilvl w:val="1"/>
          <w:numId w:val="45"/>
        </w:numPr>
        <w:rPr>
          <w:rFonts w:ascii="Arial" w:cs="Arial" w:eastAsia="Arial" w:hAnsi="Arial"/>
          <w:sz w:val="12"/>
          <w:szCs w:val="12"/>
          <w:color w:val="0E2A35"/>
        </w:rPr>
      </w:pPr>
      <w:r>
        <w:rPr>
          <w:rFonts w:ascii="Arial" w:cs="Arial" w:eastAsia="Arial" w:hAnsi="Arial"/>
          <w:sz w:val="12"/>
          <w:szCs w:val="12"/>
          <w:color w:val="0E2A35"/>
        </w:rPr>
        <w:t xml:space="preserve">These amounts represent the grant date fair value computed in accordance with ASC 718 of the LTIP / performance share awards. These amounts for fiscal 2021-2023 LTIP represent the values that are based on achievement of 100% of the target performance. Assuming achievement of the maximum 200% of target performance, the value of the fiscal 2021-2023 LTIP awards would be: $3,500,002 for Mr. Happe; $656,278 for Mr. Hughes; $989,974 for Mr. Bower; and $589,364 for Mr. Hazelton.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2021 Form 10-K.</w:t>
      </w:r>
    </w:p>
    <w:p>
      <w:pPr>
        <w:spacing w:after="0" w:line="39" w:lineRule="exact"/>
        <w:rPr>
          <w:rFonts w:ascii="Arial" w:cs="Arial" w:eastAsia="Arial" w:hAnsi="Arial"/>
          <w:sz w:val="12"/>
          <w:szCs w:val="12"/>
          <w:color w:val="0E2A35"/>
        </w:rPr>
      </w:pPr>
    </w:p>
    <w:p>
      <w:pPr>
        <w:ind w:left="1580" w:right="1000" w:hanging="360"/>
        <w:spacing w:after="0" w:line="230" w:lineRule="auto"/>
        <w:tabs>
          <w:tab w:leader="none" w:pos="158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Mr. Bower joined the Company in October 2020. Mr. Bower received a new hire RSU award which is included in the Non-Performance-Based Restricted Stock Grant column.</w:t>
      </w:r>
    </w:p>
    <w:p>
      <w:pPr>
        <w:spacing w:after="0" w:line="37" w:lineRule="exact"/>
        <w:rPr>
          <w:rFonts w:ascii="Arial" w:cs="Arial" w:eastAsia="Arial" w:hAnsi="Arial"/>
          <w:sz w:val="13"/>
          <w:szCs w:val="13"/>
          <w:color w:val="0E2A35"/>
        </w:rPr>
      </w:pPr>
    </w:p>
    <w:p>
      <w:pPr>
        <w:jc w:val="both"/>
        <w:ind w:left="1220" w:right="1160" w:hanging="360"/>
        <w:spacing w:after="0" w:line="259" w:lineRule="auto"/>
        <w:tabs>
          <w:tab w:leader="none" w:pos="1220" w:val="left"/>
        </w:tabs>
        <w:numPr>
          <w:ilvl w:val="0"/>
          <w:numId w:val="46"/>
        </w:numPr>
        <w:rPr>
          <w:rFonts w:ascii="Arial" w:cs="Arial" w:eastAsia="Arial" w:hAnsi="Arial"/>
          <w:sz w:val="12"/>
          <w:szCs w:val="12"/>
          <w:color w:val="0E2A35"/>
        </w:rPr>
      </w:pPr>
      <w:r>
        <w:rPr>
          <w:rFonts w:ascii="Arial" w:cs="Arial" w:eastAsia="Arial" w:hAnsi="Arial"/>
          <w:sz w:val="12"/>
          <w:szCs w:val="12"/>
          <w:color w:val="0E2A35"/>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2021 Form 10-K.</w:t>
      </w:r>
    </w:p>
    <w:p>
      <w:pPr>
        <w:spacing w:after="0" w:line="26" w:lineRule="exact"/>
        <w:rPr>
          <w:rFonts w:ascii="Arial" w:cs="Arial" w:eastAsia="Arial" w:hAnsi="Arial"/>
          <w:sz w:val="12"/>
          <w:szCs w:val="12"/>
          <w:color w:val="0E2A35"/>
        </w:rPr>
      </w:pPr>
    </w:p>
    <w:p>
      <w:pPr>
        <w:ind w:left="1220" w:right="980" w:hanging="360"/>
        <w:spacing w:after="0" w:line="222" w:lineRule="auto"/>
        <w:tabs>
          <w:tab w:leader="none" w:pos="122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These amounts represent actual annual incentive plan award payouts made in cash to NEOs under the 2019, 2020, and 2021 OICPs. In the case of Mr. Clark, these amounts do not represent award payouts under such OICPs, but instead represent award payouts under the pre-existing Grand Design MIP that he participates in. Mr. Bower elected to defer into the Deferral Compensation Plan 20% of his fiscal 2021 OICP that is eligible for deferral. Mr. Hughes elected to defer into the Deferral Compensation Plan 10% of his base salary and 100% of his fiscal 2021 OICP that is eligible for deferral and 25% of his annual incentive plan payout for fiscal 2020 and 2019.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54</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9" w:name="page60"/>
    <w:bookmarkEnd w:id="5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hanging="360"/>
        <w:spacing w:after="0"/>
        <w:tabs>
          <w:tab w:leader="none" w:pos="122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Amounts reported in this column for fiscal 2021 include the following:</w:t>
      </w:r>
    </w:p>
    <w:p>
      <w:pPr>
        <w:spacing w:after="0" w:line="140" w:lineRule="exact"/>
        <w:rPr>
          <w:sz w:val="20"/>
          <w:szCs w:val="20"/>
          <w:color w:val="auto"/>
        </w:rPr>
      </w:pPr>
    </w:p>
    <w:tbl>
      <w:tblPr>
        <w:tblLayout w:type="fixed"/>
        <w:tblInd w:w="1220" w:type="dxa"/>
        <w:tblCellMar>
          <w:top w:w="0" w:type="dxa"/>
          <w:left w:w="0" w:type="dxa"/>
          <w:bottom w:w="0" w:type="dxa"/>
          <w:right w:w="0" w:type="dxa"/>
        </w:tblCellMar>
      </w:tblPr>
      <w:tr>
        <w:trPr>
          <w:trHeight w:val="221"/>
        </w:trPr>
        <w:tc>
          <w:tcPr>
            <w:tcW w:w="2160" w:type="dxa"/>
            <w:vAlign w:val="bottom"/>
            <w:shd w:val="clear" w:color="auto" w:fill="0E2A35"/>
          </w:tcPr>
          <w:p>
            <w:pPr>
              <w:spacing w:after="0"/>
              <w:rPr>
                <w:sz w:val="19"/>
                <w:szCs w:val="19"/>
                <w:color w:val="auto"/>
              </w:rPr>
            </w:pPr>
          </w:p>
        </w:tc>
        <w:tc>
          <w:tcPr>
            <w:tcW w:w="1640" w:type="dxa"/>
            <w:vAlign w:val="bottom"/>
            <w:shd w:val="clear" w:color="auto" w:fill="0E2A35"/>
          </w:tcPr>
          <w:p>
            <w:pPr>
              <w:spacing w:after="0"/>
              <w:rPr>
                <w:sz w:val="19"/>
                <w:szCs w:val="19"/>
                <w:color w:val="auto"/>
              </w:rPr>
            </w:pPr>
          </w:p>
        </w:tc>
        <w:tc>
          <w:tcPr>
            <w:tcW w:w="1040" w:type="dxa"/>
            <w:vAlign w:val="bottom"/>
            <w:shd w:val="clear" w:color="auto" w:fill="0E2A35"/>
          </w:tcPr>
          <w:p>
            <w:pPr>
              <w:spacing w:after="0"/>
              <w:rPr>
                <w:sz w:val="19"/>
                <w:szCs w:val="19"/>
                <w:color w:val="auto"/>
              </w:rPr>
            </w:pPr>
          </w:p>
        </w:tc>
        <w:tc>
          <w:tcPr>
            <w:tcW w:w="10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Life</w:t>
            </w:r>
          </w:p>
        </w:tc>
        <w:tc>
          <w:tcPr>
            <w:tcW w:w="940" w:type="dxa"/>
            <w:vAlign w:val="bottom"/>
            <w:shd w:val="clear" w:color="auto" w:fill="0E2A35"/>
          </w:tcPr>
          <w:p>
            <w:pPr>
              <w:spacing w:after="0"/>
              <w:rPr>
                <w:sz w:val="19"/>
                <w:szCs w:val="19"/>
                <w:color w:val="auto"/>
              </w:rPr>
            </w:pPr>
          </w:p>
        </w:tc>
        <w:tc>
          <w:tcPr>
            <w:tcW w:w="88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r>
      <w:tr>
        <w:trPr>
          <w:trHeight w:val="135"/>
        </w:trPr>
        <w:tc>
          <w:tcPr>
            <w:tcW w:w="2160" w:type="dxa"/>
            <w:vAlign w:val="bottom"/>
            <w:shd w:val="clear" w:color="auto" w:fill="0E2A35"/>
          </w:tcPr>
          <w:p>
            <w:pPr>
              <w:spacing w:after="0"/>
              <w:rPr>
                <w:sz w:val="11"/>
                <w:szCs w:val="11"/>
                <w:color w:val="auto"/>
              </w:rPr>
            </w:pPr>
          </w:p>
        </w:tc>
        <w:tc>
          <w:tcPr>
            <w:tcW w:w="1640" w:type="dxa"/>
            <w:vAlign w:val="bottom"/>
            <w:shd w:val="clear" w:color="auto" w:fill="0E2A35"/>
          </w:tcPr>
          <w:p>
            <w:pPr>
              <w:jc w:val="center"/>
              <w:ind w:left="552"/>
              <w:spacing w:after="0" w:line="135" w:lineRule="exact"/>
              <w:rPr>
                <w:sz w:val="20"/>
                <w:szCs w:val="20"/>
                <w:color w:val="auto"/>
              </w:rPr>
            </w:pPr>
            <w:r>
              <w:rPr>
                <w:rFonts w:ascii="Arial" w:cs="Arial" w:eastAsia="Arial" w:hAnsi="Arial"/>
                <w:sz w:val="13"/>
                <w:szCs w:val="13"/>
                <w:b w:val="1"/>
                <w:bCs w:val="1"/>
                <w:color w:val="FFFFFF"/>
                <w:w w:val="93"/>
              </w:rPr>
              <w:t>Tax and</w:t>
            </w:r>
          </w:p>
        </w:tc>
        <w:tc>
          <w:tcPr>
            <w:tcW w:w="1040" w:type="dxa"/>
            <w:vAlign w:val="bottom"/>
            <w:shd w:val="clear" w:color="auto" w:fill="0E2A35"/>
          </w:tcPr>
          <w:p>
            <w:pPr>
              <w:spacing w:after="0"/>
              <w:rPr>
                <w:sz w:val="11"/>
                <w:szCs w:val="11"/>
                <w:color w:val="auto"/>
              </w:rPr>
            </w:pPr>
          </w:p>
        </w:tc>
        <w:tc>
          <w:tcPr>
            <w:tcW w:w="10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4"/>
              </w:rPr>
              <w:t>Insurance</w:t>
            </w:r>
          </w:p>
        </w:tc>
        <w:tc>
          <w:tcPr>
            <w:tcW w:w="940" w:type="dxa"/>
            <w:vAlign w:val="bottom"/>
            <w:shd w:val="clear" w:color="auto" w:fill="0E2A35"/>
          </w:tcPr>
          <w:p>
            <w:pPr>
              <w:spacing w:after="0"/>
              <w:rPr>
                <w:sz w:val="11"/>
                <w:szCs w:val="11"/>
                <w:color w:val="auto"/>
              </w:rPr>
            </w:pPr>
          </w:p>
        </w:tc>
        <w:tc>
          <w:tcPr>
            <w:tcW w:w="880" w:type="dxa"/>
            <w:vAlign w:val="bottom"/>
            <w:shd w:val="clear" w:color="auto" w:fill="0E2A35"/>
          </w:tcPr>
          <w:p>
            <w:pPr>
              <w:spacing w:after="0"/>
              <w:rPr>
                <w:sz w:val="11"/>
                <w:szCs w:val="11"/>
                <w:color w:val="auto"/>
              </w:rPr>
            </w:pPr>
          </w:p>
        </w:tc>
        <w:tc>
          <w:tcPr>
            <w:tcW w:w="1200" w:type="dxa"/>
            <w:vAlign w:val="bottom"/>
            <w:shd w:val="clear" w:color="auto" w:fill="0E2A35"/>
          </w:tcPr>
          <w:p>
            <w:pPr>
              <w:jc w:val="center"/>
              <w:ind w:left="12"/>
              <w:spacing w:after="0" w:line="135" w:lineRule="exact"/>
              <w:rPr>
                <w:sz w:val="20"/>
                <w:szCs w:val="20"/>
                <w:color w:val="auto"/>
              </w:rPr>
            </w:pPr>
            <w:r>
              <w:rPr>
                <w:rFonts w:ascii="Arial" w:cs="Arial" w:eastAsia="Arial" w:hAnsi="Arial"/>
                <w:sz w:val="13"/>
                <w:szCs w:val="13"/>
                <w:b w:val="1"/>
                <w:bCs w:val="1"/>
                <w:color w:val="FFFFFF"/>
                <w:w w:val="93"/>
              </w:rPr>
              <w:t>Total All</w:t>
            </w:r>
          </w:p>
        </w:tc>
      </w:tr>
      <w:tr>
        <w:trPr>
          <w:trHeight w:val="135"/>
        </w:trPr>
        <w:tc>
          <w:tcPr>
            <w:tcW w:w="2160" w:type="dxa"/>
            <w:vAlign w:val="bottom"/>
            <w:shd w:val="clear" w:color="auto" w:fill="0E2A35"/>
          </w:tcPr>
          <w:p>
            <w:pPr>
              <w:spacing w:after="0"/>
              <w:rPr>
                <w:sz w:val="11"/>
                <w:szCs w:val="11"/>
                <w:color w:val="auto"/>
              </w:rPr>
            </w:pPr>
          </w:p>
        </w:tc>
        <w:tc>
          <w:tcPr>
            <w:tcW w:w="1640" w:type="dxa"/>
            <w:vAlign w:val="bottom"/>
            <w:shd w:val="clear" w:color="auto" w:fill="0E2A35"/>
          </w:tcPr>
          <w:p>
            <w:pPr>
              <w:jc w:val="center"/>
              <w:ind w:left="592"/>
              <w:spacing w:after="0" w:line="135" w:lineRule="exact"/>
              <w:rPr>
                <w:sz w:val="20"/>
                <w:szCs w:val="20"/>
                <w:color w:val="auto"/>
              </w:rPr>
            </w:pPr>
            <w:r>
              <w:rPr>
                <w:rFonts w:ascii="Arial" w:cs="Arial" w:eastAsia="Arial" w:hAnsi="Arial"/>
                <w:sz w:val="13"/>
                <w:szCs w:val="13"/>
                <w:b w:val="1"/>
                <w:bCs w:val="1"/>
                <w:color w:val="FFFFFF"/>
                <w:w w:val="95"/>
              </w:rPr>
              <w:t>Financial</w:t>
            </w: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2"/>
              </w:rPr>
              <w:t>Car</w:t>
            </w:r>
          </w:p>
        </w:tc>
        <w:tc>
          <w:tcPr>
            <w:tcW w:w="10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Premiums</w:t>
            </w:r>
          </w:p>
        </w:tc>
        <w:tc>
          <w:tcPr>
            <w:tcW w:w="940" w:type="dxa"/>
            <w:vAlign w:val="bottom"/>
            <w:shd w:val="clear" w:color="auto" w:fill="0E2A35"/>
          </w:tcPr>
          <w:p>
            <w:pPr>
              <w:spacing w:after="0"/>
              <w:rPr>
                <w:sz w:val="11"/>
                <w:szCs w:val="11"/>
                <w:color w:val="auto"/>
              </w:rPr>
            </w:pPr>
          </w:p>
        </w:tc>
        <w:tc>
          <w:tcPr>
            <w:tcW w:w="8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401(k)</w:t>
            </w: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r>
      <w:tr>
        <w:trPr>
          <w:trHeight w:val="135"/>
        </w:trPr>
        <w:tc>
          <w:tcPr>
            <w:tcW w:w="2160" w:type="dxa"/>
            <w:vAlign w:val="bottom"/>
            <w:shd w:val="clear" w:color="auto" w:fill="0E2A35"/>
          </w:tcPr>
          <w:p>
            <w:pPr>
              <w:spacing w:after="0"/>
              <w:rPr>
                <w:sz w:val="11"/>
                <w:szCs w:val="11"/>
                <w:color w:val="auto"/>
              </w:rPr>
            </w:pPr>
          </w:p>
        </w:tc>
        <w:tc>
          <w:tcPr>
            <w:tcW w:w="1640" w:type="dxa"/>
            <w:vAlign w:val="bottom"/>
            <w:shd w:val="clear" w:color="auto" w:fill="0E2A35"/>
          </w:tcPr>
          <w:p>
            <w:pPr>
              <w:jc w:val="center"/>
              <w:ind w:left="592"/>
              <w:spacing w:after="0" w:line="135" w:lineRule="exact"/>
              <w:rPr>
                <w:sz w:val="20"/>
                <w:szCs w:val="20"/>
                <w:color w:val="auto"/>
              </w:rPr>
            </w:pPr>
            <w:r>
              <w:rPr>
                <w:rFonts w:ascii="Arial" w:cs="Arial" w:eastAsia="Arial" w:hAnsi="Arial"/>
                <w:sz w:val="13"/>
                <w:szCs w:val="13"/>
                <w:b w:val="1"/>
                <w:bCs w:val="1"/>
                <w:color w:val="FFFFFF"/>
                <w:w w:val="98"/>
              </w:rPr>
              <w:t>Planning</w:t>
            </w:r>
          </w:p>
        </w:tc>
        <w:tc>
          <w:tcPr>
            <w:tcW w:w="10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Allowance</w:t>
            </w:r>
          </w:p>
        </w:tc>
        <w:tc>
          <w:tcPr>
            <w:tcW w:w="10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STD &amp; LTD</w:t>
            </w:r>
          </w:p>
        </w:tc>
        <w:tc>
          <w:tcPr>
            <w:tcW w:w="9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880" w:type="dxa"/>
            <w:vAlign w:val="bottom"/>
            <w:shd w:val="clear" w:color="auto" w:fill="0E2A35"/>
          </w:tcPr>
          <w:p>
            <w:pPr>
              <w:jc w:val="right"/>
              <w:ind w:right="211"/>
              <w:spacing w:after="0" w:line="135" w:lineRule="exact"/>
              <w:rPr>
                <w:sz w:val="20"/>
                <w:szCs w:val="20"/>
                <w:color w:val="auto"/>
              </w:rPr>
            </w:pPr>
            <w:r>
              <w:rPr>
                <w:rFonts w:ascii="Arial" w:cs="Arial" w:eastAsia="Arial" w:hAnsi="Arial"/>
                <w:sz w:val="13"/>
                <w:szCs w:val="13"/>
                <w:b w:val="1"/>
                <w:bCs w:val="1"/>
                <w:color w:val="FFFFFF"/>
              </w:rPr>
              <w:t>Match</w:t>
            </w:r>
          </w:p>
        </w:tc>
        <w:tc>
          <w:tcPr>
            <w:tcW w:w="1200" w:type="dxa"/>
            <w:vAlign w:val="bottom"/>
            <w:shd w:val="clear" w:color="auto" w:fill="0E2A35"/>
          </w:tcPr>
          <w:p>
            <w:pPr>
              <w:jc w:val="center"/>
              <w:ind w:left="12"/>
              <w:spacing w:after="0" w:line="135" w:lineRule="exact"/>
              <w:rPr>
                <w:sz w:val="20"/>
                <w:szCs w:val="20"/>
                <w:color w:val="auto"/>
              </w:rPr>
            </w:pPr>
            <w:r>
              <w:rPr>
                <w:rFonts w:ascii="Arial" w:cs="Arial" w:eastAsia="Arial" w:hAnsi="Arial"/>
                <w:sz w:val="13"/>
                <w:szCs w:val="13"/>
                <w:b w:val="1"/>
                <w:bCs w:val="1"/>
                <w:color w:val="FFFFFF"/>
                <w:w w:val="97"/>
              </w:rPr>
              <w:t>Compensation</w:t>
            </w:r>
          </w:p>
        </w:tc>
      </w:tr>
      <w:tr>
        <w:trPr>
          <w:trHeight w:val="168"/>
        </w:trPr>
        <w:tc>
          <w:tcPr>
            <w:tcW w:w="21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1640" w:type="dxa"/>
            <w:vAlign w:val="bottom"/>
            <w:shd w:val="clear" w:color="auto" w:fill="0E2A35"/>
          </w:tcPr>
          <w:p>
            <w:pPr>
              <w:jc w:val="center"/>
              <w:ind w:left="612"/>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880" w:type="dxa"/>
            <w:vAlign w:val="bottom"/>
            <w:shd w:val="clear" w:color="auto" w:fill="0E2A35"/>
          </w:tcPr>
          <w:p>
            <w:pPr>
              <w:jc w:val="right"/>
              <w:ind w:right="311"/>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E2A35"/>
          </w:tcPr>
          <w:p>
            <w:pPr>
              <w:jc w:val="center"/>
              <w:ind w:left="12"/>
              <w:spacing w:after="0"/>
              <w:rPr>
                <w:sz w:val="20"/>
                <w:szCs w:val="20"/>
                <w:color w:val="auto"/>
              </w:rPr>
            </w:pPr>
            <w:r>
              <w:rPr>
                <w:rFonts w:ascii="Arial" w:cs="Arial" w:eastAsia="Arial" w:hAnsi="Arial"/>
                <w:sz w:val="13"/>
                <w:szCs w:val="13"/>
                <w:b w:val="1"/>
                <w:bCs w:val="1"/>
                <w:color w:val="FFFFFF"/>
              </w:rPr>
              <w:t>($)</w:t>
            </w:r>
          </w:p>
        </w:tc>
      </w:tr>
      <w:tr>
        <w:trPr>
          <w:trHeight w:val="83"/>
        </w:trPr>
        <w:tc>
          <w:tcPr>
            <w:tcW w:w="2160" w:type="dxa"/>
            <w:vAlign w:val="bottom"/>
            <w:shd w:val="clear" w:color="auto" w:fill="0E2A35"/>
          </w:tcPr>
          <w:p>
            <w:pPr>
              <w:spacing w:after="0"/>
              <w:rPr>
                <w:sz w:val="7"/>
                <w:szCs w:val="7"/>
                <w:color w:val="auto"/>
              </w:rPr>
            </w:pPr>
          </w:p>
        </w:tc>
        <w:tc>
          <w:tcPr>
            <w:tcW w:w="164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1060" w:type="dxa"/>
            <w:vAlign w:val="bottom"/>
            <w:shd w:val="clear" w:color="auto" w:fill="0E2A35"/>
          </w:tcPr>
          <w:p>
            <w:pPr>
              <w:spacing w:after="0"/>
              <w:rPr>
                <w:sz w:val="7"/>
                <w:szCs w:val="7"/>
                <w:color w:val="auto"/>
              </w:rPr>
            </w:pPr>
          </w:p>
        </w:tc>
        <w:tc>
          <w:tcPr>
            <w:tcW w:w="940" w:type="dxa"/>
            <w:vAlign w:val="bottom"/>
            <w:shd w:val="clear" w:color="auto" w:fill="0E2A35"/>
          </w:tcPr>
          <w:p>
            <w:pPr>
              <w:spacing w:after="0"/>
              <w:rPr>
                <w:sz w:val="7"/>
                <w:szCs w:val="7"/>
                <w:color w:val="auto"/>
              </w:rPr>
            </w:pPr>
          </w:p>
        </w:tc>
        <w:tc>
          <w:tcPr>
            <w:tcW w:w="880" w:type="dxa"/>
            <w:vAlign w:val="bottom"/>
            <w:shd w:val="clear" w:color="auto" w:fill="0E2A35"/>
          </w:tcPr>
          <w:p>
            <w:pPr>
              <w:spacing w:after="0"/>
              <w:rPr>
                <w:sz w:val="7"/>
                <w:szCs w:val="7"/>
                <w:color w:val="auto"/>
              </w:rPr>
            </w:pPr>
          </w:p>
        </w:tc>
        <w:tc>
          <w:tcPr>
            <w:tcW w:w="1200" w:type="dxa"/>
            <w:vAlign w:val="bottom"/>
            <w:shd w:val="clear" w:color="auto" w:fill="0E2A35"/>
          </w:tcPr>
          <w:p>
            <w:pPr>
              <w:spacing w:after="0"/>
              <w:rPr>
                <w:sz w:val="7"/>
                <w:szCs w:val="7"/>
                <w:color w:val="auto"/>
              </w:rPr>
            </w:pPr>
          </w:p>
        </w:tc>
      </w:tr>
      <w:tr>
        <w:trPr>
          <w:trHeight w:val="272"/>
        </w:trPr>
        <w:tc>
          <w:tcPr>
            <w:tcW w:w="216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1640" w:type="dxa"/>
            <w:vAlign w:val="bottom"/>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Pr>
          <w:p>
            <w:pPr>
              <w:jc w:val="right"/>
              <w:ind w:right="111"/>
              <w:spacing w:after="0"/>
              <w:rPr>
                <w:sz w:val="20"/>
                <w:szCs w:val="20"/>
                <w:color w:val="auto"/>
              </w:rPr>
            </w:pPr>
            <w:r>
              <w:rPr>
                <w:rFonts w:ascii="Arial" w:cs="Arial" w:eastAsia="Arial" w:hAnsi="Arial"/>
                <w:sz w:val="14"/>
                <w:szCs w:val="14"/>
                <w:color w:val="0E2A35"/>
              </w:rPr>
              <w:t>17,992</w:t>
            </w:r>
          </w:p>
        </w:tc>
        <w:tc>
          <w:tcPr>
            <w:tcW w:w="1060" w:type="dxa"/>
            <w:vAlign w:val="bottom"/>
          </w:tcPr>
          <w:p>
            <w:pPr>
              <w:jc w:val="right"/>
              <w:ind w:right="133"/>
              <w:spacing w:after="0"/>
              <w:rPr>
                <w:sz w:val="20"/>
                <w:szCs w:val="20"/>
                <w:color w:val="auto"/>
              </w:rPr>
            </w:pPr>
            <w:r>
              <w:rPr>
                <w:rFonts w:ascii="Arial" w:cs="Arial" w:eastAsia="Arial" w:hAnsi="Arial"/>
                <w:sz w:val="14"/>
                <w:szCs w:val="14"/>
                <w:color w:val="0E2A35"/>
              </w:rPr>
              <w:t>15,535</w:t>
            </w:r>
          </w:p>
        </w:tc>
        <w:tc>
          <w:tcPr>
            <w:tcW w:w="9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880" w:type="dxa"/>
            <w:vAlign w:val="bottom"/>
          </w:tcPr>
          <w:p>
            <w:pPr>
              <w:jc w:val="right"/>
              <w:ind w:right="151"/>
              <w:spacing w:after="0"/>
              <w:rPr>
                <w:sz w:val="20"/>
                <w:szCs w:val="20"/>
                <w:color w:val="auto"/>
              </w:rPr>
            </w:pPr>
            <w:r>
              <w:rPr>
                <w:rFonts w:ascii="Arial" w:cs="Arial" w:eastAsia="Arial" w:hAnsi="Arial"/>
                <w:sz w:val="14"/>
                <w:szCs w:val="14"/>
                <w:color w:val="0E2A35"/>
              </w:rPr>
              <w:t>7,875</w:t>
            </w:r>
          </w:p>
        </w:tc>
        <w:tc>
          <w:tcPr>
            <w:tcW w:w="1200" w:type="dxa"/>
            <w:vAlign w:val="bottom"/>
          </w:tcPr>
          <w:p>
            <w:pPr>
              <w:jc w:val="center"/>
              <w:spacing w:after="0"/>
              <w:rPr>
                <w:sz w:val="20"/>
                <w:szCs w:val="20"/>
                <w:color w:val="auto"/>
              </w:rPr>
            </w:pPr>
            <w:r>
              <w:rPr>
                <w:rFonts w:ascii="Arial" w:cs="Arial" w:eastAsia="Arial" w:hAnsi="Arial"/>
                <w:sz w:val="14"/>
                <w:szCs w:val="14"/>
                <w:color w:val="0E2A35"/>
              </w:rPr>
              <w:t>49,202</w:t>
            </w:r>
          </w:p>
        </w:tc>
      </w:tr>
      <w:tr>
        <w:trPr>
          <w:trHeight w:val="79"/>
        </w:trPr>
        <w:tc>
          <w:tcPr>
            <w:tcW w:w="2160" w:type="dxa"/>
            <w:vAlign w:val="bottom"/>
            <w:tcBorders>
              <w:bottom w:val="single" w:sz="8" w:color="0E2A35"/>
            </w:tcBorders>
          </w:tcPr>
          <w:p>
            <w:pPr>
              <w:spacing w:after="0"/>
              <w:rPr>
                <w:sz w:val="6"/>
                <w:szCs w:val="6"/>
                <w:color w:val="auto"/>
              </w:rPr>
            </w:pPr>
          </w:p>
        </w:tc>
        <w:tc>
          <w:tcPr>
            <w:tcW w:w="164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60" w:type="dxa"/>
            <w:vAlign w:val="bottom"/>
            <w:tcBorders>
              <w:bottom w:val="single" w:sz="8" w:color="0E2A35"/>
            </w:tcBorders>
          </w:tcPr>
          <w:p>
            <w:pPr>
              <w:spacing w:after="0"/>
              <w:rPr>
                <w:sz w:val="6"/>
                <w:szCs w:val="6"/>
                <w:color w:val="auto"/>
              </w:rPr>
            </w:pPr>
          </w:p>
        </w:tc>
        <w:tc>
          <w:tcPr>
            <w:tcW w:w="9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r>
      <w:tr>
        <w:trPr>
          <w:trHeight w:val="345"/>
        </w:trPr>
        <w:tc>
          <w:tcPr>
            <w:tcW w:w="21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Bryan L. Hughes</w:t>
            </w:r>
          </w:p>
        </w:tc>
        <w:tc>
          <w:tcPr>
            <w:tcW w:w="1640" w:type="dxa"/>
            <w:vAlign w:val="bottom"/>
            <w:tcBorders>
              <w:bottom w:val="single" w:sz="8" w:color="0E2A35"/>
            </w:tcBorders>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17,992</w:t>
            </w:r>
          </w:p>
        </w:tc>
        <w:tc>
          <w:tcPr>
            <w:tcW w:w="1060" w:type="dxa"/>
            <w:vAlign w:val="bottom"/>
            <w:tcBorders>
              <w:bottom w:val="single" w:sz="8" w:color="0E2A35"/>
            </w:tcBorders>
          </w:tcPr>
          <w:p>
            <w:pPr>
              <w:jc w:val="right"/>
              <w:ind w:right="133"/>
              <w:spacing w:after="0"/>
              <w:rPr>
                <w:sz w:val="20"/>
                <w:szCs w:val="20"/>
                <w:color w:val="auto"/>
              </w:rPr>
            </w:pPr>
            <w:r>
              <w:rPr>
                <w:rFonts w:ascii="Arial" w:cs="Arial" w:eastAsia="Arial" w:hAnsi="Arial"/>
                <w:sz w:val="14"/>
                <w:szCs w:val="14"/>
                <w:color w:val="0E2A35"/>
              </w:rPr>
              <w:t>6,817</w:t>
            </w:r>
          </w:p>
        </w:tc>
        <w:tc>
          <w:tcPr>
            <w:tcW w:w="9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2,665</w:t>
            </w:r>
            <w:r>
              <w:rPr>
                <w:rFonts w:ascii="Arial" w:cs="Arial" w:eastAsia="Arial" w:hAnsi="Arial"/>
                <w:sz w:val="23"/>
                <w:szCs w:val="23"/>
                <w:color w:val="0E2A35"/>
                <w:vertAlign w:val="superscript"/>
              </w:rPr>
              <w:t>(a)</w:t>
            </w:r>
          </w:p>
        </w:tc>
        <w:tc>
          <w:tcPr>
            <w:tcW w:w="880" w:type="dxa"/>
            <w:vAlign w:val="bottom"/>
            <w:tcBorders>
              <w:bottom w:val="single" w:sz="8" w:color="0E2A35"/>
            </w:tcBorders>
          </w:tcPr>
          <w:p>
            <w:pPr>
              <w:jc w:val="right"/>
              <w:ind w:right="151"/>
              <w:spacing w:after="0"/>
              <w:rPr>
                <w:sz w:val="20"/>
                <w:szCs w:val="20"/>
                <w:color w:val="auto"/>
              </w:rPr>
            </w:pPr>
            <w:r>
              <w:rPr>
                <w:rFonts w:ascii="Arial" w:cs="Arial" w:eastAsia="Arial" w:hAnsi="Arial"/>
                <w:sz w:val="14"/>
                <w:szCs w:val="14"/>
                <w:color w:val="0E2A35"/>
              </w:rPr>
              <w:t>10,150</w:t>
            </w:r>
          </w:p>
        </w:tc>
        <w:tc>
          <w:tcPr>
            <w:tcW w:w="1200" w:type="dxa"/>
            <w:vAlign w:val="bottom"/>
            <w:tcBorders>
              <w:bottom w:val="single" w:sz="8" w:color="0E2A35"/>
            </w:tcBorders>
          </w:tcPr>
          <w:p>
            <w:pPr>
              <w:ind w:left="440"/>
              <w:spacing w:after="0"/>
              <w:rPr>
                <w:sz w:val="20"/>
                <w:szCs w:val="20"/>
                <w:color w:val="auto"/>
              </w:rPr>
            </w:pPr>
            <w:r>
              <w:rPr>
                <w:rFonts w:ascii="Arial" w:cs="Arial" w:eastAsia="Arial" w:hAnsi="Arial"/>
                <w:sz w:val="14"/>
                <w:szCs w:val="14"/>
                <w:color w:val="0E2A35"/>
              </w:rPr>
              <w:t>45,914</w:t>
            </w:r>
            <w:r>
              <w:rPr>
                <w:rFonts w:ascii="Arial" w:cs="Arial" w:eastAsia="Arial" w:hAnsi="Arial"/>
                <w:sz w:val="23"/>
                <w:szCs w:val="23"/>
                <w:color w:val="0E2A35"/>
                <w:vertAlign w:val="superscript"/>
              </w:rPr>
              <w:t>(b)</w:t>
            </w:r>
          </w:p>
        </w:tc>
      </w:tr>
      <w:tr>
        <w:trPr>
          <w:trHeight w:val="265"/>
        </w:trPr>
        <w:tc>
          <w:tcPr>
            <w:tcW w:w="2160" w:type="dxa"/>
            <w:vAlign w:val="bottom"/>
          </w:tcPr>
          <w:p>
            <w:pPr>
              <w:ind w:left="140"/>
              <w:spacing w:after="0"/>
              <w:rPr>
                <w:sz w:val="20"/>
                <w:szCs w:val="20"/>
                <w:color w:val="auto"/>
              </w:rPr>
            </w:pPr>
            <w:r>
              <w:rPr>
                <w:rFonts w:ascii="Arial" w:cs="Arial" w:eastAsia="Arial" w:hAnsi="Arial"/>
                <w:sz w:val="14"/>
                <w:szCs w:val="14"/>
                <w:color w:val="0E2A35"/>
              </w:rPr>
              <w:t>Huw S. Bower</w:t>
            </w:r>
          </w:p>
        </w:tc>
        <w:tc>
          <w:tcPr>
            <w:tcW w:w="1640" w:type="dxa"/>
            <w:vAlign w:val="bottom"/>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Pr>
          <w:p>
            <w:pPr>
              <w:jc w:val="right"/>
              <w:ind w:right="111"/>
              <w:spacing w:after="0"/>
              <w:rPr>
                <w:sz w:val="20"/>
                <w:szCs w:val="20"/>
                <w:color w:val="auto"/>
              </w:rPr>
            </w:pPr>
            <w:r>
              <w:rPr>
                <w:rFonts w:ascii="Arial" w:cs="Arial" w:eastAsia="Arial" w:hAnsi="Arial"/>
                <w:sz w:val="14"/>
                <w:szCs w:val="14"/>
                <w:color w:val="0E2A35"/>
              </w:rPr>
              <w:t>17,992</w:t>
            </w:r>
          </w:p>
        </w:tc>
        <w:tc>
          <w:tcPr>
            <w:tcW w:w="1060" w:type="dxa"/>
            <w:vAlign w:val="bottom"/>
          </w:tcPr>
          <w:p>
            <w:pPr>
              <w:jc w:val="right"/>
              <w:ind w:right="133"/>
              <w:spacing w:after="0"/>
              <w:rPr>
                <w:sz w:val="20"/>
                <w:szCs w:val="20"/>
                <w:color w:val="auto"/>
              </w:rPr>
            </w:pPr>
            <w:r>
              <w:rPr>
                <w:rFonts w:ascii="Arial" w:cs="Arial" w:eastAsia="Arial" w:hAnsi="Arial"/>
                <w:sz w:val="14"/>
                <w:szCs w:val="14"/>
                <w:color w:val="0E2A35"/>
              </w:rPr>
              <w:t>2,602</w:t>
            </w:r>
          </w:p>
        </w:tc>
        <w:tc>
          <w:tcPr>
            <w:tcW w:w="9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880" w:type="dxa"/>
            <w:vAlign w:val="bottom"/>
          </w:tcPr>
          <w:p>
            <w:pPr>
              <w:jc w:val="right"/>
              <w:ind w:right="151"/>
              <w:spacing w:after="0"/>
              <w:rPr>
                <w:sz w:val="20"/>
                <w:szCs w:val="20"/>
                <w:color w:val="auto"/>
              </w:rPr>
            </w:pPr>
            <w:r>
              <w:rPr>
                <w:rFonts w:ascii="Arial" w:cs="Arial" w:eastAsia="Arial" w:hAnsi="Arial"/>
                <w:sz w:val="14"/>
                <w:szCs w:val="14"/>
                <w:color w:val="0E2A35"/>
              </w:rPr>
              <w:t>8,553</w:t>
            </w:r>
          </w:p>
        </w:tc>
        <w:tc>
          <w:tcPr>
            <w:tcW w:w="1200" w:type="dxa"/>
            <w:vAlign w:val="bottom"/>
          </w:tcPr>
          <w:p>
            <w:pPr>
              <w:jc w:val="center"/>
              <w:spacing w:after="0"/>
              <w:rPr>
                <w:sz w:val="20"/>
                <w:szCs w:val="20"/>
                <w:color w:val="auto"/>
              </w:rPr>
            </w:pPr>
            <w:r>
              <w:rPr>
                <w:rFonts w:ascii="Arial" w:cs="Arial" w:eastAsia="Arial" w:hAnsi="Arial"/>
                <w:sz w:val="14"/>
                <w:szCs w:val="14"/>
                <w:color w:val="0E2A35"/>
              </w:rPr>
              <w:t>36,947</w:t>
            </w:r>
          </w:p>
        </w:tc>
      </w:tr>
      <w:tr>
        <w:trPr>
          <w:trHeight w:val="80"/>
        </w:trPr>
        <w:tc>
          <w:tcPr>
            <w:tcW w:w="2160" w:type="dxa"/>
            <w:vAlign w:val="bottom"/>
            <w:tcBorders>
              <w:bottom w:val="single" w:sz="8" w:color="0E2A35"/>
            </w:tcBorders>
          </w:tcPr>
          <w:p>
            <w:pPr>
              <w:spacing w:after="0"/>
              <w:rPr>
                <w:sz w:val="6"/>
                <w:szCs w:val="6"/>
                <w:color w:val="auto"/>
              </w:rPr>
            </w:pPr>
          </w:p>
        </w:tc>
        <w:tc>
          <w:tcPr>
            <w:tcW w:w="164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60" w:type="dxa"/>
            <w:vAlign w:val="bottom"/>
            <w:tcBorders>
              <w:bottom w:val="single" w:sz="8" w:color="0E2A35"/>
            </w:tcBorders>
          </w:tcPr>
          <w:p>
            <w:pPr>
              <w:spacing w:after="0"/>
              <w:rPr>
                <w:sz w:val="6"/>
                <w:szCs w:val="6"/>
                <w:color w:val="auto"/>
              </w:rPr>
            </w:pPr>
          </w:p>
        </w:tc>
        <w:tc>
          <w:tcPr>
            <w:tcW w:w="9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r>
      <w:tr>
        <w:trPr>
          <w:trHeight w:val="265"/>
        </w:trPr>
        <w:tc>
          <w:tcPr>
            <w:tcW w:w="2160" w:type="dxa"/>
            <w:vAlign w:val="bottom"/>
          </w:tcPr>
          <w:p>
            <w:pPr>
              <w:ind w:left="140"/>
              <w:spacing w:after="0"/>
              <w:rPr>
                <w:sz w:val="20"/>
                <w:szCs w:val="20"/>
                <w:color w:val="auto"/>
              </w:rPr>
            </w:pPr>
            <w:r>
              <w:rPr>
                <w:rFonts w:ascii="Arial" w:cs="Arial" w:eastAsia="Arial" w:hAnsi="Arial"/>
                <w:sz w:val="14"/>
                <w:szCs w:val="14"/>
                <w:color w:val="0E2A35"/>
              </w:rPr>
              <w:t>Donald J. Clark</w:t>
            </w:r>
          </w:p>
        </w:tc>
        <w:tc>
          <w:tcPr>
            <w:tcW w:w="1640" w:type="dxa"/>
            <w:vAlign w:val="bottom"/>
          </w:tcPr>
          <w:p>
            <w:pPr>
              <w:jc w:val="right"/>
              <w:ind w:right="132"/>
              <w:spacing w:after="0"/>
              <w:rPr>
                <w:sz w:val="20"/>
                <w:szCs w:val="20"/>
                <w:color w:val="auto"/>
              </w:rPr>
            </w:pPr>
            <w:r>
              <w:rPr>
                <w:rFonts w:ascii="Arial" w:cs="Arial" w:eastAsia="Arial" w:hAnsi="Arial"/>
                <w:sz w:val="14"/>
                <w:szCs w:val="14"/>
                <w:color w:val="0E2A35"/>
              </w:rPr>
              <w:t>—</w:t>
            </w:r>
          </w:p>
        </w:tc>
        <w:tc>
          <w:tcPr>
            <w:tcW w:w="104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060" w:type="dxa"/>
            <w:vAlign w:val="bottom"/>
          </w:tcPr>
          <w:p>
            <w:pPr>
              <w:jc w:val="right"/>
              <w:ind w:right="133"/>
              <w:spacing w:after="0"/>
              <w:rPr>
                <w:sz w:val="20"/>
                <w:szCs w:val="20"/>
                <w:color w:val="auto"/>
              </w:rPr>
            </w:pPr>
            <w:r>
              <w:rPr>
                <w:rFonts w:ascii="Arial" w:cs="Arial" w:eastAsia="Arial" w:hAnsi="Arial"/>
                <w:sz w:val="14"/>
                <w:szCs w:val="14"/>
                <w:color w:val="0E2A35"/>
              </w:rPr>
              <w:t>—</w:t>
            </w:r>
          </w:p>
        </w:tc>
        <w:tc>
          <w:tcPr>
            <w:tcW w:w="9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880" w:type="dxa"/>
            <w:vAlign w:val="bottom"/>
          </w:tcPr>
          <w:p>
            <w:pPr>
              <w:jc w:val="right"/>
              <w:ind w:right="151"/>
              <w:spacing w:after="0"/>
              <w:rPr>
                <w:sz w:val="20"/>
                <w:szCs w:val="20"/>
                <w:color w:val="auto"/>
              </w:rPr>
            </w:pPr>
            <w:r>
              <w:rPr>
                <w:rFonts w:ascii="Arial" w:cs="Arial" w:eastAsia="Arial" w:hAnsi="Arial"/>
                <w:sz w:val="14"/>
                <w:szCs w:val="14"/>
                <w:color w:val="0E2A35"/>
              </w:rPr>
              <w:t>—</w:t>
            </w:r>
          </w:p>
        </w:tc>
        <w:tc>
          <w:tcPr>
            <w:tcW w:w="1200" w:type="dxa"/>
            <w:vAlign w:val="bottom"/>
          </w:tcPr>
          <w:p>
            <w:pPr>
              <w:ind w:left="720"/>
              <w:spacing w:after="0"/>
              <w:rPr>
                <w:sz w:val="20"/>
                <w:szCs w:val="20"/>
                <w:color w:val="auto"/>
              </w:rPr>
            </w:pPr>
            <w:r>
              <w:rPr>
                <w:rFonts w:ascii="Arial" w:cs="Arial" w:eastAsia="Arial" w:hAnsi="Arial"/>
                <w:sz w:val="14"/>
                <w:szCs w:val="14"/>
                <w:color w:val="0E2A35"/>
              </w:rPr>
              <w:t>—</w:t>
            </w:r>
          </w:p>
        </w:tc>
      </w:tr>
      <w:tr>
        <w:trPr>
          <w:trHeight w:val="80"/>
        </w:trPr>
        <w:tc>
          <w:tcPr>
            <w:tcW w:w="2160" w:type="dxa"/>
            <w:vAlign w:val="bottom"/>
            <w:tcBorders>
              <w:bottom w:val="single" w:sz="8" w:color="0E2A35"/>
            </w:tcBorders>
          </w:tcPr>
          <w:p>
            <w:pPr>
              <w:spacing w:after="0"/>
              <w:rPr>
                <w:sz w:val="6"/>
                <w:szCs w:val="6"/>
                <w:color w:val="auto"/>
              </w:rPr>
            </w:pPr>
          </w:p>
        </w:tc>
        <w:tc>
          <w:tcPr>
            <w:tcW w:w="164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60" w:type="dxa"/>
            <w:vAlign w:val="bottom"/>
            <w:tcBorders>
              <w:bottom w:val="single" w:sz="8" w:color="0E2A35"/>
            </w:tcBorders>
          </w:tcPr>
          <w:p>
            <w:pPr>
              <w:spacing w:after="0"/>
              <w:rPr>
                <w:sz w:val="6"/>
                <w:szCs w:val="6"/>
                <w:color w:val="auto"/>
              </w:rPr>
            </w:pPr>
          </w:p>
        </w:tc>
        <w:tc>
          <w:tcPr>
            <w:tcW w:w="94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r>
      <w:tr>
        <w:trPr>
          <w:trHeight w:val="304"/>
        </w:trPr>
        <w:tc>
          <w:tcPr>
            <w:tcW w:w="21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Brian D. Hazelton</w:t>
            </w:r>
          </w:p>
        </w:tc>
        <w:tc>
          <w:tcPr>
            <w:tcW w:w="1640" w:type="dxa"/>
            <w:vAlign w:val="bottom"/>
            <w:tcBorders>
              <w:bottom w:val="single" w:sz="8" w:color="0E2A35"/>
            </w:tcBorders>
          </w:tcPr>
          <w:p>
            <w:pPr>
              <w:jc w:val="right"/>
              <w:ind w:right="132"/>
              <w:spacing w:after="0"/>
              <w:rPr>
                <w:sz w:val="20"/>
                <w:szCs w:val="20"/>
                <w:color w:val="auto"/>
              </w:rPr>
            </w:pPr>
            <w:r>
              <w:rPr>
                <w:rFonts w:ascii="Arial" w:cs="Arial" w:eastAsia="Arial" w:hAnsi="Arial"/>
                <w:sz w:val="14"/>
                <w:szCs w:val="14"/>
                <w:color w:val="0E2A35"/>
              </w:rPr>
              <w:t>7,800</w:t>
            </w:r>
          </w:p>
        </w:tc>
        <w:tc>
          <w:tcPr>
            <w:tcW w:w="104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17,992</w:t>
            </w:r>
          </w:p>
        </w:tc>
        <w:tc>
          <w:tcPr>
            <w:tcW w:w="1060" w:type="dxa"/>
            <w:vAlign w:val="bottom"/>
            <w:tcBorders>
              <w:bottom w:val="single" w:sz="8" w:color="0E2A35"/>
            </w:tcBorders>
          </w:tcPr>
          <w:p>
            <w:pPr>
              <w:jc w:val="right"/>
              <w:ind w:right="133"/>
              <w:spacing w:after="0"/>
              <w:rPr>
                <w:sz w:val="20"/>
                <w:szCs w:val="20"/>
                <w:color w:val="auto"/>
              </w:rPr>
            </w:pPr>
            <w:r>
              <w:rPr>
                <w:rFonts w:ascii="Arial" w:cs="Arial" w:eastAsia="Arial" w:hAnsi="Arial"/>
                <w:sz w:val="14"/>
                <w:szCs w:val="14"/>
                <w:color w:val="0E2A35"/>
              </w:rPr>
              <w:t>8,236</w:t>
            </w:r>
          </w:p>
        </w:tc>
        <w:tc>
          <w:tcPr>
            <w:tcW w:w="94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9"/>
              </w:rPr>
              <w:t>—</w:t>
            </w:r>
          </w:p>
        </w:tc>
        <w:tc>
          <w:tcPr>
            <w:tcW w:w="880" w:type="dxa"/>
            <w:vAlign w:val="bottom"/>
            <w:tcBorders>
              <w:bottom w:val="single" w:sz="8" w:color="0E2A35"/>
            </w:tcBorders>
          </w:tcPr>
          <w:p>
            <w:pPr>
              <w:jc w:val="right"/>
              <w:ind w:right="151"/>
              <w:spacing w:after="0"/>
              <w:rPr>
                <w:sz w:val="20"/>
                <w:szCs w:val="20"/>
                <w:color w:val="auto"/>
              </w:rPr>
            </w:pPr>
            <w:r>
              <w:rPr>
                <w:rFonts w:ascii="Arial" w:cs="Arial" w:eastAsia="Arial" w:hAnsi="Arial"/>
                <w:sz w:val="14"/>
                <w:szCs w:val="14"/>
                <w:color w:val="0E2A35"/>
              </w:rPr>
              <w:t>10,004</w:t>
            </w:r>
          </w:p>
        </w:tc>
        <w:tc>
          <w:tcPr>
            <w:tcW w:w="1200" w:type="dxa"/>
            <w:vAlign w:val="bottom"/>
            <w:tcBorders>
              <w:bottom w:val="single" w:sz="8" w:color="0E2A35"/>
            </w:tcBorders>
          </w:tcPr>
          <w:p>
            <w:pPr>
              <w:ind w:left="440"/>
              <w:spacing w:after="0"/>
              <w:rPr>
                <w:sz w:val="20"/>
                <w:szCs w:val="20"/>
                <w:color w:val="auto"/>
              </w:rPr>
            </w:pPr>
            <w:r>
              <w:rPr>
                <w:rFonts w:ascii="Arial" w:cs="Arial" w:eastAsia="Arial" w:hAnsi="Arial"/>
                <w:sz w:val="14"/>
                <w:szCs w:val="14"/>
                <w:color w:val="0E2A35"/>
              </w:rPr>
              <w:t>47,299</w:t>
            </w:r>
            <w:r>
              <w:rPr>
                <w:rFonts w:ascii="Arial" w:cs="Arial" w:eastAsia="Arial" w:hAnsi="Arial"/>
                <w:sz w:val="23"/>
                <w:szCs w:val="23"/>
                <w:color w:val="0E2A35"/>
                <w:vertAlign w:val="superscript"/>
              </w:rPr>
              <w:t>(b)</w:t>
            </w:r>
          </w:p>
        </w:tc>
      </w:tr>
    </w:tbl>
    <w:p>
      <w:pPr>
        <w:spacing w:after="0" w:line="102" w:lineRule="exact"/>
        <w:rPr>
          <w:sz w:val="20"/>
          <w:szCs w:val="20"/>
          <w:color w:val="auto"/>
        </w:rPr>
      </w:pPr>
    </w:p>
    <w:p>
      <w:pPr>
        <w:ind w:left="1580" w:right="1360" w:hanging="360"/>
        <w:spacing w:after="0" w:line="230" w:lineRule="auto"/>
        <w:tabs>
          <w:tab w:leader="none" w:pos="1580" w:val="left"/>
        </w:tabs>
        <w:numPr>
          <w:ilvl w:val="1"/>
          <w:numId w:val="48"/>
        </w:numPr>
        <w:rPr>
          <w:rFonts w:ascii="Arial" w:cs="Arial" w:eastAsia="Arial" w:hAnsi="Arial"/>
          <w:sz w:val="13"/>
          <w:szCs w:val="13"/>
          <w:color w:val="0E2A35"/>
        </w:rPr>
      </w:pPr>
      <w:r>
        <w:rPr>
          <w:rFonts w:ascii="Arial" w:cs="Arial" w:eastAsia="Arial" w:hAnsi="Arial"/>
          <w:sz w:val="13"/>
          <w:szCs w:val="13"/>
          <w:color w:val="0E2A35"/>
        </w:rPr>
        <w:t>Represents tax gross-up payment made to Mr. Hughes in connection with the Company’s administrative error related to his non-qualified deferred compensation account.</w:t>
      </w:r>
    </w:p>
    <w:p>
      <w:pPr>
        <w:spacing w:after="0" w:line="37" w:lineRule="exact"/>
        <w:rPr>
          <w:rFonts w:ascii="Arial" w:cs="Arial" w:eastAsia="Arial" w:hAnsi="Arial"/>
          <w:sz w:val="13"/>
          <w:szCs w:val="13"/>
          <w:color w:val="0E2A35"/>
        </w:rPr>
      </w:pPr>
    </w:p>
    <w:p>
      <w:pPr>
        <w:ind w:left="1580" w:right="920" w:hanging="360"/>
        <w:spacing w:after="0" w:line="230" w:lineRule="auto"/>
        <w:tabs>
          <w:tab w:leader="none" w:pos="1580" w:val="left"/>
        </w:tabs>
        <w:numPr>
          <w:ilvl w:val="1"/>
          <w:numId w:val="48"/>
        </w:numPr>
        <w:rPr>
          <w:rFonts w:ascii="Arial" w:cs="Arial" w:eastAsia="Arial" w:hAnsi="Arial"/>
          <w:sz w:val="13"/>
          <w:szCs w:val="13"/>
          <w:color w:val="0E2A35"/>
        </w:rPr>
      </w:pPr>
      <w:r>
        <w:rPr>
          <w:rFonts w:ascii="Arial" w:cs="Arial" w:eastAsia="Arial" w:hAnsi="Arial"/>
          <w:sz w:val="13"/>
          <w:szCs w:val="13"/>
          <w:color w:val="0E2A35"/>
        </w:rPr>
        <w:t>The difference in the amount shown here and the sum of the other compensation elements included in this table reflects the amount paid for an executive physical.</w:t>
      </w:r>
    </w:p>
    <w:p>
      <w:pPr>
        <w:spacing w:after="0" w:line="37" w:lineRule="exact"/>
        <w:rPr>
          <w:rFonts w:ascii="Arial" w:cs="Arial" w:eastAsia="Arial" w:hAnsi="Arial"/>
          <w:sz w:val="13"/>
          <w:szCs w:val="13"/>
          <w:color w:val="0E2A35"/>
        </w:rPr>
      </w:pPr>
    </w:p>
    <w:p>
      <w:pPr>
        <w:ind w:left="1220" w:right="1240" w:hanging="360"/>
        <w:spacing w:after="0" w:line="230" w:lineRule="auto"/>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Mr. Bower joined the Company in October 2020. He received a new hire stock award of 1,150,022 shares of restricted stock on October 12, 2020. He also received a sign-on bonus of $275,000 on October 12, 2020.</w:t>
      </w:r>
    </w:p>
    <w:p>
      <w:pPr>
        <w:spacing w:after="0" w:line="37" w:lineRule="exact"/>
        <w:rPr>
          <w:rFonts w:ascii="Arial" w:cs="Arial" w:eastAsia="Arial" w:hAnsi="Arial"/>
          <w:sz w:val="13"/>
          <w:szCs w:val="13"/>
          <w:color w:val="0E2A35"/>
        </w:rPr>
      </w:pPr>
    </w:p>
    <w:p>
      <w:pPr>
        <w:ind w:left="1220" w:right="980" w:hanging="360"/>
        <w:spacing w:after="0" w:line="230" w:lineRule="auto"/>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Under the terms of his amended employment agreement, Mr. Clark’s annual incentive plan payout under the Grand Design MIP paid out 90% in cash and 10% in restricted stock units. Both the cash and restricted stock units are reported under the Non-Equity Incentive Plan Compensation column.</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The amount shown here includes $1,011,940 in restricted stock units awarded for fiscal 2021 performance pursuant to the Grand Design MIP.</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The amount shown here includes $275,774 in restricted stock units awarded for fiscal 2020 performance pursuant to the Grand Design MIP.</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55</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0" w:name="page61"/>
    <w:bookmarkEnd w:id="60"/>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Grants of Plan-Based Awards Table</w:t>
      </w:r>
    </w:p>
    <w:p>
      <w:pPr>
        <w:spacing w:after="0" w:line="213" w:lineRule="exact"/>
        <w:rPr>
          <w:sz w:val="20"/>
          <w:szCs w:val="20"/>
          <w:color w:val="auto"/>
        </w:rPr>
      </w:pPr>
    </w:p>
    <w:p>
      <w:pPr>
        <w:ind w:left="860" w:right="1120"/>
        <w:spacing w:after="0" w:line="260" w:lineRule="auto"/>
        <w:rPr>
          <w:sz w:val="20"/>
          <w:szCs w:val="20"/>
          <w:color w:val="auto"/>
        </w:rPr>
      </w:pPr>
      <w:r>
        <w:rPr>
          <w:rFonts w:ascii="Arial" w:cs="Arial" w:eastAsia="Arial" w:hAnsi="Arial"/>
          <w:sz w:val="16"/>
          <w:szCs w:val="16"/>
          <w:color w:val="0E2A35"/>
        </w:rPr>
        <w:t>The following table provides additional information relating to plan-based awards granted to our NEOs in fiscal 2021. All equity awards were granted under the 2019 Plan.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 w:type="dxa"/>
            <w:vAlign w:val="bottom"/>
          </w:tcPr>
          <w:p>
            <w:pPr>
              <w:spacing w:after="0"/>
              <w:rPr>
                <w:sz w:val="20"/>
                <w:szCs w:val="20"/>
                <w:color w:val="auto"/>
              </w:rPr>
            </w:pPr>
          </w:p>
        </w:tc>
        <w:tc>
          <w:tcPr>
            <w:tcW w:w="1440" w:type="dxa"/>
            <w:vAlign w:val="bottom"/>
            <w:shd w:val="clear" w:color="auto" w:fill="0E2A35"/>
          </w:tcPr>
          <w:p>
            <w:pPr>
              <w:spacing w:after="0"/>
              <w:rPr>
                <w:sz w:val="20"/>
                <w:szCs w:val="20"/>
                <w:color w:val="auto"/>
              </w:rPr>
            </w:pPr>
          </w:p>
        </w:tc>
        <w:tc>
          <w:tcPr>
            <w:tcW w:w="1100" w:type="dxa"/>
            <w:vAlign w:val="bottom"/>
            <w:shd w:val="clear" w:color="auto" w:fill="0E2A35"/>
          </w:tcPr>
          <w:p>
            <w:pPr>
              <w:spacing w:after="0"/>
              <w:rPr>
                <w:sz w:val="20"/>
                <w:szCs w:val="20"/>
                <w:color w:val="auto"/>
              </w:rPr>
            </w:pPr>
          </w:p>
        </w:tc>
        <w:tc>
          <w:tcPr>
            <w:tcW w:w="800" w:type="dxa"/>
            <w:vAlign w:val="bottom"/>
            <w:shd w:val="clear" w:color="auto" w:fill="0E2A35"/>
          </w:tcPr>
          <w:p>
            <w:pPr>
              <w:spacing w:after="0"/>
              <w:rPr>
                <w:sz w:val="20"/>
                <w:szCs w:val="20"/>
                <w:color w:val="auto"/>
              </w:rPr>
            </w:pPr>
          </w:p>
        </w:tc>
        <w:tc>
          <w:tcPr>
            <w:tcW w:w="1600" w:type="dxa"/>
            <w:vAlign w:val="bottom"/>
            <w:gridSpan w:val="3"/>
            <w:shd w:val="clear" w:color="auto" w:fill="0E2A35"/>
          </w:tcPr>
          <w:p>
            <w:pPr>
              <w:jc w:val="center"/>
              <w:ind w:left="363"/>
              <w:spacing w:after="0"/>
              <w:rPr>
                <w:sz w:val="20"/>
                <w:szCs w:val="20"/>
                <w:color w:val="auto"/>
              </w:rPr>
            </w:pPr>
            <w:r>
              <w:rPr>
                <w:rFonts w:ascii="Arial" w:cs="Arial" w:eastAsia="Arial" w:hAnsi="Arial"/>
                <w:sz w:val="12"/>
                <w:szCs w:val="12"/>
                <w:b w:val="1"/>
                <w:bCs w:val="1"/>
                <w:color w:val="FFFFFF"/>
                <w:w w:val="95"/>
              </w:rPr>
              <w:t>Estimated Future</w:t>
            </w:r>
          </w:p>
        </w:tc>
        <w:tc>
          <w:tcPr>
            <w:tcW w:w="500" w:type="dxa"/>
            <w:vAlign w:val="bottom"/>
            <w:shd w:val="clear" w:color="auto" w:fill="0E2A35"/>
          </w:tcPr>
          <w:p>
            <w:pPr>
              <w:spacing w:after="0"/>
              <w:rPr>
                <w:sz w:val="20"/>
                <w:szCs w:val="20"/>
                <w:color w:val="auto"/>
              </w:rPr>
            </w:pPr>
          </w:p>
        </w:tc>
        <w:tc>
          <w:tcPr>
            <w:tcW w:w="1420" w:type="dxa"/>
            <w:vAlign w:val="bottom"/>
            <w:gridSpan w:val="2"/>
            <w:shd w:val="clear" w:color="auto" w:fill="0E2A35"/>
          </w:tcPr>
          <w:p>
            <w:pPr>
              <w:jc w:val="center"/>
              <w:ind w:left="322"/>
              <w:spacing w:after="0"/>
              <w:rPr>
                <w:sz w:val="20"/>
                <w:szCs w:val="20"/>
                <w:color w:val="auto"/>
              </w:rPr>
            </w:pPr>
            <w:r>
              <w:rPr>
                <w:rFonts w:ascii="Arial" w:cs="Arial" w:eastAsia="Arial" w:hAnsi="Arial"/>
                <w:sz w:val="12"/>
                <w:szCs w:val="12"/>
                <w:b w:val="1"/>
                <w:bCs w:val="1"/>
                <w:color w:val="FFFFFF"/>
                <w:w w:val="97"/>
              </w:rPr>
              <w:t>Estimated Future</w:t>
            </w:r>
          </w:p>
        </w:tc>
        <w:tc>
          <w:tcPr>
            <w:tcW w:w="460" w:type="dxa"/>
            <w:vAlign w:val="bottom"/>
            <w:shd w:val="clear" w:color="auto" w:fill="0E2A35"/>
          </w:tcPr>
          <w:p>
            <w:pPr>
              <w:spacing w:after="0"/>
              <w:rPr>
                <w:sz w:val="20"/>
                <w:szCs w:val="20"/>
                <w:color w:val="auto"/>
              </w:rPr>
            </w:pP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8"/>
              </w:rPr>
              <w:t>All Other</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620" w:type="dxa"/>
            <w:vAlign w:val="bottom"/>
            <w:shd w:val="clear" w:color="auto" w:fill="0E2A35"/>
          </w:tcPr>
          <w:p>
            <w:pPr>
              <w:spacing w:after="0"/>
              <w:rPr>
                <w:sz w:val="20"/>
                <w:szCs w:val="20"/>
                <w:color w:val="auto"/>
              </w:rPr>
            </w:pPr>
          </w:p>
        </w:tc>
        <w:tc>
          <w:tcPr>
            <w:tcW w:w="780" w:type="dxa"/>
            <w:vAlign w:val="bottom"/>
            <w:shd w:val="clear" w:color="auto" w:fill="0E2A35"/>
          </w:tcPr>
          <w:p>
            <w:pPr>
              <w:spacing w:after="0"/>
              <w:rPr>
                <w:sz w:val="20"/>
                <w:szCs w:val="20"/>
                <w:color w:val="auto"/>
              </w:rPr>
            </w:pPr>
          </w:p>
        </w:tc>
        <w:tc>
          <w:tcPr>
            <w:tcW w:w="440" w:type="dxa"/>
            <w:vAlign w:val="bottom"/>
          </w:tcPr>
          <w:p>
            <w:pPr>
              <w:spacing w:after="0"/>
              <w:rPr>
                <w:sz w:val="20"/>
                <w:szCs w:val="20"/>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600" w:type="dxa"/>
            <w:vAlign w:val="bottom"/>
            <w:gridSpan w:val="3"/>
            <w:shd w:val="clear" w:color="auto" w:fill="0E2A35"/>
          </w:tcPr>
          <w:p>
            <w:pPr>
              <w:jc w:val="center"/>
              <w:ind w:left="363"/>
              <w:spacing w:after="0" w:line="135" w:lineRule="exact"/>
              <w:rPr>
                <w:sz w:val="20"/>
                <w:szCs w:val="20"/>
                <w:color w:val="auto"/>
              </w:rPr>
            </w:pPr>
            <w:r>
              <w:rPr>
                <w:rFonts w:ascii="Arial" w:cs="Arial" w:eastAsia="Arial" w:hAnsi="Arial"/>
                <w:sz w:val="12"/>
                <w:szCs w:val="12"/>
                <w:b w:val="1"/>
                <w:bCs w:val="1"/>
                <w:color w:val="FFFFFF"/>
                <w:w w:val="96"/>
              </w:rPr>
              <w:t>Payouts Under</w:t>
            </w:r>
          </w:p>
        </w:tc>
        <w:tc>
          <w:tcPr>
            <w:tcW w:w="500" w:type="dxa"/>
            <w:vAlign w:val="bottom"/>
            <w:shd w:val="clear" w:color="auto" w:fill="0E2A35"/>
          </w:tcPr>
          <w:p>
            <w:pPr>
              <w:spacing w:after="0"/>
              <w:rPr>
                <w:sz w:val="11"/>
                <w:szCs w:val="11"/>
                <w:color w:val="auto"/>
              </w:rPr>
            </w:pPr>
          </w:p>
        </w:tc>
        <w:tc>
          <w:tcPr>
            <w:tcW w:w="1420" w:type="dxa"/>
            <w:vAlign w:val="bottom"/>
            <w:gridSpan w:val="2"/>
            <w:shd w:val="clear" w:color="auto" w:fill="0E2A35"/>
          </w:tcPr>
          <w:p>
            <w:pPr>
              <w:jc w:val="center"/>
              <w:ind w:left="342"/>
              <w:spacing w:after="0" w:line="135" w:lineRule="exact"/>
              <w:rPr>
                <w:sz w:val="20"/>
                <w:szCs w:val="20"/>
                <w:color w:val="auto"/>
              </w:rPr>
            </w:pPr>
            <w:r>
              <w:rPr>
                <w:rFonts w:ascii="Arial" w:cs="Arial" w:eastAsia="Arial" w:hAnsi="Arial"/>
                <w:sz w:val="12"/>
                <w:szCs w:val="12"/>
                <w:b w:val="1"/>
                <w:bCs w:val="1"/>
                <w:color w:val="FFFFFF"/>
                <w:w w:val="96"/>
              </w:rPr>
              <w:t>Payouts Under</w:t>
            </w: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Stock</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62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600" w:type="dxa"/>
            <w:vAlign w:val="bottom"/>
            <w:gridSpan w:val="3"/>
            <w:shd w:val="clear" w:color="auto" w:fill="0E2A35"/>
          </w:tcPr>
          <w:p>
            <w:pPr>
              <w:jc w:val="center"/>
              <w:ind w:left="383"/>
              <w:spacing w:after="0" w:line="135" w:lineRule="exact"/>
              <w:rPr>
                <w:sz w:val="20"/>
                <w:szCs w:val="20"/>
                <w:color w:val="auto"/>
              </w:rPr>
            </w:pPr>
            <w:r>
              <w:rPr>
                <w:rFonts w:ascii="Arial" w:cs="Arial" w:eastAsia="Arial" w:hAnsi="Arial"/>
                <w:sz w:val="12"/>
                <w:szCs w:val="12"/>
                <w:b w:val="1"/>
                <w:bCs w:val="1"/>
                <w:color w:val="FFFFFF"/>
                <w:w w:val="97"/>
              </w:rPr>
              <w:t>Non-Equity Incentive</w:t>
            </w:r>
          </w:p>
        </w:tc>
        <w:tc>
          <w:tcPr>
            <w:tcW w:w="500" w:type="dxa"/>
            <w:vAlign w:val="bottom"/>
            <w:shd w:val="clear" w:color="auto" w:fill="0E2A35"/>
          </w:tcPr>
          <w:p>
            <w:pPr>
              <w:spacing w:after="0"/>
              <w:rPr>
                <w:sz w:val="11"/>
                <w:szCs w:val="11"/>
                <w:color w:val="auto"/>
              </w:rPr>
            </w:pPr>
          </w:p>
        </w:tc>
        <w:tc>
          <w:tcPr>
            <w:tcW w:w="1420" w:type="dxa"/>
            <w:vAlign w:val="bottom"/>
            <w:gridSpan w:val="2"/>
            <w:shd w:val="clear" w:color="auto" w:fill="0E2A35"/>
          </w:tcPr>
          <w:p>
            <w:pPr>
              <w:jc w:val="center"/>
              <w:ind w:left="342"/>
              <w:spacing w:after="0" w:line="135" w:lineRule="exact"/>
              <w:rPr>
                <w:sz w:val="20"/>
                <w:szCs w:val="20"/>
                <w:color w:val="auto"/>
              </w:rPr>
            </w:pPr>
            <w:r>
              <w:rPr>
                <w:rFonts w:ascii="Arial" w:cs="Arial" w:eastAsia="Arial" w:hAnsi="Arial"/>
                <w:sz w:val="12"/>
                <w:szCs w:val="12"/>
                <w:b w:val="1"/>
                <w:bCs w:val="1"/>
                <w:color w:val="FFFFFF"/>
                <w:w w:val="97"/>
              </w:rPr>
              <w:t>Equity Incentive</w:t>
            </w: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62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780" w:type="dxa"/>
            <w:vAlign w:val="bottom"/>
            <w:shd w:val="clear" w:color="auto" w:fill="0E2A35"/>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Grant Date</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600" w:type="dxa"/>
            <w:vAlign w:val="bottom"/>
            <w:gridSpan w:val="3"/>
            <w:shd w:val="clear" w:color="auto" w:fill="0E2A35"/>
          </w:tcPr>
          <w:p>
            <w:pPr>
              <w:jc w:val="center"/>
              <w:ind w:left="403"/>
              <w:spacing w:after="0" w:line="135" w:lineRule="exact"/>
              <w:rPr>
                <w:sz w:val="20"/>
                <w:szCs w:val="20"/>
                <w:color w:val="auto"/>
              </w:rPr>
            </w:pPr>
            <w:r>
              <w:rPr>
                <w:rFonts w:ascii="Arial" w:cs="Arial" w:eastAsia="Arial" w:hAnsi="Arial"/>
                <w:sz w:val="10"/>
                <w:szCs w:val="10"/>
                <w:b w:val="1"/>
                <w:bCs w:val="1"/>
                <w:color w:val="FFFFFF"/>
              </w:rPr>
              <w:t>Plan Awards</w:t>
            </w:r>
            <w:r>
              <w:rPr>
                <w:rFonts w:ascii="Arial" w:cs="Arial" w:eastAsia="Arial" w:hAnsi="Arial"/>
                <w:sz w:val="15"/>
                <w:szCs w:val="15"/>
                <w:b w:val="1"/>
                <w:bCs w:val="1"/>
                <w:color w:val="FFFFFF"/>
                <w:vertAlign w:val="superscript"/>
              </w:rPr>
              <w:t>(1)</w:t>
            </w:r>
          </w:p>
        </w:tc>
        <w:tc>
          <w:tcPr>
            <w:tcW w:w="500" w:type="dxa"/>
            <w:vAlign w:val="bottom"/>
            <w:shd w:val="clear" w:color="auto" w:fill="0E2A35"/>
          </w:tcPr>
          <w:p>
            <w:pPr>
              <w:spacing w:after="0"/>
              <w:rPr>
                <w:sz w:val="11"/>
                <w:szCs w:val="11"/>
                <w:color w:val="auto"/>
              </w:rPr>
            </w:pPr>
          </w:p>
        </w:tc>
        <w:tc>
          <w:tcPr>
            <w:tcW w:w="1420" w:type="dxa"/>
            <w:vAlign w:val="bottom"/>
            <w:gridSpan w:val="2"/>
            <w:shd w:val="clear" w:color="auto" w:fill="0E2A35"/>
          </w:tcPr>
          <w:p>
            <w:pPr>
              <w:jc w:val="center"/>
              <w:ind w:left="362"/>
              <w:spacing w:after="0" w:line="135" w:lineRule="exact"/>
              <w:rPr>
                <w:sz w:val="20"/>
                <w:szCs w:val="20"/>
                <w:color w:val="auto"/>
              </w:rPr>
            </w:pPr>
            <w:r>
              <w:rPr>
                <w:rFonts w:ascii="Arial" w:cs="Arial" w:eastAsia="Arial" w:hAnsi="Arial"/>
                <w:sz w:val="10"/>
                <w:szCs w:val="10"/>
                <w:b w:val="1"/>
                <w:bCs w:val="1"/>
                <w:color w:val="FFFFFF"/>
              </w:rPr>
              <w:t>Plan Awards</w:t>
            </w:r>
            <w:r>
              <w:rPr>
                <w:rFonts w:ascii="Arial" w:cs="Arial" w:eastAsia="Arial" w:hAnsi="Arial"/>
                <w:sz w:val="15"/>
                <w:szCs w:val="15"/>
                <w:b w:val="1"/>
                <w:bCs w:val="1"/>
                <w:color w:val="FFFFFF"/>
                <w:vertAlign w:val="superscript"/>
              </w:rPr>
              <w:t>(2)</w:t>
            </w: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Number</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9"/>
              </w:rPr>
              <w:t>Number of</w:t>
            </w:r>
          </w:p>
        </w:tc>
        <w:tc>
          <w:tcPr>
            <w:tcW w:w="620" w:type="dxa"/>
            <w:vAlign w:val="bottom"/>
            <w:shd w:val="clear" w:color="auto" w:fill="0E2A35"/>
          </w:tcPr>
          <w:p>
            <w:pPr>
              <w:jc w:val="center"/>
              <w:ind w:right="2"/>
              <w:spacing w:after="0" w:line="135" w:lineRule="exact"/>
              <w:rPr>
                <w:sz w:val="20"/>
                <w:szCs w:val="20"/>
                <w:color w:val="auto"/>
              </w:rPr>
            </w:pPr>
            <w:r>
              <w:rPr>
                <w:rFonts w:ascii="Arial" w:cs="Arial" w:eastAsia="Arial" w:hAnsi="Arial"/>
                <w:sz w:val="12"/>
                <w:szCs w:val="12"/>
                <w:b w:val="1"/>
                <w:bCs w:val="1"/>
                <w:color w:val="FFFFFF"/>
                <w:w w:val="99"/>
              </w:rPr>
              <w:t>or Base</w:t>
            </w:r>
          </w:p>
        </w:tc>
        <w:tc>
          <w:tcPr>
            <w:tcW w:w="780" w:type="dxa"/>
            <w:vAlign w:val="bottom"/>
            <w:shd w:val="clear" w:color="auto" w:fill="0E2A35"/>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Fair Value</w:t>
            </w:r>
          </w:p>
        </w:tc>
        <w:tc>
          <w:tcPr>
            <w:tcW w:w="440" w:type="dxa"/>
            <w:vAlign w:val="bottom"/>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500" w:type="dxa"/>
            <w:vAlign w:val="bottom"/>
            <w:shd w:val="clear" w:color="auto" w:fill="0E2A35"/>
          </w:tcPr>
          <w:p>
            <w:pPr>
              <w:spacing w:after="0"/>
              <w:rPr>
                <w:sz w:val="11"/>
                <w:szCs w:val="11"/>
                <w:color w:val="auto"/>
              </w:rPr>
            </w:pPr>
          </w:p>
        </w:tc>
        <w:tc>
          <w:tcPr>
            <w:tcW w:w="68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33" w:lineRule="exact"/>
              <w:rPr>
                <w:sz w:val="20"/>
                <w:szCs w:val="20"/>
                <w:color w:val="auto"/>
              </w:rPr>
            </w:pPr>
            <w:r>
              <w:rPr>
                <w:rFonts w:ascii="Arial" w:cs="Arial" w:eastAsia="Arial" w:hAnsi="Arial"/>
                <w:sz w:val="12"/>
                <w:szCs w:val="12"/>
                <w:b w:val="1"/>
                <w:bCs w:val="1"/>
                <w:color w:val="FFFFFF"/>
                <w:w w:val="98"/>
              </w:rPr>
              <w:t>of Shares</w:t>
            </w:r>
          </w:p>
        </w:tc>
        <w:tc>
          <w:tcPr>
            <w:tcW w:w="760" w:type="dxa"/>
            <w:vAlign w:val="bottom"/>
            <w:shd w:val="clear" w:color="auto" w:fill="0E2A35"/>
          </w:tcPr>
          <w:p>
            <w:pPr>
              <w:jc w:val="center"/>
              <w:spacing w:after="0" w:line="133" w:lineRule="exact"/>
              <w:rPr>
                <w:sz w:val="20"/>
                <w:szCs w:val="20"/>
                <w:color w:val="auto"/>
              </w:rPr>
            </w:pPr>
            <w:r>
              <w:rPr>
                <w:rFonts w:ascii="Arial" w:cs="Arial" w:eastAsia="Arial" w:hAnsi="Arial"/>
                <w:sz w:val="12"/>
                <w:szCs w:val="12"/>
                <w:b w:val="1"/>
                <w:bCs w:val="1"/>
                <w:color w:val="FFFFFF"/>
                <w:w w:val="97"/>
              </w:rPr>
              <w:t>Securities</w:t>
            </w:r>
          </w:p>
        </w:tc>
        <w:tc>
          <w:tcPr>
            <w:tcW w:w="620" w:type="dxa"/>
            <w:vAlign w:val="bottom"/>
            <w:shd w:val="clear" w:color="auto" w:fill="0E2A35"/>
          </w:tcPr>
          <w:p>
            <w:pPr>
              <w:jc w:val="center"/>
              <w:ind w:right="2"/>
              <w:spacing w:after="0" w:line="133" w:lineRule="exact"/>
              <w:rPr>
                <w:sz w:val="20"/>
                <w:szCs w:val="20"/>
                <w:color w:val="auto"/>
              </w:rPr>
            </w:pPr>
            <w:r>
              <w:rPr>
                <w:rFonts w:ascii="Arial" w:cs="Arial" w:eastAsia="Arial" w:hAnsi="Arial"/>
                <w:sz w:val="12"/>
                <w:szCs w:val="12"/>
                <w:b w:val="1"/>
                <w:bCs w:val="1"/>
                <w:color w:val="FFFFFF"/>
                <w:w w:val="99"/>
              </w:rPr>
              <w:t>Price of</w:t>
            </w:r>
          </w:p>
        </w:tc>
        <w:tc>
          <w:tcPr>
            <w:tcW w:w="780" w:type="dxa"/>
            <w:vAlign w:val="bottom"/>
            <w:shd w:val="clear" w:color="auto" w:fill="0E2A35"/>
          </w:tcPr>
          <w:p>
            <w:pPr>
              <w:jc w:val="center"/>
              <w:ind w:right="22"/>
              <w:spacing w:after="0" w:line="133" w:lineRule="exact"/>
              <w:rPr>
                <w:sz w:val="20"/>
                <w:szCs w:val="20"/>
                <w:color w:val="auto"/>
              </w:rPr>
            </w:pPr>
            <w:r>
              <w:rPr>
                <w:rFonts w:ascii="Arial" w:cs="Arial" w:eastAsia="Arial" w:hAnsi="Arial"/>
                <w:sz w:val="12"/>
                <w:szCs w:val="12"/>
                <w:b w:val="1"/>
                <w:bCs w:val="1"/>
                <w:color w:val="FFFFFF"/>
                <w:w w:val="97"/>
              </w:rPr>
              <w:t>of Stock</w:t>
            </w:r>
          </w:p>
        </w:tc>
        <w:tc>
          <w:tcPr>
            <w:tcW w:w="440" w:type="dxa"/>
            <w:vAlign w:val="bottom"/>
          </w:tcPr>
          <w:p>
            <w:pPr>
              <w:spacing w:after="0"/>
              <w:rPr>
                <w:sz w:val="11"/>
                <w:szCs w:val="11"/>
                <w:color w:val="auto"/>
              </w:rPr>
            </w:pPr>
          </w:p>
        </w:tc>
      </w:tr>
      <w:tr>
        <w:trPr>
          <w:trHeight w:val="129"/>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500" w:type="dxa"/>
            <w:vAlign w:val="bottom"/>
            <w:shd w:val="clear" w:color="auto" w:fill="0E2A35"/>
          </w:tcPr>
          <w:p>
            <w:pPr>
              <w:spacing w:after="0"/>
              <w:rPr>
                <w:sz w:val="11"/>
                <w:szCs w:val="11"/>
                <w:color w:val="auto"/>
              </w:rPr>
            </w:pPr>
          </w:p>
        </w:tc>
        <w:tc>
          <w:tcPr>
            <w:tcW w:w="68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460" w:type="dxa"/>
            <w:vAlign w:val="bottom"/>
            <w:shd w:val="clear" w:color="auto" w:fill="0E2A35"/>
          </w:tcPr>
          <w:p>
            <w:pPr>
              <w:spacing w:after="0"/>
              <w:rPr>
                <w:sz w:val="11"/>
                <w:szCs w:val="11"/>
                <w:color w:val="auto"/>
              </w:rPr>
            </w:pPr>
          </w:p>
        </w:tc>
        <w:tc>
          <w:tcPr>
            <w:tcW w:w="680" w:type="dxa"/>
            <w:vAlign w:val="bottom"/>
            <w:shd w:val="clear" w:color="auto" w:fill="0E2A35"/>
          </w:tcPr>
          <w:p>
            <w:pPr>
              <w:jc w:val="center"/>
              <w:spacing w:after="0" w:line="129" w:lineRule="exact"/>
              <w:rPr>
                <w:sz w:val="20"/>
                <w:szCs w:val="20"/>
                <w:color w:val="auto"/>
              </w:rPr>
            </w:pPr>
            <w:r>
              <w:rPr>
                <w:rFonts w:ascii="Arial" w:cs="Arial" w:eastAsia="Arial" w:hAnsi="Arial"/>
                <w:sz w:val="12"/>
                <w:szCs w:val="12"/>
                <w:b w:val="1"/>
                <w:bCs w:val="1"/>
                <w:color w:val="FFFFFF"/>
                <w:w w:val="97"/>
              </w:rPr>
              <w:t>of Stock</w:t>
            </w:r>
          </w:p>
        </w:tc>
        <w:tc>
          <w:tcPr>
            <w:tcW w:w="760" w:type="dxa"/>
            <w:vAlign w:val="bottom"/>
            <w:shd w:val="clear" w:color="auto" w:fill="0E2A35"/>
          </w:tcPr>
          <w:p>
            <w:pPr>
              <w:jc w:val="center"/>
              <w:spacing w:after="0" w:line="129" w:lineRule="exact"/>
              <w:rPr>
                <w:sz w:val="20"/>
                <w:szCs w:val="20"/>
                <w:color w:val="auto"/>
              </w:rPr>
            </w:pPr>
            <w:r>
              <w:rPr>
                <w:rFonts w:ascii="Arial" w:cs="Arial" w:eastAsia="Arial" w:hAnsi="Arial"/>
                <w:sz w:val="12"/>
                <w:szCs w:val="12"/>
                <w:b w:val="1"/>
                <w:bCs w:val="1"/>
                <w:color w:val="FFFFFF"/>
                <w:w w:val="95"/>
              </w:rPr>
              <w:t>Underlying</w:t>
            </w:r>
          </w:p>
        </w:tc>
        <w:tc>
          <w:tcPr>
            <w:tcW w:w="620" w:type="dxa"/>
            <w:vAlign w:val="bottom"/>
            <w:shd w:val="clear" w:color="auto" w:fill="0E2A35"/>
          </w:tcPr>
          <w:p>
            <w:pPr>
              <w:jc w:val="center"/>
              <w:ind w:right="22"/>
              <w:spacing w:after="0" w:line="129" w:lineRule="exact"/>
              <w:rPr>
                <w:sz w:val="20"/>
                <w:szCs w:val="20"/>
                <w:color w:val="auto"/>
              </w:rPr>
            </w:pPr>
            <w:r>
              <w:rPr>
                <w:rFonts w:ascii="Arial" w:cs="Arial" w:eastAsia="Arial" w:hAnsi="Arial"/>
                <w:sz w:val="12"/>
                <w:szCs w:val="12"/>
                <w:b w:val="1"/>
                <w:bCs w:val="1"/>
                <w:color w:val="FFFFFF"/>
                <w:w w:val="98"/>
              </w:rPr>
              <w:t>Option</w:t>
            </w:r>
          </w:p>
        </w:tc>
        <w:tc>
          <w:tcPr>
            <w:tcW w:w="780" w:type="dxa"/>
            <w:vAlign w:val="bottom"/>
            <w:shd w:val="clear" w:color="auto" w:fill="0E2A35"/>
          </w:tcPr>
          <w:p>
            <w:pPr>
              <w:jc w:val="center"/>
              <w:ind w:right="22"/>
              <w:spacing w:after="0" w:line="129" w:lineRule="exact"/>
              <w:rPr>
                <w:sz w:val="20"/>
                <w:szCs w:val="20"/>
                <w:color w:val="auto"/>
              </w:rPr>
            </w:pPr>
            <w:r>
              <w:rPr>
                <w:rFonts w:ascii="Arial" w:cs="Arial" w:eastAsia="Arial" w:hAnsi="Arial"/>
                <w:sz w:val="12"/>
                <w:szCs w:val="12"/>
                <w:b w:val="1"/>
                <w:bCs w:val="1"/>
                <w:color w:val="FFFFFF"/>
                <w:w w:val="97"/>
              </w:rPr>
              <w:t>and Option</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440" w:type="dxa"/>
            <w:vAlign w:val="bottom"/>
            <w:shd w:val="clear" w:color="auto" w:fill="0E2A35"/>
          </w:tcPr>
          <w:p>
            <w:pPr>
              <w:spacing w:after="0"/>
              <w:rPr>
                <w:sz w:val="11"/>
                <w:szCs w:val="11"/>
                <w:color w:val="auto"/>
              </w:rPr>
            </w:pPr>
          </w:p>
        </w:tc>
        <w:tc>
          <w:tcPr>
            <w:tcW w:w="1100" w:type="dxa"/>
            <w:vAlign w:val="bottom"/>
            <w:shd w:val="clear" w:color="auto" w:fill="0E2A35"/>
          </w:tcPr>
          <w:p>
            <w:pPr>
              <w:ind w:left="400"/>
              <w:spacing w:after="0" w:line="135" w:lineRule="exact"/>
              <w:rPr>
                <w:sz w:val="20"/>
                <w:szCs w:val="20"/>
                <w:color w:val="auto"/>
              </w:rPr>
            </w:pPr>
            <w:r>
              <w:rPr>
                <w:rFonts w:ascii="Arial" w:cs="Arial" w:eastAsia="Arial" w:hAnsi="Arial"/>
                <w:sz w:val="12"/>
                <w:szCs w:val="12"/>
                <w:b w:val="1"/>
                <w:bCs w:val="1"/>
                <w:color w:val="FFFFFF"/>
              </w:rPr>
              <w:t>Plan</w:t>
            </w:r>
          </w:p>
        </w:tc>
        <w:tc>
          <w:tcPr>
            <w:tcW w:w="800" w:type="dxa"/>
            <w:vAlign w:val="bottom"/>
            <w:shd w:val="clear" w:color="auto" w:fill="0E2A35"/>
          </w:tcPr>
          <w:p>
            <w:pPr>
              <w:ind w:left="220"/>
              <w:spacing w:after="0" w:line="135" w:lineRule="exact"/>
              <w:rPr>
                <w:sz w:val="20"/>
                <w:szCs w:val="20"/>
                <w:color w:val="auto"/>
              </w:rPr>
            </w:pPr>
            <w:r>
              <w:rPr>
                <w:rFonts w:ascii="Arial" w:cs="Arial" w:eastAsia="Arial" w:hAnsi="Arial"/>
                <w:sz w:val="12"/>
                <w:szCs w:val="12"/>
                <w:b w:val="1"/>
                <w:bCs w:val="1"/>
                <w:color w:val="FFFFFF"/>
              </w:rPr>
              <w:t>Grant</w:t>
            </w:r>
          </w:p>
        </w:tc>
        <w:tc>
          <w:tcPr>
            <w:tcW w:w="700" w:type="dxa"/>
            <w:vAlign w:val="bottom"/>
            <w:shd w:val="clear" w:color="auto" w:fill="0E2A35"/>
          </w:tcPr>
          <w:p>
            <w:pPr>
              <w:jc w:val="right"/>
              <w:ind w:right="23"/>
              <w:spacing w:after="0" w:line="135" w:lineRule="exact"/>
              <w:rPr>
                <w:sz w:val="20"/>
                <w:szCs w:val="20"/>
                <w:color w:val="auto"/>
              </w:rPr>
            </w:pPr>
            <w:r>
              <w:rPr>
                <w:rFonts w:ascii="Arial" w:cs="Arial" w:eastAsia="Arial" w:hAnsi="Arial"/>
                <w:sz w:val="12"/>
                <w:szCs w:val="12"/>
                <w:b w:val="1"/>
                <w:bCs w:val="1"/>
                <w:color w:val="FFFFFF"/>
              </w:rPr>
              <w:t>Threshold</w:t>
            </w:r>
          </w:p>
        </w:tc>
        <w:tc>
          <w:tcPr>
            <w:tcW w:w="660" w:type="dxa"/>
            <w:vAlign w:val="bottom"/>
            <w:shd w:val="clear" w:color="auto" w:fill="0E2A35"/>
          </w:tcPr>
          <w:p>
            <w:pPr>
              <w:jc w:val="center"/>
              <w:ind w:right="2"/>
              <w:spacing w:after="0" w:line="135" w:lineRule="exact"/>
              <w:rPr>
                <w:sz w:val="20"/>
                <w:szCs w:val="20"/>
                <w:color w:val="auto"/>
              </w:rPr>
            </w:pPr>
            <w:r>
              <w:rPr>
                <w:rFonts w:ascii="Arial" w:cs="Arial" w:eastAsia="Arial" w:hAnsi="Arial"/>
                <w:sz w:val="12"/>
                <w:szCs w:val="12"/>
                <w:b w:val="1"/>
                <w:bCs w:val="1"/>
                <w:color w:val="FFFFFF"/>
                <w:w w:val="98"/>
              </w:rPr>
              <w:t>Target</w:t>
            </w:r>
          </w:p>
        </w:tc>
        <w:tc>
          <w:tcPr>
            <w:tcW w:w="740" w:type="dxa"/>
            <w:vAlign w:val="bottom"/>
            <w:gridSpan w:val="2"/>
            <w:shd w:val="clear" w:color="auto" w:fill="0E2A35"/>
          </w:tcPr>
          <w:p>
            <w:pPr>
              <w:jc w:val="right"/>
              <w:ind w:right="82"/>
              <w:spacing w:after="0" w:line="135" w:lineRule="exact"/>
              <w:rPr>
                <w:sz w:val="20"/>
                <w:szCs w:val="20"/>
                <w:color w:val="auto"/>
              </w:rPr>
            </w:pPr>
            <w:r>
              <w:rPr>
                <w:rFonts w:ascii="Arial" w:cs="Arial" w:eastAsia="Arial" w:hAnsi="Arial"/>
                <w:sz w:val="12"/>
                <w:szCs w:val="12"/>
                <w:b w:val="1"/>
                <w:bCs w:val="1"/>
                <w:color w:val="FFFFFF"/>
              </w:rPr>
              <w:t>Maximum</w:t>
            </w:r>
          </w:p>
        </w:tc>
        <w:tc>
          <w:tcPr>
            <w:tcW w:w="680" w:type="dxa"/>
            <w:vAlign w:val="bottom"/>
            <w:shd w:val="clear" w:color="auto" w:fill="0E2A35"/>
          </w:tcPr>
          <w:p>
            <w:pPr>
              <w:jc w:val="right"/>
              <w:ind w:right="42"/>
              <w:spacing w:after="0" w:line="135" w:lineRule="exact"/>
              <w:rPr>
                <w:sz w:val="20"/>
                <w:szCs w:val="20"/>
                <w:color w:val="auto"/>
              </w:rPr>
            </w:pPr>
            <w:r>
              <w:rPr>
                <w:rFonts w:ascii="Arial" w:cs="Arial" w:eastAsia="Arial" w:hAnsi="Arial"/>
                <w:sz w:val="12"/>
                <w:szCs w:val="12"/>
                <w:b w:val="1"/>
                <w:bCs w:val="1"/>
                <w:color w:val="FFFFFF"/>
                <w:w w:val="96"/>
              </w:rPr>
              <w:t>Threshold</w:t>
            </w:r>
          </w:p>
        </w:tc>
        <w:tc>
          <w:tcPr>
            <w:tcW w:w="1200" w:type="dxa"/>
            <w:vAlign w:val="bottom"/>
            <w:gridSpan w:val="2"/>
            <w:shd w:val="clear" w:color="auto" w:fill="0E2A35"/>
          </w:tcPr>
          <w:p>
            <w:pPr>
              <w:jc w:val="right"/>
              <w:ind w:right="21"/>
              <w:spacing w:after="0" w:line="135" w:lineRule="exact"/>
              <w:rPr>
                <w:sz w:val="20"/>
                <w:szCs w:val="20"/>
                <w:color w:val="auto"/>
              </w:rPr>
            </w:pPr>
            <w:r>
              <w:rPr>
                <w:rFonts w:ascii="Arial" w:cs="Arial" w:eastAsia="Arial" w:hAnsi="Arial"/>
                <w:sz w:val="12"/>
                <w:szCs w:val="12"/>
                <w:b w:val="1"/>
                <w:bCs w:val="1"/>
                <w:color w:val="FFFFFF"/>
              </w:rPr>
              <w:t>Target   Maximum</w:t>
            </w: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or Units</w:t>
            </w:r>
            <w:r>
              <w:rPr>
                <w:rFonts w:ascii="Arial" w:cs="Arial" w:eastAsia="Arial" w:hAnsi="Arial"/>
                <w:sz w:val="15"/>
                <w:szCs w:val="15"/>
                <w:b w:val="1"/>
                <w:bCs w:val="1"/>
                <w:color w:val="FFFFFF"/>
                <w:vertAlign w:val="superscript"/>
              </w:rPr>
              <w:t>(3)</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Options</w:t>
            </w:r>
          </w:p>
        </w:tc>
        <w:tc>
          <w:tcPr>
            <w:tcW w:w="62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Awards</w:t>
            </w:r>
          </w:p>
        </w:tc>
        <w:tc>
          <w:tcPr>
            <w:tcW w:w="780" w:type="dxa"/>
            <w:vAlign w:val="bottom"/>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5"/>
                <w:szCs w:val="15"/>
                <w:b w:val="1"/>
                <w:bCs w:val="1"/>
                <w:color w:val="FFFFFF"/>
                <w:vertAlign w:val="superscript"/>
              </w:rPr>
              <w:t>(4)</w:t>
            </w:r>
          </w:p>
        </w:tc>
        <w:tc>
          <w:tcPr>
            <w:tcW w:w="440" w:type="dxa"/>
            <w:vAlign w:val="bottom"/>
          </w:tcPr>
          <w:p>
            <w:pPr>
              <w:spacing w:after="0"/>
              <w:rPr>
                <w:sz w:val="11"/>
                <w:szCs w:val="11"/>
                <w:color w:val="auto"/>
              </w:rPr>
            </w:pPr>
          </w:p>
        </w:tc>
      </w:tr>
      <w:tr>
        <w:trPr>
          <w:trHeight w:val="262"/>
        </w:trPr>
        <w:tc>
          <w:tcPr>
            <w:tcW w:w="420" w:type="dxa"/>
            <w:vAlign w:val="bottom"/>
          </w:tcPr>
          <w:p>
            <w:pPr>
              <w:spacing w:after="0"/>
              <w:rPr>
                <w:sz w:val="22"/>
                <w:szCs w:val="22"/>
                <w:color w:val="auto"/>
              </w:rPr>
            </w:pPr>
          </w:p>
        </w:tc>
        <w:tc>
          <w:tcPr>
            <w:tcW w:w="1440" w:type="dxa"/>
            <w:vAlign w:val="bottom"/>
            <w:shd w:val="clear" w:color="auto" w:fill="0E2A35"/>
          </w:tcPr>
          <w:p>
            <w:pPr>
              <w:ind w:left="120"/>
              <w:spacing w:after="0"/>
              <w:rPr>
                <w:sz w:val="20"/>
                <w:szCs w:val="20"/>
                <w:color w:val="auto"/>
              </w:rPr>
            </w:pPr>
            <w:r>
              <w:rPr>
                <w:rFonts w:ascii="Arial" w:cs="Arial" w:eastAsia="Arial" w:hAnsi="Arial"/>
                <w:sz w:val="12"/>
                <w:szCs w:val="12"/>
                <w:b w:val="1"/>
                <w:bCs w:val="1"/>
                <w:color w:val="FFFFFF"/>
              </w:rPr>
              <w:t>Name</w:t>
            </w:r>
          </w:p>
        </w:tc>
        <w:tc>
          <w:tcPr>
            <w:tcW w:w="1100" w:type="dxa"/>
            <w:vAlign w:val="bottom"/>
            <w:shd w:val="clear" w:color="auto" w:fill="0E2A35"/>
          </w:tcPr>
          <w:p>
            <w:pPr>
              <w:ind w:left="380"/>
              <w:spacing w:after="0"/>
              <w:rPr>
                <w:sz w:val="20"/>
                <w:szCs w:val="20"/>
                <w:color w:val="auto"/>
              </w:rPr>
            </w:pPr>
            <w:r>
              <w:rPr>
                <w:rFonts w:ascii="Arial" w:cs="Arial" w:eastAsia="Arial" w:hAnsi="Arial"/>
                <w:sz w:val="12"/>
                <w:szCs w:val="12"/>
                <w:b w:val="1"/>
                <w:bCs w:val="1"/>
                <w:color w:val="FFFFFF"/>
              </w:rPr>
              <w:t>Name</w:t>
            </w:r>
          </w:p>
        </w:tc>
        <w:tc>
          <w:tcPr>
            <w:tcW w:w="800" w:type="dxa"/>
            <w:vAlign w:val="bottom"/>
            <w:shd w:val="clear" w:color="auto" w:fill="0E2A35"/>
          </w:tcPr>
          <w:p>
            <w:pPr>
              <w:ind w:left="220"/>
              <w:spacing w:after="0"/>
              <w:rPr>
                <w:sz w:val="20"/>
                <w:szCs w:val="20"/>
                <w:color w:val="auto"/>
              </w:rPr>
            </w:pPr>
            <w:r>
              <w:rPr>
                <w:rFonts w:ascii="Arial" w:cs="Arial" w:eastAsia="Arial" w:hAnsi="Arial"/>
                <w:sz w:val="12"/>
                <w:szCs w:val="12"/>
                <w:b w:val="1"/>
                <w:bCs w:val="1"/>
                <w:color w:val="FFFFFF"/>
              </w:rPr>
              <w:t>Date</w:t>
            </w:r>
            <w:r>
              <w:rPr>
                <w:rFonts w:ascii="Arial" w:cs="Arial" w:eastAsia="Arial" w:hAnsi="Arial"/>
                <w:sz w:val="19"/>
                <w:szCs w:val="19"/>
                <w:b w:val="1"/>
                <w:bCs w:val="1"/>
                <w:color w:val="FFFFFF"/>
                <w:vertAlign w:val="superscript"/>
              </w:rPr>
              <w:t>(5)</w:t>
            </w:r>
          </w:p>
        </w:tc>
        <w:tc>
          <w:tcPr>
            <w:tcW w:w="700" w:type="dxa"/>
            <w:vAlign w:val="bottom"/>
            <w:shd w:val="clear" w:color="auto" w:fill="0E2A35"/>
          </w:tcPr>
          <w:p>
            <w:pPr>
              <w:jc w:val="right"/>
              <w:ind w:right="223"/>
              <w:spacing w:after="0"/>
              <w:rPr>
                <w:sz w:val="20"/>
                <w:szCs w:val="20"/>
                <w:color w:val="auto"/>
              </w:rPr>
            </w:pPr>
            <w:r>
              <w:rPr>
                <w:rFonts w:ascii="Arial" w:cs="Arial" w:eastAsia="Arial" w:hAnsi="Arial"/>
                <w:sz w:val="12"/>
                <w:szCs w:val="12"/>
                <w:b w:val="1"/>
                <w:bCs w:val="1"/>
                <w:color w:val="FFFFFF"/>
              </w:rPr>
              <w:t>($)</w:t>
            </w:r>
          </w:p>
        </w:tc>
        <w:tc>
          <w:tcPr>
            <w:tcW w:w="6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240" w:type="dxa"/>
            <w:vAlign w:val="bottom"/>
            <w:shd w:val="clear" w:color="auto" w:fill="0E2A35"/>
          </w:tcPr>
          <w:p>
            <w:pPr>
              <w:spacing w:after="0"/>
              <w:rPr>
                <w:sz w:val="22"/>
                <w:szCs w:val="22"/>
                <w:color w:val="auto"/>
              </w:rPr>
            </w:pPr>
          </w:p>
        </w:tc>
        <w:tc>
          <w:tcPr>
            <w:tcW w:w="500" w:type="dxa"/>
            <w:vAlign w:val="bottom"/>
            <w:shd w:val="clear" w:color="auto" w:fill="0E2A35"/>
          </w:tcPr>
          <w:p>
            <w:pPr>
              <w:jc w:val="right"/>
              <w:ind w:right="282"/>
              <w:spacing w:after="0"/>
              <w:rPr>
                <w:sz w:val="20"/>
                <w:szCs w:val="20"/>
                <w:color w:val="auto"/>
              </w:rPr>
            </w:pPr>
            <w:r>
              <w:rPr>
                <w:rFonts w:ascii="Arial" w:cs="Arial" w:eastAsia="Arial" w:hAnsi="Arial"/>
                <w:sz w:val="12"/>
                <w:szCs w:val="12"/>
                <w:b w:val="1"/>
                <w:bCs w:val="1"/>
                <w:color w:val="FFFFFF"/>
                <w:w w:val="95"/>
              </w:rPr>
              <w:t>($)</w:t>
            </w:r>
          </w:p>
        </w:tc>
        <w:tc>
          <w:tcPr>
            <w:tcW w:w="680" w:type="dxa"/>
            <w:vAlign w:val="bottom"/>
            <w:shd w:val="clear" w:color="auto" w:fill="0E2A35"/>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0E2A35"/>
          </w:tcPr>
          <w:p>
            <w:pPr>
              <w:jc w:val="center"/>
              <w:ind w:right="222"/>
              <w:spacing w:after="0"/>
              <w:rPr>
                <w:sz w:val="20"/>
                <w:szCs w:val="20"/>
                <w:color w:val="auto"/>
              </w:rPr>
            </w:pPr>
            <w:r>
              <w:rPr>
                <w:rFonts w:ascii="Arial" w:cs="Arial" w:eastAsia="Arial" w:hAnsi="Arial"/>
                <w:sz w:val="12"/>
                <w:szCs w:val="12"/>
                <w:b w:val="1"/>
                <w:bCs w:val="1"/>
                <w:color w:val="FFFFFF"/>
                <w:w w:val="95"/>
              </w:rPr>
              <w:t>(#)</w:t>
            </w:r>
          </w:p>
        </w:tc>
        <w:tc>
          <w:tcPr>
            <w:tcW w:w="460" w:type="dxa"/>
            <w:vAlign w:val="bottom"/>
            <w:shd w:val="clear" w:color="auto" w:fill="0E2A35"/>
          </w:tcPr>
          <w:p>
            <w:pPr>
              <w:jc w:val="right"/>
              <w:ind w:right="221"/>
              <w:spacing w:after="0"/>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62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($/Sh)</w:t>
            </w:r>
          </w:p>
        </w:tc>
        <w:tc>
          <w:tcPr>
            <w:tcW w:w="7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440" w:type="dxa"/>
            <w:vAlign w:val="bottom"/>
          </w:tcPr>
          <w:p>
            <w:pPr>
              <w:spacing w:after="0"/>
              <w:rPr>
                <w:sz w:val="22"/>
                <w:szCs w:val="22"/>
                <w:color w:val="auto"/>
              </w:rPr>
            </w:pPr>
          </w:p>
        </w:tc>
      </w:tr>
      <w:tr>
        <w:trPr>
          <w:trHeight w:val="254"/>
        </w:trPr>
        <w:tc>
          <w:tcPr>
            <w:tcW w:w="420" w:type="dxa"/>
            <w:vAlign w:val="bottom"/>
          </w:tcPr>
          <w:p>
            <w:pPr>
              <w:spacing w:after="0"/>
              <w:rPr>
                <w:sz w:val="22"/>
                <w:szCs w:val="22"/>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Michael J. Happe</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25,660</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525,004</w:t>
            </w:r>
          </w:p>
        </w:tc>
        <w:tc>
          <w:tcPr>
            <w:tcW w:w="440" w:type="dxa"/>
            <w:vAlign w:val="bottom"/>
          </w:tcPr>
          <w:p>
            <w:pPr>
              <w:spacing w:after="0"/>
              <w:rPr>
                <w:sz w:val="22"/>
                <w:szCs w:val="22"/>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22,481</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1,224,990</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gridSpan w:val="2"/>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250,000</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1,000,000</w:t>
            </w:r>
          </w:p>
        </w:tc>
        <w:tc>
          <w:tcPr>
            <w:tcW w:w="740" w:type="dxa"/>
            <w:vAlign w:val="bottom"/>
            <w:gridSpan w:val="2"/>
          </w:tcPr>
          <w:p>
            <w:pPr>
              <w:jc w:val="right"/>
              <w:ind w:right="22"/>
              <w:spacing w:after="0"/>
              <w:rPr>
                <w:sz w:val="20"/>
                <w:szCs w:val="20"/>
                <w:color w:val="auto"/>
              </w:rPr>
            </w:pPr>
            <w:r>
              <w:rPr>
                <w:rFonts w:ascii="Arial" w:cs="Arial" w:eastAsia="Arial" w:hAnsi="Arial"/>
                <w:sz w:val="12"/>
                <w:szCs w:val="12"/>
                <w:color w:val="0E2A35"/>
              </w:rPr>
              <w:t>2,000,000</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8,029</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32,116</w:t>
            </w:r>
          </w:p>
        </w:tc>
        <w:tc>
          <w:tcPr>
            <w:tcW w:w="460" w:type="dxa"/>
            <w:vAlign w:val="bottom"/>
          </w:tcPr>
          <w:p>
            <w:pPr>
              <w:jc w:val="right"/>
              <w:spacing w:after="0"/>
              <w:rPr>
                <w:sz w:val="20"/>
                <w:szCs w:val="20"/>
                <w:color w:val="auto"/>
              </w:rPr>
            </w:pPr>
            <w:r>
              <w:rPr>
                <w:rFonts w:ascii="Arial" w:cs="Arial" w:eastAsia="Arial" w:hAnsi="Arial"/>
                <w:sz w:val="12"/>
                <w:szCs w:val="12"/>
                <w:color w:val="0E2A35"/>
              </w:rPr>
              <w:t>64,232</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1,750,001</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345"/>
        </w:trPr>
        <w:tc>
          <w:tcPr>
            <w:tcW w:w="420" w:type="dxa"/>
            <w:vAlign w:val="bottom"/>
          </w:tcPr>
          <w:p>
            <w:pPr>
              <w:spacing w:after="0"/>
              <w:rPr>
                <w:sz w:val="24"/>
                <w:szCs w:val="24"/>
                <w:color w:val="auto"/>
              </w:rPr>
            </w:pPr>
          </w:p>
        </w:tc>
        <w:tc>
          <w:tcPr>
            <w:tcW w:w="1440" w:type="dxa"/>
            <w:vAlign w:val="bottom"/>
            <w:tcBorders>
              <w:bottom w:val="single" w:sz="8" w:color="0E2A35"/>
            </w:tcBorders>
          </w:tcPr>
          <w:p>
            <w:pPr>
              <w:spacing w:after="0"/>
              <w:rPr>
                <w:sz w:val="24"/>
                <w:szCs w:val="24"/>
                <w:color w:val="auto"/>
              </w:rPr>
            </w:pPr>
          </w:p>
        </w:tc>
        <w:tc>
          <w:tcPr>
            <w:tcW w:w="1100" w:type="dxa"/>
            <w:vAlign w:val="bottom"/>
            <w:tcBorders>
              <w:bottom w:val="single" w:sz="8" w:color="0E2A35"/>
            </w:tcBorders>
          </w:tcPr>
          <w:p>
            <w:pPr>
              <w:ind w:left="40"/>
              <w:spacing w:after="0"/>
              <w:rPr>
                <w:sz w:val="20"/>
                <w:szCs w:val="20"/>
                <w:color w:val="auto"/>
              </w:rPr>
            </w:pPr>
            <w:r>
              <w:rPr>
                <w:rFonts w:ascii="Arial" w:cs="Arial" w:eastAsia="Arial" w:hAnsi="Arial"/>
                <w:sz w:val="13"/>
                <w:szCs w:val="13"/>
                <w:color w:val="0E2A35"/>
              </w:rPr>
              <w:t>2021 PSU</w:t>
            </w:r>
            <w:r>
              <w:rPr>
                <w:rFonts w:ascii="Arial" w:cs="Arial" w:eastAsia="Arial" w:hAnsi="Arial"/>
                <w:sz w:val="20"/>
                <w:szCs w:val="20"/>
                <w:color w:val="0E2A35"/>
                <w:vertAlign w:val="superscript"/>
              </w:rPr>
              <w:t>(6)</w:t>
            </w:r>
          </w:p>
        </w:tc>
        <w:tc>
          <w:tcPr>
            <w:tcW w:w="800" w:type="dxa"/>
            <w:vAlign w:val="bottom"/>
            <w:tcBorders>
              <w:bottom w:val="single" w:sz="8" w:color="0E2A35"/>
            </w:tcBorders>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Borders>
              <w:bottom w:val="single" w:sz="8" w:color="0E2A35"/>
            </w:tcBorders>
          </w:tcPr>
          <w:p>
            <w:pPr>
              <w:spacing w:after="0"/>
              <w:rPr>
                <w:sz w:val="24"/>
                <w:szCs w:val="24"/>
                <w:color w:val="auto"/>
              </w:rPr>
            </w:pPr>
          </w:p>
        </w:tc>
        <w:tc>
          <w:tcPr>
            <w:tcW w:w="660" w:type="dxa"/>
            <w:vAlign w:val="bottom"/>
            <w:tcBorders>
              <w:bottom w:val="single" w:sz="8" w:color="0E2A35"/>
            </w:tcBorders>
          </w:tcPr>
          <w:p>
            <w:pPr>
              <w:spacing w:after="0"/>
              <w:rPr>
                <w:sz w:val="24"/>
                <w:szCs w:val="24"/>
                <w:color w:val="auto"/>
              </w:rPr>
            </w:pPr>
          </w:p>
        </w:tc>
        <w:tc>
          <w:tcPr>
            <w:tcW w:w="240" w:type="dxa"/>
            <w:vAlign w:val="bottom"/>
            <w:tcBorders>
              <w:bottom w:val="single" w:sz="8" w:color="0E2A35"/>
            </w:tcBorders>
          </w:tcPr>
          <w:p>
            <w:pPr>
              <w:spacing w:after="0"/>
              <w:rPr>
                <w:sz w:val="24"/>
                <w:szCs w:val="24"/>
                <w:color w:val="auto"/>
              </w:rPr>
            </w:pPr>
          </w:p>
        </w:tc>
        <w:tc>
          <w:tcPr>
            <w:tcW w:w="50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jc w:val="right"/>
              <w:ind w:right="22"/>
              <w:spacing w:after="0"/>
              <w:rPr>
                <w:sz w:val="20"/>
                <w:szCs w:val="20"/>
                <w:color w:val="auto"/>
              </w:rPr>
            </w:pPr>
            <w:r>
              <w:rPr>
                <w:rFonts w:ascii="Arial" w:cs="Arial" w:eastAsia="Arial" w:hAnsi="Arial"/>
                <w:sz w:val="12"/>
                <w:szCs w:val="12"/>
                <w:color w:val="0E2A35"/>
              </w:rPr>
              <w:t>2,753</w:t>
            </w:r>
          </w:p>
        </w:tc>
        <w:tc>
          <w:tcPr>
            <w:tcW w:w="740" w:type="dxa"/>
            <w:vAlign w:val="bottom"/>
            <w:tcBorders>
              <w:bottom w:val="single" w:sz="8" w:color="0E2A35"/>
            </w:tcBorders>
          </w:tcPr>
          <w:p>
            <w:pPr>
              <w:jc w:val="right"/>
              <w:ind w:right="222"/>
              <w:spacing w:after="0"/>
              <w:rPr>
                <w:sz w:val="20"/>
                <w:szCs w:val="20"/>
                <w:color w:val="auto"/>
              </w:rPr>
            </w:pPr>
            <w:r>
              <w:rPr>
                <w:rFonts w:ascii="Arial" w:cs="Arial" w:eastAsia="Arial" w:hAnsi="Arial"/>
                <w:sz w:val="12"/>
                <w:szCs w:val="12"/>
                <w:color w:val="0E2A35"/>
              </w:rPr>
              <w:t>11,011</w:t>
            </w:r>
          </w:p>
        </w:tc>
        <w:tc>
          <w:tcPr>
            <w:tcW w:w="460" w:type="dxa"/>
            <w:vAlign w:val="bottom"/>
            <w:tcBorders>
              <w:bottom w:val="single" w:sz="8" w:color="0E2A35"/>
            </w:tcBorders>
          </w:tcPr>
          <w:p>
            <w:pPr>
              <w:jc w:val="right"/>
              <w:spacing w:after="0"/>
              <w:rPr>
                <w:sz w:val="20"/>
                <w:szCs w:val="20"/>
                <w:color w:val="auto"/>
              </w:rPr>
            </w:pPr>
            <w:r>
              <w:rPr>
                <w:rFonts w:ascii="Arial" w:cs="Arial" w:eastAsia="Arial" w:hAnsi="Arial"/>
                <w:sz w:val="12"/>
                <w:szCs w:val="12"/>
                <w:color w:val="0E2A35"/>
              </w:rPr>
              <w:t>22,022</w:t>
            </w:r>
          </w:p>
        </w:tc>
        <w:tc>
          <w:tcPr>
            <w:tcW w:w="680" w:type="dxa"/>
            <w:vAlign w:val="bottom"/>
            <w:tcBorders>
              <w:bottom w:val="single" w:sz="8" w:color="0E2A35"/>
            </w:tcBorders>
          </w:tcPr>
          <w:p>
            <w:pPr>
              <w:spacing w:after="0"/>
              <w:rPr>
                <w:sz w:val="24"/>
                <w:szCs w:val="24"/>
                <w:color w:val="auto"/>
              </w:rPr>
            </w:pPr>
          </w:p>
        </w:tc>
        <w:tc>
          <w:tcPr>
            <w:tcW w:w="760" w:type="dxa"/>
            <w:vAlign w:val="bottom"/>
            <w:tcBorders>
              <w:bottom w:val="single" w:sz="8" w:color="0E2A35"/>
            </w:tcBorders>
          </w:tcPr>
          <w:p>
            <w:pPr>
              <w:spacing w:after="0"/>
              <w:rPr>
                <w:sz w:val="24"/>
                <w:szCs w:val="24"/>
                <w:color w:val="auto"/>
              </w:rPr>
            </w:pPr>
          </w:p>
        </w:tc>
        <w:tc>
          <w:tcPr>
            <w:tcW w:w="620" w:type="dxa"/>
            <w:vAlign w:val="bottom"/>
            <w:tcBorders>
              <w:bottom w:val="single" w:sz="8" w:color="0E2A35"/>
            </w:tcBorders>
          </w:tcPr>
          <w:p>
            <w:pPr>
              <w:spacing w:after="0"/>
              <w:rPr>
                <w:sz w:val="24"/>
                <w:szCs w:val="24"/>
                <w:color w:val="auto"/>
              </w:rPr>
            </w:pPr>
          </w:p>
        </w:tc>
        <w:tc>
          <w:tcPr>
            <w:tcW w:w="780" w:type="dxa"/>
            <w:vAlign w:val="bottom"/>
            <w:tcBorders>
              <w:bottom w:val="single" w:sz="8" w:color="0E2A35"/>
            </w:tcBorders>
          </w:tcPr>
          <w:p>
            <w:pPr>
              <w:jc w:val="right"/>
              <w:ind w:right="2"/>
              <w:spacing w:after="0"/>
              <w:rPr>
                <w:sz w:val="20"/>
                <w:szCs w:val="20"/>
                <w:color w:val="auto"/>
              </w:rPr>
            </w:pPr>
            <w:r>
              <w:rPr>
                <w:rFonts w:ascii="Arial" w:cs="Arial" w:eastAsia="Arial" w:hAnsi="Arial"/>
                <w:sz w:val="12"/>
                <w:szCs w:val="12"/>
                <w:color w:val="0E2A35"/>
              </w:rPr>
              <w:t>599,989</w:t>
            </w:r>
          </w:p>
        </w:tc>
        <w:tc>
          <w:tcPr>
            <w:tcW w:w="440" w:type="dxa"/>
            <w:vAlign w:val="bottom"/>
          </w:tcPr>
          <w:p>
            <w:pPr>
              <w:spacing w:after="0"/>
              <w:rPr>
                <w:sz w:val="24"/>
                <w:szCs w:val="24"/>
                <w:color w:val="auto"/>
              </w:rPr>
            </w:pPr>
          </w:p>
        </w:tc>
      </w:tr>
      <w:tr>
        <w:trPr>
          <w:trHeight w:val="248"/>
        </w:trPr>
        <w:tc>
          <w:tcPr>
            <w:tcW w:w="42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Bryan L. Hughes</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4,811</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98,433</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4,215</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229,675</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104,516</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418,062</w:t>
            </w:r>
          </w:p>
        </w:tc>
        <w:tc>
          <w:tcPr>
            <w:tcW w:w="24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0E2A35"/>
                <w:w w:val="92"/>
              </w:rPr>
              <w:t>836,124</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1,506</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6,022</w:t>
            </w:r>
          </w:p>
        </w:tc>
        <w:tc>
          <w:tcPr>
            <w:tcW w:w="460" w:type="dxa"/>
            <w:vAlign w:val="bottom"/>
          </w:tcPr>
          <w:p>
            <w:pPr>
              <w:jc w:val="right"/>
              <w:spacing w:after="0"/>
              <w:rPr>
                <w:sz w:val="20"/>
                <w:szCs w:val="20"/>
                <w:color w:val="auto"/>
              </w:rPr>
            </w:pPr>
            <w:r>
              <w:rPr>
                <w:rFonts w:ascii="Arial" w:cs="Arial" w:eastAsia="Arial" w:hAnsi="Arial"/>
                <w:sz w:val="12"/>
                <w:szCs w:val="12"/>
                <w:color w:val="0E2A35"/>
              </w:rPr>
              <w:t>12,044</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328,139</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PSU</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964</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3,854</w:t>
            </w:r>
          </w:p>
        </w:tc>
        <w:tc>
          <w:tcPr>
            <w:tcW w:w="460" w:type="dxa"/>
            <w:vAlign w:val="bottom"/>
          </w:tcPr>
          <w:p>
            <w:pPr>
              <w:jc w:val="right"/>
              <w:spacing w:after="0"/>
              <w:rPr>
                <w:sz w:val="20"/>
                <w:szCs w:val="20"/>
                <w:color w:val="auto"/>
              </w:rPr>
            </w:pPr>
            <w:r>
              <w:rPr>
                <w:rFonts w:ascii="Arial" w:cs="Arial" w:eastAsia="Arial" w:hAnsi="Arial"/>
                <w:sz w:val="12"/>
                <w:szCs w:val="12"/>
                <w:color w:val="0E2A35"/>
              </w:rPr>
              <w:t>7,708</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210,004</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Borders>
              <w:bottom w:val="single" w:sz="8" w:color="0E2A35"/>
            </w:tcBorders>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7"/>
        </w:trPr>
        <w:tc>
          <w:tcPr>
            <w:tcW w:w="42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Huw S. Bower</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7,258</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148,499</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6,359</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346,502</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344"/>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Borders>
              <w:bottom w:val="single" w:sz="8" w:color="0E2A35"/>
            </w:tcBorders>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Borders>
              <w:bottom w:val="single" w:sz="8" w:color="0E2A35"/>
            </w:tcBorders>
          </w:tcPr>
          <w:p>
            <w:pPr>
              <w:ind w:left="180"/>
              <w:spacing w:after="0"/>
              <w:rPr>
                <w:sz w:val="20"/>
                <w:szCs w:val="20"/>
                <w:color w:val="auto"/>
              </w:rPr>
            </w:pPr>
            <w:r>
              <w:rPr>
                <w:rFonts w:ascii="Arial" w:cs="Arial" w:eastAsia="Arial" w:hAnsi="Arial"/>
                <w:sz w:val="12"/>
                <w:szCs w:val="12"/>
                <w:color w:val="0E2A35"/>
                <w:w w:val="96"/>
              </w:rPr>
              <w:t>10/12/20</w:t>
            </w:r>
            <w:r>
              <w:rPr>
                <w:rFonts w:ascii="Arial" w:cs="Arial" w:eastAsia="Arial" w:hAnsi="Arial"/>
                <w:sz w:val="19"/>
                <w:szCs w:val="19"/>
                <w:color w:val="0E2A35"/>
                <w:w w:val="96"/>
                <w:vertAlign w:val="superscript"/>
              </w:rPr>
              <w:t>(8)</w:t>
            </w:r>
          </w:p>
        </w:tc>
        <w:tc>
          <w:tcPr>
            <w:tcW w:w="700" w:type="dxa"/>
            <w:vAlign w:val="bottom"/>
            <w:tcBorders>
              <w:bottom w:val="single" w:sz="8" w:color="0E2A35"/>
            </w:tcBorders>
          </w:tcPr>
          <w:p>
            <w:pPr>
              <w:spacing w:after="0"/>
              <w:rPr>
                <w:sz w:val="24"/>
                <w:szCs w:val="24"/>
                <w:color w:val="auto"/>
              </w:rPr>
            </w:pPr>
          </w:p>
        </w:tc>
        <w:tc>
          <w:tcPr>
            <w:tcW w:w="660" w:type="dxa"/>
            <w:vAlign w:val="bottom"/>
            <w:tcBorders>
              <w:bottom w:val="single" w:sz="8" w:color="0E2A35"/>
            </w:tcBorders>
          </w:tcPr>
          <w:p>
            <w:pPr>
              <w:spacing w:after="0"/>
              <w:rPr>
                <w:sz w:val="24"/>
                <w:szCs w:val="24"/>
                <w:color w:val="auto"/>
              </w:rPr>
            </w:pPr>
          </w:p>
        </w:tc>
        <w:tc>
          <w:tcPr>
            <w:tcW w:w="240" w:type="dxa"/>
            <w:vAlign w:val="bottom"/>
            <w:tcBorders>
              <w:bottom w:val="single" w:sz="8" w:color="0E2A35"/>
            </w:tcBorders>
          </w:tcPr>
          <w:p>
            <w:pPr>
              <w:spacing w:after="0"/>
              <w:rPr>
                <w:sz w:val="24"/>
                <w:szCs w:val="24"/>
                <w:color w:val="auto"/>
              </w:rPr>
            </w:pPr>
          </w:p>
        </w:tc>
        <w:tc>
          <w:tcPr>
            <w:tcW w:w="50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spacing w:after="0"/>
              <w:rPr>
                <w:sz w:val="24"/>
                <w:szCs w:val="24"/>
                <w:color w:val="auto"/>
              </w:rPr>
            </w:pPr>
          </w:p>
        </w:tc>
        <w:tc>
          <w:tcPr>
            <w:tcW w:w="46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jc w:val="right"/>
              <w:spacing w:after="0"/>
              <w:rPr>
                <w:sz w:val="20"/>
                <w:szCs w:val="20"/>
                <w:color w:val="auto"/>
              </w:rPr>
            </w:pPr>
            <w:r>
              <w:rPr>
                <w:rFonts w:ascii="Arial" w:cs="Arial" w:eastAsia="Arial" w:hAnsi="Arial"/>
                <w:sz w:val="12"/>
                <w:szCs w:val="12"/>
                <w:color w:val="0E2A35"/>
              </w:rPr>
              <w:t>21,756</w:t>
            </w:r>
          </w:p>
        </w:tc>
        <w:tc>
          <w:tcPr>
            <w:tcW w:w="760" w:type="dxa"/>
            <w:vAlign w:val="bottom"/>
            <w:tcBorders>
              <w:bottom w:val="single" w:sz="8" w:color="0E2A35"/>
            </w:tcBorders>
          </w:tcPr>
          <w:p>
            <w:pPr>
              <w:spacing w:after="0"/>
              <w:rPr>
                <w:sz w:val="24"/>
                <w:szCs w:val="24"/>
                <w:color w:val="auto"/>
              </w:rPr>
            </w:pPr>
          </w:p>
        </w:tc>
        <w:tc>
          <w:tcPr>
            <w:tcW w:w="620" w:type="dxa"/>
            <w:vAlign w:val="bottom"/>
            <w:tcBorders>
              <w:bottom w:val="single" w:sz="8" w:color="0E2A35"/>
            </w:tcBorders>
          </w:tcPr>
          <w:p>
            <w:pPr>
              <w:spacing w:after="0"/>
              <w:rPr>
                <w:sz w:val="24"/>
                <w:szCs w:val="24"/>
                <w:color w:val="auto"/>
              </w:rPr>
            </w:pPr>
          </w:p>
        </w:tc>
        <w:tc>
          <w:tcPr>
            <w:tcW w:w="780" w:type="dxa"/>
            <w:vAlign w:val="bottom"/>
            <w:tcBorders>
              <w:bottom w:val="single" w:sz="8" w:color="0E2A35"/>
            </w:tcBorders>
          </w:tcPr>
          <w:p>
            <w:pPr>
              <w:jc w:val="right"/>
              <w:ind w:right="2"/>
              <w:spacing w:after="0"/>
              <w:rPr>
                <w:sz w:val="20"/>
                <w:szCs w:val="20"/>
                <w:color w:val="auto"/>
              </w:rPr>
            </w:pPr>
            <w:r>
              <w:rPr>
                <w:rFonts w:ascii="Arial" w:cs="Arial" w:eastAsia="Arial" w:hAnsi="Arial"/>
                <w:sz w:val="12"/>
                <w:szCs w:val="12"/>
                <w:color w:val="0E2A35"/>
              </w:rPr>
              <w:t>1,150,022</w:t>
            </w:r>
          </w:p>
        </w:tc>
        <w:tc>
          <w:tcPr>
            <w:tcW w:w="440" w:type="dxa"/>
            <w:vAlign w:val="bottom"/>
          </w:tcPr>
          <w:p>
            <w:pPr>
              <w:spacing w:after="0"/>
              <w:rPr>
                <w:sz w:val="24"/>
                <w:szCs w:val="24"/>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103,390</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413,558</w:t>
            </w:r>
          </w:p>
        </w:tc>
        <w:tc>
          <w:tcPr>
            <w:tcW w:w="24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0E2A35"/>
                <w:w w:val="92"/>
              </w:rPr>
              <w:t>827,116</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2,271</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9,084</w:t>
            </w:r>
          </w:p>
        </w:tc>
        <w:tc>
          <w:tcPr>
            <w:tcW w:w="460" w:type="dxa"/>
            <w:vAlign w:val="bottom"/>
          </w:tcPr>
          <w:p>
            <w:pPr>
              <w:jc w:val="right"/>
              <w:spacing w:after="0"/>
              <w:rPr>
                <w:sz w:val="20"/>
                <w:szCs w:val="20"/>
                <w:color w:val="auto"/>
              </w:rPr>
            </w:pPr>
            <w:r>
              <w:rPr>
                <w:rFonts w:ascii="Arial" w:cs="Arial" w:eastAsia="Arial" w:hAnsi="Arial"/>
                <w:sz w:val="12"/>
                <w:szCs w:val="12"/>
                <w:color w:val="0E2A35"/>
              </w:rPr>
              <w:t>18,168</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494,987</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Borders>
              <w:bottom w:val="single" w:sz="8" w:color="0E2A35"/>
            </w:tcBorders>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344"/>
        </w:trPr>
        <w:tc>
          <w:tcPr>
            <w:tcW w:w="420" w:type="dxa"/>
            <w:vAlign w:val="bottom"/>
          </w:tcPr>
          <w:p>
            <w:pPr>
              <w:spacing w:after="0"/>
              <w:rPr>
                <w:sz w:val="24"/>
                <w:szCs w:val="24"/>
                <w:color w:val="auto"/>
              </w:rPr>
            </w:pPr>
          </w:p>
        </w:tc>
        <w:tc>
          <w:tcPr>
            <w:tcW w:w="1440" w:type="dxa"/>
            <w:vAlign w:val="bottom"/>
            <w:tcBorders>
              <w:bottom w:val="single" w:sz="8" w:color="0E2A35"/>
            </w:tcBorders>
          </w:tcPr>
          <w:p>
            <w:pPr>
              <w:ind w:left="120"/>
              <w:spacing w:after="0"/>
              <w:rPr>
                <w:sz w:val="20"/>
                <w:szCs w:val="20"/>
                <w:color w:val="auto"/>
              </w:rPr>
            </w:pPr>
            <w:r>
              <w:rPr>
                <w:rFonts w:ascii="Arial" w:cs="Arial" w:eastAsia="Arial" w:hAnsi="Arial"/>
                <w:sz w:val="12"/>
                <w:szCs w:val="12"/>
                <w:color w:val="0E2A35"/>
              </w:rPr>
              <w:t>Donald J. Clark</w:t>
            </w:r>
            <w:r>
              <w:rPr>
                <w:rFonts w:ascii="Arial" w:cs="Arial" w:eastAsia="Arial" w:hAnsi="Arial"/>
                <w:sz w:val="19"/>
                <w:szCs w:val="19"/>
                <w:color w:val="0E2A35"/>
                <w:vertAlign w:val="superscript"/>
              </w:rPr>
              <w:t>(7)</w:t>
            </w:r>
          </w:p>
        </w:tc>
        <w:tc>
          <w:tcPr>
            <w:tcW w:w="1100" w:type="dxa"/>
            <w:vAlign w:val="bottom"/>
            <w:tcBorders>
              <w:bottom w:val="single" w:sz="8" w:color="0E2A35"/>
            </w:tcBorders>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Borders>
              <w:bottom w:val="single" w:sz="8" w:color="0E2A35"/>
            </w:tcBorders>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Borders>
              <w:bottom w:val="single" w:sz="8" w:color="0E2A35"/>
            </w:tcBorders>
          </w:tcPr>
          <w:p>
            <w:pPr>
              <w:spacing w:after="0"/>
              <w:rPr>
                <w:sz w:val="24"/>
                <w:szCs w:val="24"/>
                <w:color w:val="auto"/>
              </w:rPr>
            </w:pPr>
          </w:p>
        </w:tc>
        <w:tc>
          <w:tcPr>
            <w:tcW w:w="660" w:type="dxa"/>
            <w:vAlign w:val="bottom"/>
            <w:tcBorders>
              <w:bottom w:val="single" w:sz="8" w:color="0E2A35"/>
            </w:tcBorders>
          </w:tcPr>
          <w:p>
            <w:pPr>
              <w:spacing w:after="0"/>
              <w:rPr>
                <w:sz w:val="24"/>
                <w:szCs w:val="24"/>
                <w:color w:val="auto"/>
              </w:rPr>
            </w:pPr>
          </w:p>
        </w:tc>
        <w:tc>
          <w:tcPr>
            <w:tcW w:w="240" w:type="dxa"/>
            <w:vAlign w:val="bottom"/>
            <w:tcBorders>
              <w:bottom w:val="single" w:sz="8" w:color="0E2A35"/>
            </w:tcBorders>
          </w:tcPr>
          <w:p>
            <w:pPr>
              <w:spacing w:after="0"/>
              <w:rPr>
                <w:sz w:val="24"/>
                <w:szCs w:val="24"/>
                <w:color w:val="auto"/>
              </w:rPr>
            </w:pPr>
          </w:p>
        </w:tc>
        <w:tc>
          <w:tcPr>
            <w:tcW w:w="50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spacing w:after="0"/>
              <w:rPr>
                <w:sz w:val="24"/>
                <w:szCs w:val="24"/>
                <w:color w:val="auto"/>
              </w:rPr>
            </w:pPr>
          </w:p>
        </w:tc>
        <w:tc>
          <w:tcPr>
            <w:tcW w:w="740" w:type="dxa"/>
            <w:vAlign w:val="bottom"/>
            <w:tcBorders>
              <w:bottom w:val="single" w:sz="8" w:color="0E2A35"/>
            </w:tcBorders>
          </w:tcPr>
          <w:p>
            <w:pPr>
              <w:spacing w:after="0"/>
              <w:rPr>
                <w:sz w:val="24"/>
                <w:szCs w:val="24"/>
                <w:color w:val="auto"/>
              </w:rPr>
            </w:pPr>
          </w:p>
        </w:tc>
        <w:tc>
          <w:tcPr>
            <w:tcW w:w="46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jc w:val="right"/>
              <w:spacing w:after="0"/>
              <w:rPr>
                <w:sz w:val="20"/>
                <w:szCs w:val="20"/>
                <w:color w:val="auto"/>
              </w:rPr>
            </w:pPr>
            <w:r>
              <w:rPr>
                <w:rFonts w:ascii="Arial" w:cs="Arial" w:eastAsia="Arial" w:hAnsi="Arial"/>
                <w:sz w:val="12"/>
                <w:szCs w:val="12"/>
                <w:color w:val="0E2A35"/>
              </w:rPr>
              <w:t>5,061</w:t>
            </w:r>
          </w:p>
        </w:tc>
        <w:tc>
          <w:tcPr>
            <w:tcW w:w="760" w:type="dxa"/>
            <w:vAlign w:val="bottom"/>
            <w:tcBorders>
              <w:bottom w:val="single" w:sz="8" w:color="0E2A35"/>
            </w:tcBorders>
          </w:tcPr>
          <w:p>
            <w:pPr>
              <w:spacing w:after="0"/>
              <w:rPr>
                <w:sz w:val="24"/>
                <w:szCs w:val="24"/>
                <w:color w:val="auto"/>
              </w:rPr>
            </w:pPr>
          </w:p>
        </w:tc>
        <w:tc>
          <w:tcPr>
            <w:tcW w:w="620" w:type="dxa"/>
            <w:vAlign w:val="bottom"/>
            <w:tcBorders>
              <w:bottom w:val="single" w:sz="8" w:color="0E2A35"/>
            </w:tcBorders>
          </w:tcPr>
          <w:p>
            <w:pPr>
              <w:spacing w:after="0"/>
              <w:rPr>
                <w:sz w:val="24"/>
                <w:szCs w:val="24"/>
                <w:color w:val="auto"/>
              </w:rPr>
            </w:pPr>
          </w:p>
        </w:tc>
        <w:tc>
          <w:tcPr>
            <w:tcW w:w="780" w:type="dxa"/>
            <w:vAlign w:val="bottom"/>
            <w:tcBorders>
              <w:bottom w:val="single" w:sz="8" w:color="0E2A35"/>
            </w:tcBorders>
          </w:tcPr>
          <w:p>
            <w:pPr>
              <w:jc w:val="right"/>
              <w:ind w:right="2"/>
              <w:spacing w:after="0"/>
              <w:rPr>
                <w:sz w:val="20"/>
                <w:szCs w:val="20"/>
                <w:color w:val="auto"/>
              </w:rPr>
            </w:pPr>
            <w:r>
              <w:rPr>
                <w:rFonts w:ascii="Arial" w:cs="Arial" w:eastAsia="Arial" w:hAnsi="Arial"/>
                <w:sz w:val="12"/>
                <w:szCs w:val="12"/>
                <w:color w:val="0E2A35"/>
              </w:rPr>
              <w:t>275,774</w:t>
            </w:r>
          </w:p>
        </w:tc>
        <w:tc>
          <w:tcPr>
            <w:tcW w:w="440" w:type="dxa"/>
            <w:vAlign w:val="bottom"/>
          </w:tcPr>
          <w:p>
            <w:pPr>
              <w:spacing w:after="0"/>
              <w:rPr>
                <w:sz w:val="24"/>
                <w:szCs w:val="24"/>
                <w:color w:val="auto"/>
              </w:rPr>
            </w:pPr>
          </w:p>
        </w:tc>
      </w:tr>
      <w:tr>
        <w:trPr>
          <w:trHeight w:val="248"/>
        </w:trPr>
        <w:tc>
          <w:tcPr>
            <w:tcW w:w="42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Arial" w:cs="Arial" w:eastAsia="Arial" w:hAnsi="Arial"/>
                <w:sz w:val="12"/>
                <w:szCs w:val="12"/>
                <w:color w:val="0E2A35"/>
              </w:rPr>
              <w:t>Brian D. Hazelton</w:t>
            </w: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E2A35"/>
              </w:rPr>
              <w:t>4,321</w:t>
            </w:r>
          </w:p>
        </w:tc>
        <w:tc>
          <w:tcPr>
            <w:tcW w:w="620" w:type="dxa"/>
            <w:vAlign w:val="bottom"/>
          </w:tcPr>
          <w:p>
            <w:pPr>
              <w:jc w:val="right"/>
              <w:ind w:right="22"/>
              <w:spacing w:after="0"/>
              <w:rPr>
                <w:sz w:val="20"/>
                <w:szCs w:val="20"/>
                <w:color w:val="auto"/>
              </w:rPr>
            </w:pPr>
            <w:r>
              <w:rPr>
                <w:rFonts w:ascii="Arial" w:cs="Arial" w:eastAsia="Arial" w:hAnsi="Arial"/>
                <w:sz w:val="12"/>
                <w:szCs w:val="12"/>
                <w:color w:val="0E2A35"/>
              </w:rPr>
              <w:t>54.49</w:t>
            </w: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88,408</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2019 Plan</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0E2A35"/>
              </w:rPr>
              <w:t>3,786</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206,299</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OICP</w:t>
            </w:r>
          </w:p>
        </w:tc>
        <w:tc>
          <w:tcPr>
            <w:tcW w:w="800" w:type="dxa"/>
            <w:vAlign w:val="bottom"/>
          </w:tcPr>
          <w:p>
            <w:pPr>
              <w:spacing w:after="0"/>
              <w:rPr>
                <w:sz w:val="21"/>
                <w:szCs w:val="21"/>
                <w:color w:val="auto"/>
              </w:rPr>
            </w:pPr>
          </w:p>
        </w:tc>
        <w:tc>
          <w:tcPr>
            <w:tcW w:w="700" w:type="dxa"/>
            <w:vAlign w:val="bottom"/>
          </w:tcPr>
          <w:p>
            <w:pPr>
              <w:jc w:val="right"/>
              <w:ind w:right="3"/>
              <w:spacing w:after="0"/>
              <w:rPr>
                <w:sz w:val="20"/>
                <w:szCs w:val="20"/>
                <w:color w:val="auto"/>
              </w:rPr>
            </w:pPr>
            <w:r>
              <w:rPr>
                <w:rFonts w:ascii="Arial" w:cs="Arial" w:eastAsia="Arial" w:hAnsi="Arial"/>
                <w:sz w:val="12"/>
                <w:szCs w:val="12"/>
                <w:color w:val="0E2A35"/>
              </w:rPr>
              <w:t>95,564</w:t>
            </w:r>
          </w:p>
        </w:tc>
        <w:tc>
          <w:tcPr>
            <w:tcW w:w="660" w:type="dxa"/>
            <w:vAlign w:val="bottom"/>
          </w:tcPr>
          <w:p>
            <w:pPr>
              <w:jc w:val="right"/>
              <w:ind w:right="22"/>
              <w:spacing w:after="0"/>
              <w:rPr>
                <w:sz w:val="20"/>
                <w:szCs w:val="20"/>
                <w:color w:val="auto"/>
              </w:rPr>
            </w:pPr>
            <w:r>
              <w:rPr>
                <w:rFonts w:ascii="Arial" w:cs="Arial" w:eastAsia="Arial" w:hAnsi="Arial"/>
                <w:sz w:val="12"/>
                <w:szCs w:val="12"/>
                <w:color w:val="0E2A35"/>
              </w:rPr>
              <w:t>382,255</w:t>
            </w:r>
          </w:p>
        </w:tc>
        <w:tc>
          <w:tcPr>
            <w:tcW w:w="240" w:type="dxa"/>
            <w:vAlign w:val="bottom"/>
          </w:tcPr>
          <w:p>
            <w:pPr>
              <w:spacing w:after="0"/>
              <w:rPr>
                <w:sz w:val="21"/>
                <w:szCs w:val="21"/>
                <w:color w:val="auto"/>
              </w:rPr>
            </w:pPr>
          </w:p>
        </w:tc>
        <w:tc>
          <w:tcPr>
            <w:tcW w:w="500" w:type="dxa"/>
            <w:vAlign w:val="bottom"/>
          </w:tcPr>
          <w:p>
            <w:pPr>
              <w:jc w:val="right"/>
              <w:ind w:right="22"/>
              <w:spacing w:after="0"/>
              <w:rPr>
                <w:sz w:val="20"/>
                <w:szCs w:val="20"/>
                <w:color w:val="auto"/>
              </w:rPr>
            </w:pPr>
            <w:r>
              <w:rPr>
                <w:rFonts w:ascii="Arial" w:cs="Arial" w:eastAsia="Arial" w:hAnsi="Arial"/>
                <w:sz w:val="12"/>
                <w:szCs w:val="12"/>
                <w:color w:val="0E2A35"/>
                <w:w w:val="92"/>
              </w:rPr>
              <w:t>764,510</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color w:val="0E2A35"/>
              </w:rPr>
              <w:t>—</w:t>
            </w: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8"/>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2021-2023 LTIP</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1,352</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5,408</w:t>
            </w:r>
          </w:p>
        </w:tc>
        <w:tc>
          <w:tcPr>
            <w:tcW w:w="460" w:type="dxa"/>
            <w:vAlign w:val="bottom"/>
          </w:tcPr>
          <w:p>
            <w:pPr>
              <w:jc w:val="right"/>
              <w:spacing w:after="0"/>
              <w:rPr>
                <w:sz w:val="20"/>
                <w:szCs w:val="20"/>
                <w:color w:val="auto"/>
              </w:rPr>
            </w:pPr>
            <w:r>
              <w:rPr>
                <w:rFonts w:ascii="Arial" w:cs="Arial" w:eastAsia="Arial" w:hAnsi="Arial"/>
                <w:sz w:val="12"/>
                <w:szCs w:val="12"/>
                <w:color w:val="0E2A35"/>
              </w:rPr>
              <w:t>10,816</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294,682</w:t>
            </w:r>
          </w:p>
        </w:tc>
        <w:tc>
          <w:tcPr>
            <w:tcW w:w="440" w:type="dxa"/>
            <w:vAlign w:val="bottom"/>
          </w:tcPr>
          <w:p>
            <w:pPr>
              <w:spacing w:after="0"/>
              <w:rPr>
                <w:sz w:val="21"/>
                <w:szCs w:val="21"/>
                <w:color w:val="auto"/>
              </w:rPr>
            </w:pPr>
          </w:p>
        </w:tc>
      </w:tr>
      <w:tr>
        <w:trPr>
          <w:trHeight w:val="97"/>
        </w:trPr>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c>
          <w:tcPr>
            <w:tcW w:w="46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440" w:type="dxa"/>
            <w:vAlign w:val="bottom"/>
          </w:tcPr>
          <w:p>
            <w:pPr>
              <w:spacing w:after="0"/>
              <w:rPr>
                <w:sz w:val="8"/>
                <w:szCs w:val="8"/>
                <w:color w:val="auto"/>
              </w:rPr>
            </w:pPr>
          </w:p>
        </w:tc>
      </w:tr>
      <w:tr>
        <w:trPr>
          <w:trHeight w:val="247"/>
        </w:trPr>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E2A35"/>
              </w:rPr>
              <w:t>2021 PSU</w:t>
            </w:r>
          </w:p>
        </w:tc>
        <w:tc>
          <w:tcPr>
            <w:tcW w:w="800" w:type="dxa"/>
            <w:vAlign w:val="bottom"/>
          </w:tcPr>
          <w:p>
            <w:pPr>
              <w:ind w:left="180"/>
              <w:spacing w:after="0"/>
              <w:rPr>
                <w:sz w:val="20"/>
                <w:szCs w:val="20"/>
                <w:color w:val="auto"/>
              </w:rPr>
            </w:pPr>
            <w:r>
              <w:rPr>
                <w:rFonts w:ascii="Arial" w:cs="Arial" w:eastAsia="Arial" w:hAnsi="Arial"/>
                <w:sz w:val="12"/>
                <w:szCs w:val="12"/>
                <w:color w:val="0E2A35"/>
              </w:rPr>
              <w:t>10/13/20</w:t>
            </w: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0E2A35"/>
              </w:rPr>
              <w:t>872</w:t>
            </w:r>
          </w:p>
        </w:tc>
        <w:tc>
          <w:tcPr>
            <w:tcW w:w="740" w:type="dxa"/>
            <w:vAlign w:val="bottom"/>
          </w:tcPr>
          <w:p>
            <w:pPr>
              <w:jc w:val="right"/>
              <w:ind w:right="222"/>
              <w:spacing w:after="0"/>
              <w:rPr>
                <w:sz w:val="20"/>
                <w:szCs w:val="20"/>
                <w:color w:val="auto"/>
              </w:rPr>
            </w:pPr>
            <w:r>
              <w:rPr>
                <w:rFonts w:ascii="Arial" w:cs="Arial" w:eastAsia="Arial" w:hAnsi="Arial"/>
                <w:sz w:val="12"/>
                <w:szCs w:val="12"/>
                <w:color w:val="0E2A35"/>
              </w:rPr>
              <w:t>3,487</w:t>
            </w:r>
          </w:p>
        </w:tc>
        <w:tc>
          <w:tcPr>
            <w:tcW w:w="460" w:type="dxa"/>
            <w:vAlign w:val="bottom"/>
          </w:tcPr>
          <w:p>
            <w:pPr>
              <w:jc w:val="right"/>
              <w:spacing w:after="0"/>
              <w:rPr>
                <w:sz w:val="20"/>
                <w:szCs w:val="20"/>
                <w:color w:val="auto"/>
              </w:rPr>
            </w:pPr>
            <w:r>
              <w:rPr>
                <w:rFonts w:ascii="Arial" w:cs="Arial" w:eastAsia="Arial" w:hAnsi="Arial"/>
                <w:sz w:val="12"/>
                <w:szCs w:val="12"/>
                <w:color w:val="0E2A35"/>
              </w:rPr>
              <w:t>6,974</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0E2A35"/>
              </w:rPr>
              <w:t>190,007</w:t>
            </w:r>
          </w:p>
        </w:tc>
        <w:tc>
          <w:tcPr>
            <w:tcW w:w="440" w:type="dxa"/>
            <w:vAlign w:val="bottom"/>
          </w:tcPr>
          <w:p>
            <w:pPr>
              <w:spacing w:after="0"/>
              <w:rPr>
                <w:sz w:val="21"/>
                <w:szCs w:val="21"/>
                <w:color w:val="auto"/>
              </w:rPr>
            </w:pPr>
          </w:p>
        </w:tc>
      </w:tr>
      <w:tr>
        <w:trPr>
          <w:trHeight w:val="43"/>
        </w:trPr>
        <w:tc>
          <w:tcPr>
            <w:tcW w:w="420" w:type="dxa"/>
            <w:vAlign w:val="bottom"/>
          </w:tcPr>
          <w:p>
            <w:pPr>
              <w:spacing w:after="0"/>
              <w:rPr>
                <w:sz w:val="3"/>
                <w:szCs w:val="3"/>
                <w:color w:val="auto"/>
              </w:rPr>
            </w:pPr>
          </w:p>
        </w:tc>
        <w:tc>
          <w:tcPr>
            <w:tcW w:w="1440" w:type="dxa"/>
            <w:vAlign w:val="bottom"/>
            <w:tcBorders>
              <w:bottom w:val="single" w:sz="8" w:color="0E2A35"/>
            </w:tcBorders>
          </w:tcPr>
          <w:p>
            <w:pPr>
              <w:spacing w:after="0"/>
              <w:rPr>
                <w:sz w:val="3"/>
                <w:szCs w:val="3"/>
                <w:color w:val="auto"/>
              </w:rPr>
            </w:pPr>
          </w:p>
        </w:tc>
        <w:tc>
          <w:tcPr>
            <w:tcW w:w="1100" w:type="dxa"/>
            <w:vAlign w:val="bottom"/>
            <w:tcBorders>
              <w:bottom w:val="single" w:sz="8" w:color="0E2A35"/>
            </w:tcBorders>
          </w:tcPr>
          <w:p>
            <w:pPr>
              <w:spacing w:after="0"/>
              <w:rPr>
                <w:sz w:val="3"/>
                <w:szCs w:val="3"/>
                <w:color w:val="auto"/>
              </w:rPr>
            </w:pPr>
          </w:p>
        </w:tc>
        <w:tc>
          <w:tcPr>
            <w:tcW w:w="800" w:type="dxa"/>
            <w:vAlign w:val="bottom"/>
            <w:tcBorders>
              <w:bottom w:val="single" w:sz="8" w:color="0E2A35"/>
            </w:tcBorders>
          </w:tcPr>
          <w:p>
            <w:pPr>
              <w:spacing w:after="0"/>
              <w:rPr>
                <w:sz w:val="3"/>
                <w:szCs w:val="3"/>
                <w:color w:val="auto"/>
              </w:rPr>
            </w:pPr>
          </w:p>
        </w:tc>
        <w:tc>
          <w:tcPr>
            <w:tcW w:w="700" w:type="dxa"/>
            <w:vAlign w:val="bottom"/>
            <w:tcBorders>
              <w:bottom w:val="single" w:sz="8" w:color="0E2A35"/>
            </w:tcBorders>
          </w:tcPr>
          <w:p>
            <w:pPr>
              <w:spacing w:after="0"/>
              <w:rPr>
                <w:sz w:val="3"/>
                <w:szCs w:val="3"/>
                <w:color w:val="auto"/>
              </w:rPr>
            </w:pPr>
          </w:p>
        </w:tc>
        <w:tc>
          <w:tcPr>
            <w:tcW w:w="660" w:type="dxa"/>
            <w:vAlign w:val="bottom"/>
            <w:tcBorders>
              <w:bottom w:val="single" w:sz="8" w:color="0E2A35"/>
            </w:tcBorders>
          </w:tcPr>
          <w:p>
            <w:pPr>
              <w:spacing w:after="0"/>
              <w:rPr>
                <w:sz w:val="3"/>
                <w:szCs w:val="3"/>
                <w:color w:val="auto"/>
              </w:rPr>
            </w:pPr>
          </w:p>
        </w:tc>
        <w:tc>
          <w:tcPr>
            <w:tcW w:w="240" w:type="dxa"/>
            <w:vAlign w:val="bottom"/>
            <w:tcBorders>
              <w:bottom w:val="single" w:sz="8" w:color="0E2A35"/>
            </w:tcBorders>
          </w:tcPr>
          <w:p>
            <w:pPr>
              <w:spacing w:after="0"/>
              <w:rPr>
                <w:sz w:val="3"/>
                <w:szCs w:val="3"/>
                <w:color w:val="auto"/>
              </w:rPr>
            </w:pPr>
          </w:p>
        </w:tc>
        <w:tc>
          <w:tcPr>
            <w:tcW w:w="500" w:type="dxa"/>
            <w:vAlign w:val="bottom"/>
            <w:tcBorders>
              <w:bottom w:val="single" w:sz="8" w:color="0E2A35"/>
            </w:tcBorders>
          </w:tcPr>
          <w:p>
            <w:pPr>
              <w:spacing w:after="0"/>
              <w:rPr>
                <w:sz w:val="3"/>
                <w:szCs w:val="3"/>
                <w:color w:val="auto"/>
              </w:rPr>
            </w:pPr>
          </w:p>
        </w:tc>
        <w:tc>
          <w:tcPr>
            <w:tcW w:w="68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2520" w:type="dxa"/>
            <w:vAlign w:val="bottom"/>
            <w:tcBorders>
              <w:bottom w:val="single" w:sz="8" w:color="0E2A35"/>
            </w:tcBorders>
            <w:gridSpan w:val="4"/>
          </w:tcPr>
          <w:p>
            <w:pPr>
              <w:spacing w:after="0"/>
              <w:rPr>
                <w:sz w:val="3"/>
                <w:szCs w:val="3"/>
                <w:color w:val="auto"/>
              </w:rPr>
            </w:pPr>
          </w:p>
        </w:tc>
        <w:tc>
          <w:tcPr>
            <w:tcW w:w="780" w:type="dxa"/>
            <w:vAlign w:val="bottom"/>
            <w:tcBorders>
              <w:bottom w:val="single" w:sz="8" w:color="0E2A35"/>
            </w:tcBorders>
          </w:tcPr>
          <w:p>
            <w:pPr>
              <w:spacing w:after="0"/>
              <w:rPr>
                <w:sz w:val="3"/>
                <w:szCs w:val="3"/>
                <w:color w:val="auto"/>
              </w:rPr>
            </w:pPr>
          </w:p>
        </w:tc>
        <w:tc>
          <w:tcPr>
            <w:tcW w:w="440" w:type="dxa"/>
            <w:vAlign w:val="bottom"/>
          </w:tcPr>
          <w:p>
            <w:pPr>
              <w:spacing w:after="0"/>
              <w:rPr>
                <w:sz w:val="3"/>
                <w:szCs w:val="3"/>
                <w:color w:val="auto"/>
              </w:rPr>
            </w:pPr>
          </w:p>
        </w:tc>
      </w:tr>
      <w:tr>
        <w:trPr>
          <w:trHeight w:val="463"/>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3"/>
                <w:szCs w:val="13"/>
                <w:color w:val="0E2A35"/>
              </w:rPr>
              <w:t>Proxy Statement for 2021 Annual Meeting</w:t>
            </w:r>
          </w:p>
        </w:tc>
        <w:tc>
          <w:tcPr>
            <w:tcW w:w="780" w:type="dxa"/>
            <w:vAlign w:val="bottom"/>
          </w:tcPr>
          <w:p>
            <w:pPr>
              <w:jc w:val="right"/>
              <w:ind w:right="382"/>
              <w:spacing w:after="0"/>
              <w:rPr>
                <w:sz w:val="20"/>
                <w:szCs w:val="20"/>
                <w:color w:val="auto"/>
              </w:rPr>
            </w:pPr>
            <w:r>
              <w:rPr>
                <w:rFonts w:ascii="Arial" w:cs="Arial" w:eastAsia="Arial" w:hAnsi="Arial"/>
                <w:sz w:val="13"/>
                <w:szCs w:val="13"/>
                <w:b w:val="1"/>
                <w:bCs w:val="1"/>
                <w:color w:val="0E2A35"/>
              </w:rPr>
              <w:t>56</w:t>
            </w:r>
          </w:p>
        </w:tc>
        <w:tc>
          <w:tcPr>
            <w:tcW w:w="440" w:type="dxa"/>
            <w:vAlign w:val="bottom"/>
          </w:tcPr>
          <w:p>
            <w:pPr>
              <w:spacing w:after="0"/>
              <w:rPr>
                <w:sz w:val="24"/>
                <w:szCs w:val="24"/>
                <w:color w:val="auto"/>
              </w:rPr>
            </w:pPr>
          </w:p>
        </w:tc>
      </w:tr>
      <w:tr>
        <w:trPr>
          <w:trHeight w:val="239"/>
        </w:trPr>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-5622925</wp:posOffset>
            </wp:positionV>
            <wp:extent cx="25031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0317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1" w:name="page62"/>
    <w:bookmarkEnd w:id="6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1080" w:hanging="360"/>
        <w:spacing w:after="0" w:line="225" w:lineRule="auto"/>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Fiscal 2021 OICP targets annual performance against goals established by the committee. Awards under the fiscal 2021 OICP are payable in cash. The threshold, target and maximum amounts presented above represent amounts that could have been earned by our NEOs for fiscal 2021 under the fiscal 2021 OICP.</w:t>
      </w:r>
    </w:p>
    <w:p>
      <w:pPr>
        <w:spacing w:after="0" w:line="38" w:lineRule="exact"/>
        <w:rPr>
          <w:rFonts w:ascii="Arial" w:cs="Arial" w:eastAsia="Arial" w:hAnsi="Arial"/>
          <w:sz w:val="13"/>
          <w:szCs w:val="13"/>
          <w:color w:val="0E2A35"/>
        </w:rPr>
      </w:pPr>
    </w:p>
    <w:p>
      <w:pPr>
        <w:ind w:left="1220" w:right="1020" w:hanging="360"/>
        <w:spacing w:after="0" w:line="225" w:lineRule="auto"/>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Fiscal 2021-2023 LTIP refers to our performance shares. For each of the NEOs except for Mr. Clark, the threshold, target and maximum amounts under the fiscal 2021-2023 LTIP represent potential performance share amounts that are measured over a three-year performance period from August 29, 2021 through August 26, 2023.</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Consists of restricted stock units that vest one-third each year on the anniversary of the grant date.</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The grant date fair value per share of the restricted stock was $54.49. The Black-Scholes grant date fair value per option award was $20.46.</w:t>
      </w:r>
    </w:p>
    <w:p>
      <w:pPr>
        <w:spacing w:after="0" w:line="39" w:lineRule="exact"/>
        <w:rPr>
          <w:rFonts w:ascii="Arial" w:cs="Arial" w:eastAsia="Arial" w:hAnsi="Arial"/>
          <w:sz w:val="13"/>
          <w:szCs w:val="13"/>
          <w:color w:val="0E2A35"/>
        </w:rPr>
      </w:pPr>
    </w:p>
    <w:p>
      <w:pPr>
        <w:ind w:left="1220" w:right="1000" w:hanging="360"/>
        <w:spacing w:after="0" w:line="230" w:lineRule="auto"/>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The committee approved the fiscal 2021 OICP, fiscal 2021-2023 LTIP performance share and fiscal 2021 PSU awards on October 13, 2020, effective as of the beginning of fiscal 2021.</w:t>
      </w:r>
    </w:p>
    <w:p>
      <w:pPr>
        <w:spacing w:after="0" w:line="37" w:lineRule="exact"/>
        <w:rPr>
          <w:rFonts w:ascii="Arial" w:cs="Arial" w:eastAsia="Arial" w:hAnsi="Arial"/>
          <w:sz w:val="13"/>
          <w:szCs w:val="13"/>
          <w:color w:val="0E2A35"/>
        </w:rPr>
      </w:pPr>
    </w:p>
    <w:p>
      <w:pPr>
        <w:ind w:left="1220" w:right="1560" w:hanging="360"/>
        <w:spacing w:after="0" w:line="259" w:lineRule="auto"/>
        <w:tabs>
          <w:tab w:leader="none" w:pos="1220" w:val="left"/>
        </w:tabs>
        <w:numPr>
          <w:ilvl w:val="0"/>
          <w:numId w:val="50"/>
        </w:numPr>
        <w:rPr>
          <w:rFonts w:ascii="Arial" w:cs="Arial" w:eastAsia="Arial" w:hAnsi="Arial"/>
          <w:sz w:val="12"/>
          <w:szCs w:val="12"/>
          <w:color w:val="0E2A35"/>
        </w:rPr>
      </w:pPr>
      <w:r>
        <w:rPr>
          <w:rFonts w:ascii="Arial" w:cs="Arial" w:eastAsia="Arial" w:hAnsi="Arial"/>
          <w:sz w:val="12"/>
          <w:szCs w:val="12"/>
          <w:color w:val="0E2A35"/>
        </w:rPr>
        <w:t>For each of the NEOs except for Messrs. Bower and Clark, the threshold, target and maximum amounts for the fiscal 2021 PSUs represent potential performance stock unit amounts that are measured over a one-year performance period from September 1, 2020 through August 28, 2021.</w:t>
      </w:r>
    </w:p>
    <w:p>
      <w:pPr>
        <w:spacing w:after="0" w:line="26" w:lineRule="exact"/>
        <w:rPr>
          <w:rFonts w:ascii="Arial" w:cs="Arial" w:eastAsia="Arial" w:hAnsi="Arial"/>
          <w:sz w:val="12"/>
          <w:szCs w:val="12"/>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Mr. Clark is not eligible to participate in the OICP, LTIP or fiscal 2021 PSUs; however he remains eligible to participate in the Grand Design MIP.</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The committee approved this award on August 21, 2020.</w:t>
      </w:r>
    </w:p>
    <w:p>
      <w:pPr>
        <w:spacing w:after="0" w:line="175" w:lineRule="exact"/>
        <w:rPr>
          <w:sz w:val="20"/>
          <w:szCs w:val="20"/>
          <w:color w:val="auto"/>
        </w:rPr>
      </w:pPr>
    </w:p>
    <w:p>
      <w:pPr>
        <w:ind w:left="860" w:right="1040"/>
        <w:spacing w:after="0" w:line="261" w:lineRule="auto"/>
        <w:rPr>
          <w:sz w:val="20"/>
          <w:szCs w:val="20"/>
          <w:color w:val="auto"/>
        </w:rPr>
      </w:pPr>
      <w:r>
        <w:rPr>
          <w:rFonts w:ascii="Arial" w:cs="Arial" w:eastAsia="Arial" w:hAnsi="Arial"/>
          <w:sz w:val="22"/>
          <w:szCs w:val="22"/>
          <w:b w:val="1"/>
          <w:bCs w:val="1"/>
          <w:color w:val="284752"/>
        </w:rPr>
        <w:t>Narrative Disclosure to Summary Compensation Table and Grants of Plan-Based Awards Table</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Executive Employment Arrangements</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None of the current NEOs has an employment agreement except for Mr. Happe and Mr. Clark as previously discussed. However,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all NEOs are party to a CIC Agreement that provides the executive with two-year (or three-year, in the case of Mr. Happe or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$3,000,000 in the case of Mr. Clark) severance benefits in the event he ceased to be employed by the Company within two years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of a change in control, as defined in the agreement. Discussion of the payouts provided for under various termination situations is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set forth in the section “Potential Payments upon Termination or Change in Control” below.</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Base Salary</w:t>
      </w:r>
    </w:p>
    <w:p>
      <w:pPr>
        <w:spacing w:after="0" w:line="201" w:lineRule="exact"/>
        <w:rPr>
          <w:sz w:val="20"/>
          <w:szCs w:val="20"/>
          <w:color w:val="auto"/>
        </w:rPr>
      </w:pPr>
    </w:p>
    <w:p>
      <w:pPr>
        <w:ind w:left="860" w:right="1320"/>
        <w:spacing w:after="0" w:line="260" w:lineRule="auto"/>
        <w:rPr>
          <w:sz w:val="20"/>
          <w:szCs w:val="20"/>
          <w:color w:val="auto"/>
        </w:rPr>
      </w:pPr>
      <w:r>
        <w:rPr>
          <w:rFonts w:ascii="Arial" w:cs="Arial" w:eastAsia="Arial" w:hAnsi="Arial"/>
          <w:sz w:val="16"/>
          <w:szCs w:val="16"/>
          <w:color w:val="0E2A35"/>
        </w:rPr>
        <w:t>In general, the committee annually reviews and adjusts base pay, in keeping with the overall objectives, pay philosophy and relative position with comparable companies, as discussed in more detail in the Compensation Discussion and Analysis.</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Stock Awards</w:t>
      </w:r>
    </w:p>
    <w:p>
      <w:pPr>
        <w:spacing w:after="0" w:line="201"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Annual Incentive Plan</w:t>
      </w:r>
    </w:p>
    <w:p>
      <w:pPr>
        <w:spacing w:after="0" w:line="214"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Long-Term Incentive Plans</w:t>
      </w:r>
    </w:p>
    <w:p>
      <w:pPr>
        <w:spacing w:after="0" w:line="201"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This element of compensation, including payouts made in fiscal 2019, 2020, and 2021,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57</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2" w:name="page63"/>
    <w:bookmarkEnd w:id="62"/>
    <w:p>
      <w:pPr>
        <w:ind w:left="42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Outstanding Equity Awards at Fiscal Year-End Table</w:t>
      </w:r>
    </w:p>
    <w:p>
      <w:pPr>
        <w:spacing w:after="0" w:line="186" w:lineRule="exact"/>
        <w:rPr>
          <w:sz w:val="20"/>
          <w:szCs w:val="20"/>
          <w:color w:val="auto"/>
        </w:rPr>
      </w:pPr>
    </w:p>
    <w:p>
      <w:pPr>
        <w:ind w:left="860" w:right="1280"/>
        <w:spacing w:after="0" w:line="260" w:lineRule="auto"/>
        <w:rPr>
          <w:sz w:val="20"/>
          <w:szCs w:val="20"/>
          <w:color w:val="auto"/>
        </w:rPr>
      </w:pPr>
      <w:r>
        <w:rPr>
          <w:rFonts w:ascii="Arial" w:cs="Arial" w:eastAsia="Arial" w:hAnsi="Arial"/>
          <w:sz w:val="16"/>
          <w:szCs w:val="16"/>
          <w:color w:val="0E2A35"/>
        </w:rPr>
        <w:t>The following table provides information regarding the outstanding equity awards held by each of the NEOs as of August 28,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20" w:type="dxa"/>
            <w:vAlign w:val="bottom"/>
          </w:tcPr>
          <w:p>
            <w:pPr>
              <w:spacing w:after="0"/>
              <w:rPr>
                <w:sz w:val="22"/>
                <w:szCs w:val="22"/>
                <w:color w:val="auto"/>
              </w:rPr>
            </w:pPr>
          </w:p>
        </w:tc>
        <w:tc>
          <w:tcPr>
            <w:tcW w:w="1600" w:type="dxa"/>
            <w:vAlign w:val="bottom"/>
            <w:shd w:val="clear" w:color="auto" w:fill="0E2A35"/>
          </w:tcPr>
          <w:p>
            <w:pPr>
              <w:spacing w:after="0"/>
              <w:rPr>
                <w:sz w:val="22"/>
                <w:szCs w:val="22"/>
                <w:color w:val="auto"/>
              </w:rPr>
            </w:pPr>
          </w:p>
        </w:tc>
        <w:tc>
          <w:tcPr>
            <w:tcW w:w="1000" w:type="dxa"/>
            <w:vAlign w:val="bottom"/>
            <w:shd w:val="clear" w:color="auto" w:fill="0E2A35"/>
          </w:tcPr>
          <w:p>
            <w:pPr>
              <w:spacing w:after="0"/>
              <w:rPr>
                <w:sz w:val="22"/>
                <w:szCs w:val="22"/>
                <w:color w:val="auto"/>
              </w:rPr>
            </w:pPr>
          </w:p>
        </w:tc>
        <w:tc>
          <w:tcPr>
            <w:tcW w:w="1780" w:type="dxa"/>
            <w:vAlign w:val="bottom"/>
            <w:gridSpan w:val="2"/>
            <w:shd w:val="clear" w:color="auto" w:fill="0E2A35"/>
          </w:tcPr>
          <w:p>
            <w:pPr>
              <w:jc w:val="right"/>
              <w:ind w:right="453"/>
              <w:spacing w:after="0"/>
              <w:rPr>
                <w:sz w:val="20"/>
                <w:szCs w:val="20"/>
                <w:color w:val="auto"/>
              </w:rPr>
            </w:pPr>
            <w:r>
              <w:rPr>
                <w:rFonts w:ascii="Arial" w:cs="Arial" w:eastAsia="Arial" w:hAnsi="Arial"/>
                <w:sz w:val="13"/>
                <w:szCs w:val="13"/>
                <w:b w:val="1"/>
                <w:bCs w:val="1"/>
                <w:color w:val="FFFFFF"/>
              </w:rPr>
              <w:t>Option Awards</w:t>
            </w:r>
          </w:p>
        </w:tc>
        <w:tc>
          <w:tcPr>
            <w:tcW w:w="740" w:type="dxa"/>
            <w:vAlign w:val="bottom"/>
            <w:shd w:val="clear" w:color="auto" w:fill="0E2A35"/>
          </w:tcPr>
          <w:p>
            <w:pPr>
              <w:spacing w:after="0"/>
              <w:rPr>
                <w:sz w:val="22"/>
                <w:szCs w:val="22"/>
                <w:color w:val="auto"/>
              </w:rPr>
            </w:pPr>
          </w:p>
        </w:tc>
        <w:tc>
          <w:tcPr>
            <w:tcW w:w="2360" w:type="dxa"/>
            <w:vAlign w:val="bottom"/>
            <w:gridSpan w:val="2"/>
            <w:shd w:val="clear" w:color="auto" w:fill="0E2A35"/>
          </w:tcPr>
          <w:p>
            <w:pPr>
              <w:jc w:val="right"/>
              <w:ind w:right="695"/>
              <w:spacing w:after="0"/>
              <w:rPr>
                <w:sz w:val="20"/>
                <w:szCs w:val="20"/>
                <w:color w:val="auto"/>
              </w:rPr>
            </w:pPr>
            <w:r>
              <w:rPr>
                <w:rFonts w:ascii="Arial" w:cs="Arial" w:eastAsia="Arial" w:hAnsi="Arial"/>
                <w:sz w:val="13"/>
                <w:szCs w:val="13"/>
                <w:b w:val="1"/>
                <w:bCs w:val="1"/>
                <w:color w:val="FFFFFF"/>
              </w:rPr>
              <w:t>Stock Awards</w:t>
            </w:r>
          </w:p>
        </w:tc>
        <w:tc>
          <w:tcPr>
            <w:tcW w:w="2680" w:type="dxa"/>
            <w:vAlign w:val="bottom"/>
            <w:gridSpan w:val="3"/>
            <w:shd w:val="clear" w:color="auto" w:fill="0E2A35"/>
          </w:tcPr>
          <w:p>
            <w:pPr>
              <w:jc w:val="right"/>
              <w:ind w:right="533"/>
              <w:spacing w:after="0"/>
              <w:rPr>
                <w:sz w:val="20"/>
                <w:szCs w:val="20"/>
                <w:color w:val="auto"/>
              </w:rPr>
            </w:pPr>
            <w:r>
              <w:rPr>
                <w:rFonts w:ascii="Arial" w:cs="Arial" w:eastAsia="Arial" w:hAnsi="Arial"/>
                <w:sz w:val="13"/>
                <w:szCs w:val="13"/>
                <w:b w:val="1"/>
                <w:bCs w:val="1"/>
                <w:color w:val="FFFFFF"/>
              </w:rPr>
              <w:t>LTIP / Performance Shares</w:t>
            </w:r>
          </w:p>
        </w:tc>
        <w:tc>
          <w:tcPr>
            <w:tcW w:w="440" w:type="dxa"/>
            <w:vAlign w:val="bottom"/>
          </w:tcPr>
          <w:p>
            <w:pPr>
              <w:spacing w:after="0"/>
              <w:rPr>
                <w:sz w:val="22"/>
                <w:szCs w:val="22"/>
                <w:color w:val="auto"/>
              </w:rPr>
            </w:pPr>
          </w:p>
        </w:tc>
      </w:tr>
      <w:tr>
        <w:trPr>
          <w:trHeight w:val="224"/>
        </w:trPr>
        <w:tc>
          <w:tcPr>
            <w:tcW w:w="420" w:type="dxa"/>
            <w:vAlign w:val="bottom"/>
          </w:tcPr>
          <w:p>
            <w:pPr>
              <w:spacing w:after="0"/>
              <w:rPr>
                <w:sz w:val="19"/>
                <w:szCs w:val="19"/>
                <w:color w:val="auto"/>
              </w:rPr>
            </w:pPr>
          </w:p>
        </w:tc>
        <w:tc>
          <w:tcPr>
            <w:tcW w:w="1600" w:type="dxa"/>
            <w:vAlign w:val="bottom"/>
            <w:shd w:val="clear" w:color="auto" w:fill="0E2A35"/>
          </w:tcPr>
          <w:p>
            <w:pPr>
              <w:spacing w:after="0"/>
              <w:rPr>
                <w:sz w:val="19"/>
                <w:szCs w:val="19"/>
                <w:color w:val="auto"/>
              </w:rPr>
            </w:pPr>
          </w:p>
        </w:tc>
        <w:tc>
          <w:tcPr>
            <w:tcW w:w="1000" w:type="dxa"/>
            <w:vAlign w:val="bottom"/>
            <w:shd w:val="clear" w:color="auto" w:fill="0E2A35"/>
          </w:tcPr>
          <w:p>
            <w:pPr>
              <w:spacing w:after="0"/>
              <w:rPr>
                <w:sz w:val="19"/>
                <w:szCs w:val="19"/>
                <w:color w:val="auto"/>
              </w:rPr>
            </w:pPr>
          </w:p>
        </w:tc>
        <w:tc>
          <w:tcPr>
            <w:tcW w:w="1080" w:type="dxa"/>
            <w:vAlign w:val="bottom"/>
            <w:shd w:val="clear" w:color="auto" w:fill="0E2A35"/>
          </w:tcPr>
          <w:p>
            <w:pPr>
              <w:spacing w:after="0"/>
              <w:rPr>
                <w:sz w:val="19"/>
                <w:szCs w:val="19"/>
                <w:color w:val="auto"/>
              </w:rPr>
            </w:pPr>
          </w:p>
        </w:tc>
        <w:tc>
          <w:tcPr>
            <w:tcW w:w="700" w:type="dxa"/>
            <w:vAlign w:val="bottom"/>
            <w:shd w:val="clear" w:color="auto" w:fill="0E2A35"/>
          </w:tcPr>
          <w:p>
            <w:pPr>
              <w:spacing w:after="0"/>
              <w:rPr>
                <w:sz w:val="19"/>
                <w:szCs w:val="19"/>
                <w:color w:val="auto"/>
              </w:rPr>
            </w:pPr>
          </w:p>
        </w:tc>
        <w:tc>
          <w:tcPr>
            <w:tcW w:w="74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c>
          <w:tcPr>
            <w:tcW w:w="1160" w:type="dxa"/>
            <w:vAlign w:val="bottom"/>
            <w:shd w:val="clear" w:color="auto" w:fill="0E2A35"/>
          </w:tcPr>
          <w:p>
            <w:pPr>
              <w:spacing w:after="0"/>
              <w:rPr>
                <w:sz w:val="19"/>
                <w:szCs w:val="19"/>
                <w:color w:val="auto"/>
              </w:rPr>
            </w:pPr>
          </w:p>
        </w:tc>
        <w:tc>
          <w:tcPr>
            <w:tcW w:w="1280" w:type="dxa"/>
            <w:vAlign w:val="bottom"/>
            <w:shd w:val="clear" w:color="auto" w:fill="0E2A35"/>
          </w:tcPr>
          <w:p>
            <w:pPr>
              <w:jc w:val="center"/>
              <w:ind w:right="94"/>
              <w:spacing w:after="0"/>
              <w:rPr>
                <w:sz w:val="20"/>
                <w:szCs w:val="20"/>
                <w:color w:val="auto"/>
              </w:rPr>
            </w:pPr>
            <w:r>
              <w:rPr>
                <w:rFonts w:ascii="Arial" w:cs="Arial" w:eastAsia="Arial" w:hAnsi="Arial"/>
                <w:sz w:val="13"/>
                <w:szCs w:val="13"/>
                <w:b w:val="1"/>
                <w:bCs w:val="1"/>
                <w:color w:val="FFFFFF"/>
                <w:w w:val="96"/>
              </w:rPr>
              <w:t>Equity Incentive</w:t>
            </w:r>
          </w:p>
        </w:tc>
        <w:tc>
          <w:tcPr>
            <w:tcW w:w="1400" w:type="dxa"/>
            <w:vAlign w:val="bottom"/>
            <w:gridSpan w:val="2"/>
            <w:shd w:val="clear" w:color="auto" w:fill="0E2A35"/>
          </w:tcPr>
          <w:p>
            <w:pPr>
              <w:jc w:val="center"/>
              <w:ind w:right="13"/>
              <w:spacing w:after="0"/>
              <w:rPr>
                <w:sz w:val="20"/>
                <w:szCs w:val="20"/>
                <w:color w:val="auto"/>
              </w:rPr>
            </w:pPr>
            <w:r>
              <w:rPr>
                <w:rFonts w:ascii="Arial" w:cs="Arial" w:eastAsia="Arial" w:hAnsi="Arial"/>
                <w:sz w:val="13"/>
                <w:szCs w:val="13"/>
                <w:b w:val="1"/>
                <w:bCs w:val="1"/>
                <w:color w:val="FFFFFF"/>
                <w:w w:val="96"/>
              </w:rPr>
              <w:t>Equity Incentive</w:t>
            </w:r>
          </w:p>
        </w:tc>
        <w:tc>
          <w:tcPr>
            <w:tcW w:w="440" w:type="dxa"/>
            <w:vAlign w:val="bottom"/>
          </w:tcPr>
          <w:p>
            <w:pPr>
              <w:spacing w:after="0"/>
              <w:rPr>
                <w:sz w:val="19"/>
                <w:szCs w:val="19"/>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1000" w:type="dxa"/>
            <w:vAlign w:val="bottom"/>
            <w:shd w:val="clear" w:color="auto" w:fill="0E2A35"/>
          </w:tcPr>
          <w:p>
            <w:pPr>
              <w:spacing w:after="0"/>
              <w:rPr>
                <w:sz w:val="11"/>
                <w:szCs w:val="11"/>
                <w:color w:val="auto"/>
              </w:rPr>
            </w:pPr>
          </w:p>
        </w:tc>
        <w:tc>
          <w:tcPr>
            <w:tcW w:w="1080" w:type="dxa"/>
            <w:vAlign w:val="bottom"/>
            <w:shd w:val="clear" w:color="auto" w:fill="0E2A35"/>
          </w:tcPr>
          <w:p>
            <w:pPr>
              <w:spacing w:after="0"/>
              <w:rPr>
                <w:sz w:val="11"/>
                <w:szCs w:val="11"/>
                <w:color w:val="auto"/>
              </w:rPr>
            </w:pPr>
          </w:p>
        </w:tc>
        <w:tc>
          <w:tcPr>
            <w:tcW w:w="70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160" w:type="dxa"/>
            <w:vAlign w:val="bottom"/>
            <w:shd w:val="clear" w:color="auto" w:fill="0E2A35"/>
          </w:tcPr>
          <w:p>
            <w:pPr>
              <w:spacing w:after="0"/>
              <w:rPr>
                <w:sz w:val="11"/>
                <w:szCs w:val="11"/>
                <w:color w:val="auto"/>
              </w:rPr>
            </w:pPr>
          </w:p>
        </w:tc>
        <w:tc>
          <w:tcPr>
            <w:tcW w:w="1280" w:type="dxa"/>
            <w:vAlign w:val="bottom"/>
            <w:shd w:val="clear" w:color="auto" w:fill="0E2A35"/>
          </w:tcPr>
          <w:p>
            <w:pPr>
              <w:jc w:val="center"/>
              <w:ind w:right="94"/>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10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80" w:type="dxa"/>
            <w:vAlign w:val="bottom"/>
            <w:shd w:val="clear" w:color="auto" w:fill="0E2A35"/>
          </w:tcPr>
          <w:p>
            <w:pPr>
              <w:jc w:val="center"/>
              <w:ind w:right="17"/>
              <w:spacing w:after="0" w:line="135" w:lineRule="exact"/>
              <w:rPr>
                <w:sz w:val="20"/>
                <w:szCs w:val="20"/>
                <w:color w:val="auto"/>
              </w:rPr>
            </w:pPr>
            <w:r>
              <w:rPr>
                <w:rFonts w:ascii="Arial" w:cs="Arial" w:eastAsia="Arial" w:hAnsi="Arial"/>
                <w:sz w:val="13"/>
                <w:szCs w:val="13"/>
                <w:b w:val="1"/>
                <w:bCs w:val="1"/>
                <w:color w:val="FFFFFF"/>
                <w:w w:val="98"/>
              </w:rPr>
              <w:t>Number of</w:t>
            </w:r>
          </w:p>
        </w:tc>
        <w:tc>
          <w:tcPr>
            <w:tcW w:w="70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160" w:type="dxa"/>
            <w:vAlign w:val="bottom"/>
            <w:shd w:val="clear" w:color="auto" w:fill="0E2A35"/>
          </w:tcPr>
          <w:p>
            <w:pPr>
              <w:spacing w:after="0"/>
              <w:rPr>
                <w:sz w:val="11"/>
                <w:szCs w:val="11"/>
                <w:color w:val="auto"/>
              </w:rPr>
            </w:pPr>
          </w:p>
        </w:tc>
        <w:tc>
          <w:tcPr>
            <w:tcW w:w="1280" w:type="dxa"/>
            <w:vAlign w:val="bottom"/>
            <w:shd w:val="clear" w:color="auto" w:fill="0E2A35"/>
          </w:tcPr>
          <w:p>
            <w:pPr>
              <w:jc w:val="center"/>
              <w:ind w:right="94"/>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400" w:type="dxa"/>
            <w:vAlign w:val="bottom"/>
            <w:gridSpan w:val="2"/>
            <w:shd w:val="clear" w:color="auto" w:fill="0E2A35"/>
          </w:tcPr>
          <w:p>
            <w:pPr>
              <w:jc w:val="center"/>
              <w:ind w:right="33"/>
              <w:spacing w:after="0" w:line="135" w:lineRule="exact"/>
              <w:rPr>
                <w:sz w:val="20"/>
                <w:szCs w:val="20"/>
                <w:color w:val="auto"/>
              </w:rPr>
            </w:pPr>
            <w:r>
              <w:rPr>
                <w:rFonts w:ascii="Arial" w:cs="Arial" w:eastAsia="Arial" w:hAnsi="Arial"/>
                <w:sz w:val="13"/>
                <w:szCs w:val="13"/>
                <w:b w:val="1"/>
                <w:bCs w:val="1"/>
                <w:color w:val="FFFFFF"/>
                <w:w w:val="96"/>
              </w:rPr>
              <w:t>Market or Payout</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10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Securities</w:t>
            </w:r>
          </w:p>
        </w:tc>
        <w:tc>
          <w:tcPr>
            <w:tcW w:w="1080" w:type="dxa"/>
            <w:vAlign w:val="bottom"/>
            <w:shd w:val="clear" w:color="auto" w:fill="0E2A35"/>
          </w:tcPr>
          <w:p>
            <w:pPr>
              <w:jc w:val="center"/>
              <w:ind w:right="1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0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7"/>
              </w:rPr>
              <w:t>Market Value</w:t>
            </w:r>
          </w:p>
        </w:tc>
        <w:tc>
          <w:tcPr>
            <w:tcW w:w="1280" w:type="dxa"/>
            <w:vAlign w:val="bottom"/>
            <w:shd w:val="clear" w:color="auto" w:fill="0E2A35"/>
          </w:tcPr>
          <w:p>
            <w:pPr>
              <w:jc w:val="center"/>
              <w:ind w:right="94"/>
              <w:spacing w:after="0" w:line="135" w:lineRule="exact"/>
              <w:rPr>
                <w:sz w:val="20"/>
                <w:szCs w:val="20"/>
                <w:color w:val="auto"/>
              </w:rPr>
            </w:pPr>
            <w:r>
              <w:rPr>
                <w:rFonts w:ascii="Arial" w:cs="Arial" w:eastAsia="Arial" w:hAnsi="Arial"/>
                <w:sz w:val="13"/>
                <w:szCs w:val="13"/>
                <w:b w:val="1"/>
                <w:bCs w:val="1"/>
                <w:color w:val="FFFFFF"/>
                <w:w w:val="97"/>
              </w:rPr>
              <w:t>Unearned Shares,</w:t>
            </w:r>
          </w:p>
        </w:tc>
        <w:tc>
          <w:tcPr>
            <w:tcW w:w="1400" w:type="dxa"/>
            <w:vAlign w:val="bottom"/>
            <w:gridSpan w:val="2"/>
            <w:shd w:val="clear" w:color="auto" w:fill="0E2A35"/>
          </w:tcPr>
          <w:p>
            <w:pPr>
              <w:jc w:val="center"/>
              <w:ind w:right="33"/>
              <w:spacing w:after="0" w:line="135" w:lineRule="exact"/>
              <w:rPr>
                <w:sz w:val="20"/>
                <w:szCs w:val="20"/>
                <w:color w:val="auto"/>
              </w:rPr>
            </w:pPr>
            <w:r>
              <w:rPr>
                <w:rFonts w:ascii="Arial" w:cs="Arial" w:eastAsia="Arial" w:hAnsi="Arial"/>
                <w:sz w:val="13"/>
                <w:szCs w:val="13"/>
                <w:b w:val="1"/>
                <w:bCs w:val="1"/>
                <w:color w:val="FFFFFF"/>
                <w:w w:val="96"/>
              </w:rPr>
              <w:t>Value of Unearned</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10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0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7"/>
              </w:rPr>
              <w:t>of Shares or</w:t>
            </w:r>
          </w:p>
        </w:tc>
        <w:tc>
          <w:tcPr>
            <w:tcW w:w="1280" w:type="dxa"/>
            <w:vAlign w:val="bottom"/>
            <w:shd w:val="clear" w:color="auto" w:fill="0E2A35"/>
          </w:tcPr>
          <w:p>
            <w:pPr>
              <w:jc w:val="center"/>
              <w:ind w:right="94"/>
              <w:spacing w:after="0" w:line="135" w:lineRule="exact"/>
              <w:rPr>
                <w:sz w:val="20"/>
                <w:szCs w:val="20"/>
                <w:color w:val="auto"/>
              </w:rPr>
            </w:pPr>
            <w:r>
              <w:rPr>
                <w:rFonts w:ascii="Arial" w:cs="Arial" w:eastAsia="Arial" w:hAnsi="Arial"/>
                <w:sz w:val="13"/>
                <w:szCs w:val="13"/>
                <w:b w:val="1"/>
                <w:bCs w:val="1"/>
                <w:color w:val="FFFFFF"/>
                <w:w w:val="96"/>
              </w:rPr>
              <w:t>Units or Other</w:t>
            </w: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6"/>
              </w:rPr>
              <w:t>Shares, Units or</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10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080" w:type="dxa"/>
            <w:vAlign w:val="bottom"/>
            <w:shd w:val="clear" w:color="auto" w:fill="0E2A35"/>
          </w:tcPr>
          <w:p>
            <w:pPr>
              <w:jc w:val="center"/>
              <w:ind w:right="17"/>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7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74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8"/>
              </w:rPr>
              <w:t>Units of Stock</w:t>
            </w:r>
          </w:p>
        </w:tc>
        <w:tc>
          <w:tcPr>
            <w:tcW w:w="1280" w:type="dxa"/>
            <w:vAlign w:val="bottom"/>
            <w:shd w:val="clear" w:color="auto" w:fill="0E2A35"/>
          </w:tcPr>
          <w:p>
            <w:pPr>
              <w:jc w:val="center"/>
              <w:ind w:right="94"/>
              <w:spacing w:after="0" w:line="135" w:lineRule="exact"/>
              <w:rPr>
                <w:sz w:val="20"/>
                <w:szCs w:val="20"/>
                <w:color w:val="auto"/>
              </w:rPr>
            </w:pPr>
            <w:r>
              <w:rPr>
                <w:rFonts w:ascii="Arial" w:cs="Arial" w:eastAsia="Arial" w:hAnsi="Arial"/>
                <w:sz w:val="13"/>
                <w:szCs w:val="13"/>
                <w:b w:val="1"/>
                <w:bCs w:val="1"/>
                <w:color w:val="FFFFFF"/>
                <w:w w:val="95"/>
              </w:rPr>
              <w:t>Rights That</w:t>
            </w: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6"/>
              </w:rPr>
              <w:t>Other Rights</w:t>
            </w:r>
          </w:p>
        </w:tc>
        <w:tc>
          <w:tcPr>
            <w:tcW w:w="440" w:type="dxa"/>
            <w:vAlign w:val="bottom"/>
          </w:tcPr>
          <w:p>
            <w:pPr>
              <w:spacing w:after="0"/>
              <w:rPr>
                <w:sz w:val="11"/>
                <w:szCs w:val="11"/>
                <w:color w:val="auto"/>
              </w:rPr>
            </w:pPr>
          </w:p>
        </w:tc>
      </w:tr>
      <w:tr>
        <w:trPr>
          <w:trHeight w:val="135"/>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10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10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7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7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Option</w:t>
            </w: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160" w:type="dxa"/>
            <w:vAlign w:val="bottom"/>
            <w:shd w:val="clear" w:color="auto" w:fill="0E2A35"/>
          </w:tcPr>
          <w:p>
            <w:pPr>
              <w:jc w:val="center"/>
              <w:ind w:right="75"/>
              <w:spacing w:after="0" w:line="135" w:lineRule="exact"/>
              <w:rPr>
                <w:sz w:val="20"/>
                <w:szCs w:val="20"/>
                <w:color w:val="auto"/>
              </w:rPr>
            </w:pPr>
            <w:r>
              <w:rPr>
                <w:rFonts w:ascii="Arial" w:cs="Arial" w:eastAsia="Arial" w:hAnsi="Arial"/>
                <w:sz w:val="13"/>
                <w:szCs w:val="13"/>
                <w:b w:val="1"/>
                <w:bCs w:val="1"/>
                <w:color w:val="FFFFFF"/>
                <w:w w:val="98"/>
              </w:rPr>
              <w:t>That Have Not</w:t>
            </w:r>
          </w:p>
        </w:tc>
        <w:tc>
          <w:tcPr>
            <w:tcW w:w="1280" w:type="dxa"/>
            <w:vAlign w:val="bottom"/>
            <w:shd w:val="clear" w:color="auto" w:fill="0E2A35"/>
          </w:tcPr>
          <w:p>
            <w:pPr>
              <w:jc w:val="center"/>
              <w:ind w:right="94"/>
              <w:spacing w:after="0" w:line="135" w:lineRule="exact"/>
              <w:rPr>
                <w:sz w:val="20"/>
                <w:szCs w:val="20"/>
                <w:color w:val="auto"/>
              </w:rPr>
            </w:pPr>
            <w:r>
              <w:rPr>
                <w:rFonts w:ascii="Arial" w:cs="Arial" w:eastAsia="Arial" w:hAnsi="Arial"/>
                <w:sz w:val="13"/>
                <w:szCs w:val="13"/>
                <w:b w:val="1"/>
                <w:bCs w:val="1"/>
                <w:color w:val="FFFFFF"/>
                <w:w w:val="94"/>
              </w:rPr>
              <w:t>Have Not Yet</w:t>
            </w:r>
          </w:p>
        </w:tc>
        <w:tc>
          <w:tcPr>
            <w:tcW w:w="1400" w:type="dxa"/>
            <w:vAlign w:val="bottom"/>
            <w:gridSpan w:val="2"/>
            <w:shd w:val="clear" w:color="auto" w:fill="0E2A35"/>
          </w:tcPr>
          <w:p>
            <w:pPr>
              <w:jc w:val="center"/>
              <w:ind w:right="13"/>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440" w:type="dxa"/>
            <w:vAlign w:val="bottom"/>
          </w:tcPr>
          <w:p>
            <w:pPr>
              <w:spacing w:after="0"/>
              <w:rPr>
                <w:sz w:val="11"/>
                <w:szCs w:val="11"/>
                <w:color w:val="auto"/>
              </w:rPr>
            </w:pPr>
          </w:p>
        </w:tc>
      </w:tr>
      <w:tr>
        <w:trPr>
          <w:trHeight w:val="131"/>
        </w:trPr>
        <w:tc>
          <w:tcPr>
            <w:tcW w:w="420" w:type="dxa"/>
            <w:vAlign w:val="bottom"/>
          </w:tcPr>
          <w:p>
            <w:pPr>
              <w:spacing w:after="0"/>
              <w:rPr>
                <w:sz w:val="11"/>
                <w:szCs w:val="11"/>
                <w:color w:val="auto"/>
              </w:rPr>
            </w:pPr>
          </w:p>
        </w:tc>
        <w:tc>
          <w:tcPr>
            <w:tcW w:w="1600" w:type="dxa"/>
            <w:vAlign w:val="bottom"/>
            <w:shd w:val="clear" w:color="auto" w:fill="0E2A35"/>
          </w:tcPr>
          <w:p>
            <w:pPr>
              <w:spacing w:after="0"/>
              <w:rPr>
                <w:sz w:val="11"/>
                <w:szCs w:val="11"/>
                <w:color w:val="auto"/>
              </w:rPr>
            </w:pPr>
          </w:p>
        </w:tc>
        <w:tc>
          <w:tcPr>
            <w:tcW w:w="10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87"/>
              </w:rPr>
              <w:t>(#)</w:t>
            </w:r>
          </w:p>
        </w:tc>
        <w:tc>
          <w:tcPr>
            <w:tcW w:w="1080" w:type="dxa"/>
            <w:vAlign w:val="bottom"/>
            <w:shd w:val="clear" w:color="auto" w:fill="0E2A35"/>
          </w:tcPr>
          <w:p>
            <w:pPr>
              <w:jc w:val="center"/>
              <w:ind w:right="17"/>
              <w:spacing w:after="0" w:line="131" w:lineRule="exact"/>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rPr>
              <w:t>Price</w:t>
            </w:r>
          </w:p>
        </w:tc>
        <w:tc>
          <w:tcPr>
            <w:tcW w:w="7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Expiration</w:t>
            </w:r>
          </w:p>
        </w:tc>
        <w:tc>
          <w:tcPr>
            <w:tcW w:w="1200" w:type="dxa"/>
            <w:vAlign w:val="bottom"/>
            <w:shd w:val="clear" w:color="auto" w:fill="0E2A35"/>
          </w:tcPr>
          <w:p>
            <w:pPr>
              <w:jc w:val="right"/>
              <w:ind w:right="294"/>
              <w:spacing w:after="0" w:line="131" w:lineRule="exact"/>
              <w:rPr>
                <w:sz w:val="20"/>
                <w:szCs w:val="20"/>
                <w:color w:val="auto"/>
              </w:rPr>
            </w:pPr>
            <w:r>
              <w:rPr>
                <w:rFonts w:ascii="Arial" w:cs="Arial" w:eastAsia="Arial" w:hAnsi="Arial"/>
                <w:sz w:val="13"/>
                <w:szCs w:val="13"/>
                <w:b w:val="1"/>
                <w:bCs w:val="1"/>
                <w:color w:val="FFFFFF"/>
              </w:rPr>
              <w:t>Vested</w:t>
            </w:r>
          </w:p>
        </w:tc>
        <w:tc>
          <w:tcPr>
            <w:tcW w:w="1160" w:type="dxa"/>
            <w:vAlign w:val="bottom"/>
            <w:shd w:val="clear" w:color="auto" w:fill="0E2A35"/>
          </w:tcPr>
          <w:p>
            <w:pPr>
              <w:jc w:val="right"/>
              <w:ind w:right="375"/>
              <w:spacing w:after="0" w:line="131" w:lineRule="exact"/>
              <w:rPr>
                <w:sz w:val="20"/>
                <w:szCs w:val="20"/>
                <w:color w:val="auto"/>
              </w:rPr>
            </w:pPr>
            <w:r>
              <w:rPr>
                <w:rFonts w:ascii="Arial" w:cs="Arial" w:eastAsia="Arial" w:hAnsi="Arial"/>
                <w:sz w:val="13"/>
                <w:szCs w:val="13"/>
                <w:b w:val="1"/>
                <w:bCs w:val="1"/>
                <w:color w:val="FFFFFF"/>
              </w:rPr>
              <w:t>Vested</w:t>
            </w:r>
          </w:p>
        </w:tc>
        <w:tc>
          <w:tcPr>
            <w:tcW w:w="1280" w:type="dxa"/>
            <w:vAlign w:val="bottom"/>
            <w:shd w:val="clear" w:color="auto" w:fill="0E2A35"/>
          </w:tcPr>
          <w:p>
            <w:pPr>
              <w:jc w:val="right"/>
              <w:ind w:right="434"/>
              <w:spacing w:after="0" w:line="131" w:lineRule="exact"/>
              <w:rPr>
                <w:sz w:val="20"/>
                <w:szCs w:val="20"/>
                <w:color w:val="auto"/>
              </w:rPr>
            </w:pPr>
            <w:r>
              <w:rPr>
                <w:rFonts w:ascii="Arial" w:cs="Arial" w:eastAsia="Arial" w:hAnsi="Arial"/>
                <w:sz w:val="13"/>
                <w:szCs w:val="13"/>
                <w:b w:val="1"/>
                <w:bCs w:val="1"/>
                <w:color w:val="FFFFFF"/>
              </w:rPr>
              <w:t>Vested</w:t>
            </w:r>
          </w:p>
        </w:tc>
        <w:tc>
          <w:tcPr>
            <w:tcW w:w="1400" w:type="dxa"/>
            <w:vAlign w:val="bottom"/>
            <w:gridSpan w:val="2"/>
            <w:shd w:val="clear" w:color="auto" w:fill="0E2A35"/>
          </w:tcPr>
          <w:p>
            <w:pPr>
              <w:jc w:val="right"/>
              <w:ind w:right="453"/>
              <w:spacing w:after="0" w:line="131" w:lineRule="exact"/>
              <w:rPr>
                <w:sz w:val="20"/>
                <w:szCs w:val="20"/>
                <w:color w:val="auto"/>
              </w:rPr>
            </w:pPr>
            <w:r>
              <w:rPr>
                <w:rFonts w:ascii="Arial" w:cs="Arial" w:eastAsia="Arial" w:hAnsi="Arial"/>
                <w:sz w:val="13"/>
                <w:szCs w:val="13"/>
                <w:b w:val="1"/>
                <w:bCs w:val="1"/>
                <w:color w:val="FFFFFF"/>
              </w:rPr>
              <w:t>Vested</w:t>
            </w:r>
          </w:p>
        </w:tc>
        <w:tc>
          <w:tcPr>
            <w:tcW w:w="440" w:type="dxa"/>
            <w:vAlign w:val="bottom"/>
          </w:tcPr>
          <w:p>
            <w:pPr>
              <w:spacing w:after="0"/>
              <w:rPr>
                <w:sz w:val="11"/>
                <w:szCs w:val="11"/>
                <w:color w:val="auto"/>
              </w:rPr>
            </w:pPr>
          </w:p>
        </w:tc>
      </w:tr>
      <w:tr>
        <w:trPr>
          <w:trHeight w:val="215"/>
        </w:trPr>
        <w:tc>
          <w:tcPr>
            <w:tcW w:w="420" w:type="dxa"/>
            <w:vAlign w:val="bottom"/>
          </w:tcPr>
          <w:p>
            <w:pPr>
              <w:spacing w:after="0"/>
              <w:rPr>
                <w:sz w:val="18"/>
                <w:szCs w:val="18"/>
                <w:color w:val="auto"/>
              </w:rPr>
            </w:pPr>
          </w:p>
        </w:tc>
        <w:tc>
          <w:tcPr>
            <w:tcW w:w="16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0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0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0E2A35"/>
          </w:tcPr>
          <w:p>
            <w:pPr>
              <w:jc w:val="center"/>
              <w:ind w:left="13"/>
              <w:spacing w:after="0"/>
              <w:rPr>
                <w:sz w:val="20"/>
                <w:szCs w:val="20"/>
                <w:color w:val="auto"/>
              </w:rPr>
            </w:pPr>
            <w:r>
              <w:rPr>
                <w:rFonts w:ascii="Arial" w:cs="Arial" w:eastAsia="Arial" w:hAnsi="Arial"/>
                <w:sz w:val="13"/>
                <w:szCs w:val="13"/>
                <w:b w:val="1"/>
                <w:bCs w:val="1"/>
                <w:color w:val="FFFFFF"/>
                <w:w w:val="92"/>
              </w:rPr>
              <w:t>Date</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shd w:val="clear" w:color="auto" w:fill="0E2A35"/>
          </w:tcPr>
          <w:p>
            <w:pPr>
              <w:jc w:val="right"/>
              <w:ind w:right="395"/>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0"/>
                <w:szCs w:val="10"/>
                <w:b w:val="1"/>
                <w:bCs w:val="1"/>
                <w:color w:val="FFFFFF"/>
              </w:rPr>
              <w:t>(13)</w:t>
            </w:r>
          </w:p>
        </w:tc>
        <w:tc>
          <w:tcPr>
            <w:tcW w:w="1280" w:type="dxa"/>
            <w:vAlign w:val="bottom"/>
            <w:shd w:val="clear" w:color="auto" w:fill="0E2A35"/>
          </w:tcPr>
          <w:p>
            <w:pPr>
              <w:jc w:val="center"/>
              <w:ind w:right="54"/>
              <w:spacing w:after="0"/>
              <w:rPr>
                <w:sz w:val="20"/>
                <w:szCs w:val="20"/>
                <w:color w:val="auto"/>
              </w:rPr>
            </w:pPr>
            <w:r>
              <w:rPr>
                <w:rFonts w:ascii="Arial" w:cs="Arial" w:eastAsia="Arial" w:hAnsi="Arial"/>
                <w:sz w:val="13"/>
                <w:szCs w:val="13"/>
                <w:b w:val="1"/>
                <w:bCs w:val="1"/>
                <w:color w:val="FFFFFF"/>
              </w:rPr>
              <w:t>(#)</w:t>
            </w:r>
          </w:p>
        </w:tc>
        <w:tc>
          <w:tcPr>
            <w:tcW w:w="1400" w:type="dxa"/>
            <w:vAlign w:val="bottom"/>
            <w:gridSpan w:val="2"/>
            <w:shd w:val="clear" w:color="auto" w:fill="0E2A35"/>
          </w:tcPr>
          <w:p>
            <w:pPr>
              <w:jc w:val="right"/>
              <w:ind w:right="493"/>
              <w:spacing w:after="0" w:line="214"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0"/>
                <w:szCs w:val="10"/>
                <w:b w:val="1"/>
                <w:bCs w:val="1"/>
                <w:color w:val="FFFFFF"/>
              </w:rPr>
              <w:t>(14)</w:t>
            </w:r>
          </w:p>
        </w:tc>
        <w:tc>
          <w:tcPr>
            <w:tcW w:w="440" w:type="dxa"/>
            <w:vAlign w:val="bottom"/>
          </w:tcPr>
          <w:p>
            <w:pPr>
              <w:spacing w:after="0"/>
              <w:rPr>
                <w:sz w:val="18"/>
                <w:szCs w:val="18"/>
                <w:color w:val="auto"/>
              </w:rPr>
            </w:pPr>
          </w:p>
        </w:tc>
      </w:tr>
      <w:tr>
        <w:trPr>
          <w:trHeight w:val="257"/>
        </w:trPr>
        <w:tc>
          <w:tcPr>
            <w:tcW w:w="420" w:type="dxa"/>
            <w:vAlign w:val="bottom"/>
          </w:tcPr>
          <w:p>
            <w:pPr>
              <w:spacing w:after="0"/>
              <w:rPr>
                <w:sz w:val="22"/>
                <w:szCs w:val="22"/>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Michael J. Happe</w:t>
            </w: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10,000</w:t>
            </w:r>
          </w:p>
        </w:tc>
        <w:tc>
          <w:tcPr>
            <w:tcW w:w="1080" w:type="dxa"/>
            <w:vAlign w:val="bottom"/>
            <w:tcBorders>
              <w:bottom w:val="single" w:sz="8" w:color="0E2A35"/>
            </w:tcBorders>
          </w:tcPr>
          <w:p>
            <w:pPr>
              <w:jc w:val="right"/>
              <w:ind w:right="37"/>
              <w:spacing w:after="0" w:line="256"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(1)</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16.67</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01/18/26</w:t>
            </w:r>
          </w:p>
        </w:tc>
        <w:tc>
          <w:tcPr>
            <w:tcW w:w="1200" w:type="dxa"/>
            <w:vAlign w:val="bottom"/>
            <w:tcBorders>
              <w:bottom w:val="single" w:sz="8" w:color="0E2A35"/>
            </w:tcBorders>
          </w:tcPr>
          <w:p>
            <w:pPr>
              <w:spacing w:after="0"/>
              <w:rPr>
                <w:sz w:val="22"/>
                <w:szCs w:val="22"/>
                <w:color w:val="auto"/>
              </w:rPr>
            </w:pPr>
          </w:p>
        </w:tc>
        <w:tc>
          <w:tcPr>
            <w:tcW w:w="1160" w:type="dxa"/>
            <w:vAlign w:val="bottom"/>
            <w:tcBorders>
              <w:bottom w:val="single" w:sz="8" w:color="0E2A35"/>
            </w:tcBorders>
          </w:tcPr>
          <w:p>
            <w:pPr>
              <w:spacing w:after="0"/>
              <w:rPr>
                <w:sz w:val="22"/>
                <w:szCs w:val="22"/>
                <w:color w:val="auto"/>
              </w:rPr>
            </w:pPr>
          </w:p>
        </w:tc>
        <w:tc>
          <w:tcPr>
            <w:tcW w:w="1280" w:type="dxa"/>
            <w:vAlign w:val="bottom"/>
            <w:tcBorders>
              <w:bottom w:val="single" w:sz="8" w:color="0E2A35"/>
            </w:tcBorders>
          </w:tcPr>
          <w:p>
            <w:pPr>
              <w:spacing w:after="0"/>
              <w:rPr>
                <w:sz w:val="22"/>
                <w:szCs w:val="22"/>
                <w:color w:val="auto"/>
              </w:rPr>
            </w:pPr>
          </w:p>
        </w:tc>
        <w:tc>
          <w:tcPr>
            <w:tcW w:w="640" w:type="dxa"/>
            <w:vAlign w:val="bottom"/>
            <w:tcBorders>
              <w:bottom w:val="single" w:sz="8" w:color="0E2A35"/>
            </w:tcBorders>
          </w:tcPr>
          <w:p>
            <w:pPr>
              <w:spacing w:after="0"/>
              <w:rPr>
                <w:sz w:val="22"/>
                <w:szCs w:val="22"/>
                <w:color w:val="auto"/>
              </w:rPr>
            </w:pPr>
          </w:p>
        </w:tc>
        <w:tc>
          <w:tcPr>
            <w:tcW w:w="760" w:type="dxa"/>
            <w:vAlign w:val="bottom"/>
            <w:tcBorders>
              <w:bottom w:val="single" w:sz="8" w:color="0E2A35"/>
            </w:tcBorders>
          </w:tcPr>
          <w:p>
            <w:pPr>
              <w:spacing w:after="0"/>
              <w:rPr>
                <w:sz w:val="22"/>
                <w:szCs w:val="22"/>
                <w:color w:val="auto"/>
              </w:rPr>
            </w:pPr>
          </w:p>
        </w:tc>
        <w:tc>
          <w:tcPr>
            <w:tcW w:w="440" w:type="dxa"/>
            <w:vAlign w:val="bottom"/>
          </w:tcPr>
          <w:p>
            <w:pPr>
              <w:spacing w:after="0"/>
              <w:rPr>
                <w:sz w:val="22"/>
                <w:szCs w:val="22"/>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13,300</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(2)</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27.89</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10/11/26</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17,000</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(3)</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35.50</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12/13/26</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28,015</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(4)</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44.40</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10/18/27</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28,551</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14,280</w:t>
            </w:r>
            <w:r>
              <w:rPr>
                <w:rFonts w:ascii="Arial" w:cs="Arial" w:eastAsia="Arial" w:hAnsi="Arial"/>
                <w:sz w:val="22"/>
                <w:szCs w:val="22"/>
                <w:color w:val="0E2A35"/>
                <w:vertAlign w:val="superscript"/>
              </w:rPr>
              <w:t>(5)</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31.70</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10/15/28</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9,139</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18,278</w:t>
            </w:r>
            <w:r>
              <w:rPr>
                <w:rFonts w:ascii="Arial" w:cs="Arial" w:eastAsia="Arial" w:hAnsi="Arial"/>
                <w:sz w:val="22"/>
                <w:szCs w:val="22"/>
                <w:color w:val="0E2A35"/>
                <w:vertAlign w:val="superscript"/>
              </w:rPr>
              <w:t>(6)</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47.93</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12/17/29</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25,660</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10/13/30</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29,968</w:t>
            </w:r>
            <w:r>
              <w:rPr>
                <w:rFonts w:ascii="Arial" w:cs="Arial" w:eastAsia="Arial" w:hAnsi="Arial"/>
                <w:sz w:val="22"/>
                <w:szCs w:val="22"/>
                <w:color w:val="0E2A35"/>
                <w:vertAlign w:val="superscript"/>
              </w:rPr>
              <w:t>(9)</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2,190,960</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32,339</w:t>
            </w:r>
            <w:r>
              <w:rPr>
                <w:rFonts w:ascii="Arial" w:cs="Arial" w:eastAsia="Arial" w:hAnsi="Arial"/>
                <w:sz w:val="22"/>
                <w:szCs w:val="22"/>
                <w:color w:val="0E2A35"/>
                <w:vertAlign w:val="superscript"/>
              </w:rPr>
              <w:t>(10)</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2,364,304</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32,116</w:t>
            </w:r>
            <w:r>
              <w:rPr>
                <w:rFonts w:ascii="Arial" w:cs="Arial" w:eastAsia="Arial" w:hAnsi="Arial"/>
                <w:sz w:val="22"/>
                <w:szCs w:val="22"/>
                <w:color w:val="0E2A35"/>
                <w:vertAlign w:val="superscript"/>
              </w:rPr>
              <w:t>(11)</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2,348,001</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11,011</w:t>
            </w:r>
            <w:r>
              <w:rPr>
                <w:rFonts w:ascii="Arial" w:cs="Arial" w:eastAsia="Arial" w:hAnsi="Arial"/>
                <w:sz w:val="22"/>
                <w:szCs w:val="22"/>
                <w:color w:val="0E2A35"/>
                <w:vertAlign w:val="superscript"/>
              </w:rPr>
              <w:t>(12)</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805,014</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4,995</w:t>
            </w:r>
            <w:r>
              <w:rPr>
                <w:rFonts w:ascii="Arial" w:cs="Arial" w:eastAsia="Arial" w:hAnsi="Arial"/>
                <w:sz w:val="22"/>
                <w:szCs w:val="22"/>
                <w:color w:val="0E2A35"/>
                <w:vertAlign w:val="superscript"/>
              </w:rPr>
              <w:t>(5)</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365,184</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15,091</w:t>
            </w:r>
            <w:r>
              <w:rPr>
                <w:rFonts w:ascii="Arial" w:cs="Arial" w:eastAsia="Arial" w:hAnsi="Arial"/>
                <w:sz w:val="22"/>
                <w:szCs w:val="22"/>
                <w:color w:val="0E2A35"/>
                <w:vertAlign w:val="superscript"/>
              </w:rPr>
              <w:t>(6)</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1,103,303</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Borders>
              <w:bottom w:val="single" w:sz="8" w:color="0E2A35"/>
            </w:tcBorders>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22,481</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1,643,586</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Bryan L. Hughes</w:t>
            </w: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8,373</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(4)</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44.40</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10/18/27</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7,624</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3,814</w:t>
            </w:r>
            <w:r>
              <w:rPr>
                <w:rFonts w:ascii="Arial" w:cs="Arial" w:eastAsia="Arial" w:hAnsi="Arial"/>
                <w:sz w:val="22"/>
                <w:szCs w:val="22"/>
                <w:color w:val="0E2A35"/>
                <w:vertAlign w:val="superscript"/>
              </w:rPr>
              <w:t>(5)</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31.70</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10/15/28</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1,644</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3,288</w:t>
            </w:r>
            <w:r>
              <w:rPr>
                <w:rFonts w:ascii="Arial" w:cs="Arial" w:eastAsia="Arial" w:hAnsi="Arial"/>
                <w:sz w:val="22"/>
                <w:szCs w:val="22"/>
                <w:color w:val="0E2A35"/>
                <w:vertAlign w:val="superscript"/>
              </w:rPr>
              <w:t>(6)</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47.93</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12/17/29</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4,811</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10/13/30</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8,003</w:t>
            </w:r>
            <w:r>
              <w:rPr>
                <w:rFonts w:ascii="Arial" w:cs="Arial" w:eastAsia="Arial" w:hAnsi="Arial"/>
                <w:sz w:val="22"/>
                <w:szCs w:val="22"/>
                <w:color w:val="0E2A35"/>
                <w:vertAlign w:val="superscript"/>
              </w:rPr>
              <w:t>(9)</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585,099</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5,818</w:t>
            </w:r>
            <w:r>
              <w:rPr>
                <w:rFonts w:ascii="Arial" w:cs="Arial" w:eastAsia="Arial" w:hAnsi="Arial"/>
                <w:sz w:val="22"/>
                <w:szCs w:val="22"/>
                <w:color w:val="0E2A35"/>
                <w:vertAlign w:val="superscript"/>
              </w:rPr>
              <w:t>(10)</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425,354</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 xml:space="preserve">6,022 </w:t>
            </w:r>
            <w:r>
              <w:rPr>
                <w:rFonts w:ascii="Arial" w:cs="Arial" w:eastAsia="Arial" w:hAnsi="Arial"/>
                <w:sz w:val="22"/>
                <w:szCs w:val="22"/>
                <w:color w:val="0E2A35"/>
                <w:vertAlign w:val="superscript"/>
              </w:rPr>
              <w:t>(11)</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440,268</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3,854</w:t>
            </w:r>
            <w:r>
              <w:rPr>
                <w:rFonts w:ascii="Arial" w:cs="Arial" w:eastAsia="Arial" w:hAnsi="Arial"/>
                <w:sz w:val="22"/>
                <w:szCs w:val="22"/>
                <w:color w:val="0E2A35"/>
                <w:vertAlign w:val="superscript"/>
              </w:rPr>
              <w:t>(12)</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281,766</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1,334</w:t>
            </w:r>
            <w:r>
              <w:rPr>
                <w:rFonts w:ascii="Arial" w:cs="Arial" w:eastAsia="Arial" w:hAnsi="Arial"/>
                <w:sz w:val="22"/>
                <w:szCs w:val="22"/>
                <w:color w:val="0E2A35"/>
                <w:vertAlign w:val="superscript"/>
              </w:rPr>
              <w:t>(5)</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97,529</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3,420</w:t>
            </w:r>
            <w:r>
              <w:rPr>
                <w:rFonts w:ascii="Arial" w:cs="Arial" w:eastAsia="Arial" w:hAnsi="Arial"/>
                <w:sz w:val="22"/>
                <w:szCs w:val="22"/>
                <w:color w:val="0E2A35"/>
                <w:vertAlign w:val="superscript"/>
              </w:rPr>
              <w:t>(6)</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250,036</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Borders>
              <w:bottom w:val="single" w:sz="8" w:color="0E2A35"/>
            </w:tcBorders>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4,215</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308,159</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Huw S. Bower</w:t>
            </w: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7,258</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10/13/30</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21,756</w:t>
            </w:r>
            <w:r>
              <w:rPr>
                <w:rFonts w:ascii="Arial" w:cs="Arial" w:eastAsia="Arial" w:hAnsi="Arial"/>
                <w:sz w:val="22"/>
                <w:szCs w:val="22"/>
                <w:color w:val="0E2A35"/>
                <w:vertAlign w:val="superscript"/>
              </w:rPr>
              <w:t>(8)</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1,590,581</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6,359</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464,906</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Borders>
              <w:bottom w:val="single" w:sz="8" w:color="0E2A35"/>
            </w:tcBorders>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9,084</w:t>
            </w:r>
            <w:r>
              <w:rPr>
                <w:rFonts w:ascii="Arial" w:cs="Arial" w:eastAsia="Arial" w:hAnsi="Arial"/>
                <w:sz w:val="22"/>
                <w:szCs w:val="22"/>
                <w:color w:val="0E2A35"/>
                <w:vertAlign w:val="superscript"/>
              </w:rPr>
              <w:t>(11)</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664,131</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ind w:left="160"/>
              <w:spacing w:after="0"/>
              <w:rPr>
                <w:sz w:val="20"/>
                <w:szCs w:val="20"/>
                <w:color w:val="auto"/>
              </w:rPr>
            </w:pPr>
            <w:r>
              <w:rPr>
                <w:rFonts w:ascii="Arial" w:cs="Arial" w:eastAsia="Arial" w:hAnsi="Arial"/>
                <w:sz w:val="13"/>
                <w:szCs w:val="13"/>
                <w:color w:val="0E2A35"/>
              </w:rPr>
              <w:t>Donald J. Clark</w:t>
            </w:r>
          </w:p>
        </w:tc>
        <w:tc>
          <w:tcPr>
            <w:tcW w:w="1000" w:type="dxa"/>
            <w:vAlign w:val="bottom"/>
          </w:tcPr>
          <w:p>
            <w:pPr>
              <w:jc w:val="right"/>
              <w:ind w:right="34"/>
              <w:spacing w:after="0"/>
              <w:rPr>
                <w:sz w:val="20"/>
                <w:szCs w:val="20"/>
                <w:color w:val="auto"/>
              </w:rPr>
            </w:pPr>
            <w:r>
              <w:rPr>
                <w:rFonts w:ascii="Arial" w:cs="Arial" w:eastAsia="Arial" w:hAnsi="Arial"/>
                <w:sz w:val="13"/>
                <w:szCs w:val="13"/>
                <w:color w:val="0E2A35"/>
              </w:rPr>
              <w:t>—</w:t>
            </w:r>
          </w:p>
        </w:tc>
        <w:tc>
          <w:tcPr>
            <w:tcW w:w="1080" w:type="dxa"/>
            <w:vAlign w:val="bottom"/>
          </w:tcPr>
          <w:p>
            <w:pPr>
              <w:jc w:val="right"/>
              <w:ind w:right="217"/>
              <w:spacing w:after="0"/>
              <w:rPr>
                <w:sz w:val="20"/>
                <w:szCs w:val="20"/>
                <w:color w:val="auto"/>
              </w:rPr>
            </w:pPr>
            <w:r>
              <w:rPr>
                <w:rFonts w:ascii="Arial" w:cs="Arial" w:eastAsia="Arial" w:hAnsi="Arial"/>
                <w:sz w:val="13"/>
                <w:szCs w:val="13"/>
                <w:color w:val="0E2A35"/>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0E2A35"/>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w:t>
            </w:r>
          </w:p>
        </w:tc>
        <w:tc>
          <w:tcPr>
            <w:tcW w:w="1200" w:type="dxa"/>
            <w:vAlign w:val="bottom"/>
          </w:tcPr>
          <w:p>
            <w:pPr>
              <w:jc w:val="right"/>
              <w:ind w:right="34"/>
              <w:spacing w:after="0" w:line="250" w:lineRule="exact"/>
              <w:rPr>
                <w:sz w:val="20"/>
                <w:szCs w:val="20"/>
                <w:color w:val="auto"/>
              </w:rPr>
            </w:pPr>
            <w:r>
              <w:rPr>
                <w:rFonts w:ascii="Arial" w:cs="Arial" w:eastAsia="Arial" w:hAnsi="Arial"/>
                <w:sz w:val="13"/>
                <w:szCs w:val="13"/>
                <w:color w:val="0E2A35"/>
              </w:rPr>
              <w:t>5,061</w:t>
            </w:r>
            <w:r>
              <w:rPr>
                <w:rFonts w:ascii="Arial" w:cs="Arial" w:eastAsia="Arial" w:hAnsi="Arial"/>
                <w:sz w:val="22"/>
                <w:szCs w:val="22"/>
                <w:color w:val="0E2A35"/>
                <w:vertAlign w:val="superscript"/>
              </w:rPr>
              <w:t>(7)</w:t>
            </w:r>
          </w:p>
        </w:tc>
        <w:tc>
          <w:tcPr>
            <w:tcW w:w="1160" w:type="dxa"/>
            <w:vAlign w:val="bottom"/>
          </w:tcPr>
          <w:p>
            <w:pPr>
              <w:jc w:val="right"/>
              <w:ind w:right="95"/>
              <w:spacing w:after="0"/>
              <w:rPr>
                <w:sz w:val="20"/>
                <w:szCs w:val="20"/>
                <w:color w:val="auto"/>
              </w:rPr>
            </w:pPr>
            <w:r>
              <w:rPr>
                <w:rFonts w:ascii="Arial" w:cs="Arial" w:eastAsia="Arial" w:hAnsi="Arial"/>
                <w:sz w:val="13"/>
                <w:szCs w:val="13"/>
                <w:color w:val="0E2A35"/>
              </w:rPr>
              <w:t>370,010</w:t>
            </w:r>
          </w:p>
        </w:tc>
        <w:tc>
          <w:tcPr>
            <w:tcW w:w="1280" w:type="dxa"/>
            <w:vAlign w:val="bottom"/>
          </w:tcPr>
          <w:p>
            <w:pPr>
              <w:jc w:val="right"/>
              <w:ind w:right="314"/>
              <w:spacing w:after="0"/>
              <w:rPr>
                <w:sz w:val="20"/>
                <w:szCs w:val="20"/>
                <w:color w:val="auto"/>
              </w:rPr>
            </w:pPr>
            <w:r>
              <w:rPr>
                <w:rFonts w:ascii="Arial" w:cs="Arial" w:eastAsia="Arial" w:hAnsi="Arial"/>
                <w:sz w:val="13"/>
                <w:szCs w:val="13"/>
                <w:color w:val="0E2A35"/>
              </w:rPr>
              <w:t>—</w:t>
            </w:r>
          </w:p>
        </w:tc>
        <w:tc>
          <w:tcPr>
            <w:tcW w:w="64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3"/>
                <w:szCs w:val="13"/>
                <w:color w:val="0E2A35"/>
              </w:rPr>
              <w:t>—</w:t>
            </w:r>
          </w:p>
        </w:tc>
      </w:tr>
      <w:tr>
        <w:trPr>
          <w:trHeight w:val="250"/>
        </w:trPr>
        <w:tc>
          <w:tcPr>
            <w:tcW w:w="420" w:type="dxa"/>
            <w:vAlign w:val="bottom"/>
          </w:tcPr>
          <w:p>
            <w:pPr>
              <w:spacing w:after="0"/>
              <w:rPr>
                <w:sz w:val="21"/>
                <w:szCs w:val="21"/>
                <w:color w:val="auto"/>
              </w:rPr>
            </w:pPr>
          </w:p>
        </w:tc>
        <w:tc>
          <w:tcPr>
            <w:tcW w:w="1600" w:type="dxa"/>
            <w:vAlign w:val="bottom"/>
            <w:tcBorders>
              <w:top w:val="single" w:sz="8" w:color="0E2A35"/>
            </w:tcBorders>
          </w:tcPr>
          <w:p>
            <w:pPr>
              <w:ind w:left="160"/>
              <w:spacing w:after="0"/>
              <w:rPr>
                <w:sz w:val="20"/>
                <w:szCs w:val="20"/>
                <w:color w:val="auto"/>
              </w:rPr>
            </w:pPr>
            <w:r>
              <w:rPr>
                <w:rFonts w:ascii="Arial" w:cs="Arial" w:eastAsia="Arial" w:hAnsi="Arial"/>
                <w:sz w:val="13"/>
                <w:szCs w:val="13"/>
                <w:color w:val="0E2A35"/>
              </w:rPr>
              <w:t>Brian D. Hazelton</w:t>
            </w:r>
          </w:p>
        </w:tc>
        <w:tc>
          <w:tcPr>
            <w:tcW w:w="1000" w:type="dxa"/>
            <w:vAlign w:val="bottom"/>
            <w:tcBorders>
              <w:top w:val="single" w:sz="8" w:color="0E2A35"/>
              <w:bottom w:val="single" w:sz="8" w:color="0E2A35"/>
            </w:tcBorders>
          </w:tcPr>
          <w:p>
            <w:pPr>
              <w:jc w:val="right"/>
              <w:ind w:right="34"/>
              <w:spacing w:after="0"/>
              <w:rPr>
                <w:sz w:val="20"/>
                <w:szCs w:val="20"/>
                <w:color w:val="auto"/>
              </w:rPr>
            </w:pPr>
            <w:r>
              <w:rPr>
                <w:rFonts w:ascii="Arial" w:cs="Arial" w:eastAsia="Arial" w:hAnsi="Arial"/>
                <w:sz w:val="13"/>
                <w:szCs w:val="13"/>
                <w:color w:val="0E2A35"/>
              </w:rPr>
              <w:t>7,000</w:t>
            </w:r>
          </w:p>
        </w:tc>
        <w:tc>
          <w:tcPr>
            <w:tcW w:w="1080" w:type="dxa"/>
            <w:vAlign w:val="bottom"/>
            <w:tcBorders>
              <w:top w:val="single" w:sz="8" w:color="0E2A35"/>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(2)</w:t>
            </w:r>
          </w:p>
        </w:tc>
        <w:tc>
          <w:tcPr>
            <w:tcW w:w="700" w:type="dxa"/>
            <w:vAlign w:val="bottom"/>
            <w:tcBorders>
              <w:top w:val="single" w:sz="8" w:color="0E2A35"/>
              <w:bottom w:val="single" w:sz="8" w:color="0E2A35"/>
            </w:tcBorders>
          </w:tcPr>
          <w:p>
            <w:pPr>
              <w:jc w:val="right"/>
              <w:ind w:right="33"/>
              <w:spacing w:after="0"/>
              <w:rPr>
                <w:sz w:val="20"/>
                <w:szCs w:val="20"/>
                <w:color w:val="auto"/>
              </w:rPr>
            </w:pPr>
            <w:r>
              <w:rPr>
                <w:rFonts w:ascii="Arial" w:cs="Arial" w:eastAsia="Arial" w:hAnsi="Arial"/>
                <w:sz w:val="13"/>
                <w:szCs w:val="13"/>
                <w:color w:val="0E2A35"/>
              </w:rPr>
              <w:t>27.89</w:t>
            </w:r>
          </w:p>
        </w:tc>
        <w:tc>
          <w:tcPr>
            <w:tcW w:w="740" w:type="dxa"/>
            <w:vAlign w:val="bottom"/>
            <w:tcBorders>
              <w:top w:val="single" w:sz="8" w:color="0E2A35"/>
              <w:bottom w:val="single" w:sz="8" w:color="0E2A35"/>
            </w:tcBorders>
          </w:tcPr>
          <w:p>
            <w:pPr>
              <w:jc w:val="right"/>
              <w:spacing w:after="0"/>
              <w:rPr>
                <w:sz w:val="20"/>
                <w:szCs w:val="20"/>
                <w:color w:val="auto"/>
              </w:rPr>
            </w:pPr>
            <w:r>
              <w:rPr>
                <w:rFonts w:ascii="Arial" w:cs="Arial" w:eastAsia="Arial" w:hAnsi="Arial"/>
                <w:sz w:val="13"/>
                <w:szCs w:val="13"/>
                <w:color w:val="0E2A35"/>
              </w:rPr>
              <w:t>10/11/26</w:t>
            </w:r>
          </w:p>
        </w:tc>
        <w:tc>
          <w:tcPr>
            <w:tcW w:w="1200" w:type="dxa"/>
            <w:vAlign w:val="bottom"/>
            <w:tcBorders>
              <w:top w:val="single" w:sz="8" w:color="0E2A35"/>
              <w:bottom w:val="single" w:sz="8" w:color="0E2A35"/>
            </w:tcBorders>
          </w:tcPr>
          <w:p>
            <w:pPr>
              <w:spacing w:after="0"/>
              <w:rPr>
                <w:sz w:val="21"/>
                <w:szCs w:val="21"/>
                <w:color w:val="auto"/>
              </w:rPr>
            </w:pPr>
          </w:p>
        </w:tc>
        <w:tc>
          <w:tcPr>
            <w:tcW w:w="1160" w:type="dxa"/>
            <w:vAlign w:val="bottom"/>
            <w:tcBorders>
              <w:top w:val="single" w:sz="8" w:color="0E2A35"/>
              <w:bottom w:val="single" w:sz="8" w:color="0E2A35"/>
            </w:tcBorders>
          </w:tcPr>
          <w:p>
            <w:pPr>
              <w:spacing w:after="0"/>
              <w:rPr>
                <w:sz w:val="21"/>
                <w:szCs w:val="21"/>
                <w:color w:val="auto"/>
              </w:rPr>
            </w:pPr>
          </w:p>
        </w:tc>
        <w:tc>
          <w:tcPr>
            <w:tcW w:w="1280" w:type="dxa"/>
            <w:vAlign w:val="bottom"/>
            <w:tcBorders>
              <w:top w:val="single" w:sz="8" w:color="0E2A35"/>
              <w:bottom w:val="single" w:sz="8" w:color="0E2A35"/>
            </w:tcBorders>
          </w:tcPr>
          <w:p>
            <w:pPr>
              <w:spacing w:after="0"/>
              <w:rPr>
                <w:sz w:val="21"/>
                <w:szCs w:val="21"/>
                <w:color w:val="auto"/>
              </w:rPr>
            </w:pPr>
          </w:p>
        </w:tc>
        <w:tc>
          <w:tcPr>
            <w:tcW w:w="640" w:type="dxa"/>
            <w:vAlign w:val="bottom"/>
            <w:tcBorders>
              <w:top w:val="single" w:sz="8" w:color="0E2A35"/>
              <w:bottom w:val="single" w:sz="8" w:color="0E2A35"/>
            </w:tcBorders>
          </w:tcPr>
          <w:p>
            <w:pPr>
              <w:spacing w:after="0"/>
              <w:rPr>
                <w:sz w:val="21"/>
                <w:szCs w:val="21"/>
                <w:color w:val="auto"/>
              </w:rPr>
            </w:pPr>
          </w:p>
        </w:tc>
        <w:tc>
          <w:tcPr>
            <w:tcW w:w="760" w:type="dxa"/>
            <w:vAlign w:val="bottom"/>
            <w:tcBorders>
              <w:top w:val="single" w:sz="8" w:color="0E2A35"/>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8,241</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26"/>
                <w:szCs w:val="26"/>
                <w:color w:val="0E2A35"/>
                <w:vertAlign w:val="subscript"/>
              </w:rPr>
              <w:t>—</w:t>
            </w:r>
            <w:r>
              <w:rPr>
                <w:rFonts w:ascii="Arial" w:cs="Arial" w:eastAsia="Arial" w:hAnsi="Arial"/>
                <w:sz w:val="11"/>
                <w:szCs w:val="11"/>
                <w:color w:val="0E2A35"/>
              </w:rPr>
              <w:t>(4)</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44.40</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10/18/27</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7,891</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3,947</w:t>
            </w:r>
            <w:r>
              <w:rPr>
                <w:rFonts w:ascii="Arial" w:cs="Arial" w:eastAsia="Arial" w:hAnsi="Arial"/>
                <w:sz w:val="22"/>
                <w:szCs w:val="22"/>
                <w:color w:val="0E2A35"/>
                <w:vertAlign w:val="superscript"/>
              </w:rPr>
              <w:t>(5)</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31.70</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10/15/28</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1,594</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3,188</w:t>
            </w:r>
            <w:r>
              <w:rPr>
                <w:rFonts w:ascii="Arial" w:cs="Arial" w:eastAsia="Arial" w:hAnsi="Arial"/>
                <w:sz w:val="22"/>
                <w:szCs w:val="22"/>
                <w:color w:val="0E2A35"/>
                <w:vertAlign w:val="superscript"/>
              </w:rPr>
              <w:t>(6)</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47.93</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12/17/29</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jc w:val="right"/>
              <w:ind w:right="34"/>
              <w:spacing w:after="0"/>
              <w:rPr>
                <w:sz w:val="20"/>
                <w:szCs w:val="20"/>
                <w:color w:val="auto"/>
              </w:rPr>
            </w:pPr>
            <w:r>
              <w:rPr>
                <w:rFonts w:ascii="Arial" w:cs="Arial" w:eastAsia="Arial" w:hAnsi="Arial"/>
                <w:sz w:val="13"/>
                <w:szCs w:val="13"/>
                <w:color w:val="0E2A35"/>
              </w:rPr>
              <w:t>—</w:t>
            </w:r>
          </w:p>
        </w:tc>
        <w:tc>
          <w:tcPr>
            <w:tcW w:w="1080" w:type="dxa"/>
            <w:vAlign w:val="bottom"/>
            <w:tcBorders>
              <w:bottom w:val="single" w:sz="8" w:color="0E2A35"/>
            </w:tcBorders>
          </w:tcPr>
          <w:p>
            <w:pPr>
              <w:jc w:val="right"/>
              <w:ind w:right="37"/>
              <w:spacing w:after="0" w:line="250" w:lineRule="exact"/>
              <w:rPr>
                <w:sz w:val="20"/>
                <w:szCs w:val="20"/>
                <w:color w:val="auto"/>
              </w:rPr>
            </w:pPr>
            <w:r>
              <w:rPr>
                <w:rFonts w:ascii="Arial" w:cs="Arial" w:eastAsia="Arial" w:hAnsi="Arial"/>
                <w:sz w:val="13"/>
                <w:szCs w:val="13"/>
                <w:color w:val="0E2A35"/>
              </w:rPr>
              <w:t>4,321</w:t>
            </w:r>
            <w:r>
              <w:rPr>
                <w:rFonts w:ascii="Arial" w:cs="Arial" w:eastAsia="Arial" w:hAnsi="Arial"/>
                <w:sz w:val="22"/>
                <w:szCs w:val="22"/>
                <w:color w:val="0E2A35"/>
                <w:vertAlign w:val="superscript"/>
              </w:rPr>
              <w:t>(7)</w:t>
            </w:r>
          </w:p>
        </w:tc>
        <w:tc>
          <w:tcPr>
            <w:tcW w:w="70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54.49</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3"/>
                <w:szCs w:val="13"/>
                <w:color w:val="0E2A35"/>
              </w:rPr>
              <w:t>10/13/30</w:t>
            </w: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8,283</w:t>
            </w:r>
            <w:r>
              <w:rPr>
                <w:rFonts w:ascii="Arial" w:cs="Arial" w:eastAsia="Arial" w:hAnsi="Arial"/>
                <w:sz w:val="22"/>
                <w:szCs w:val="22"/>
                <w:color w:val="0E2A35"/>
                <w:vertAlign w:val="superscript"/>
              </w:rPr>
              <w:t>(9)</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605,570</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5,640</w:t>
            </w:r>
            <w:r>
              <w:rPr>
                <w:rFonts w:ascii="Arial" w:cs="Arial" w:eastAsia="Arial" w:hAnsi="Arial"/>
                <w:sz w:val="22"/>
                <w:szCs w:val="22"/>
                <w:color w:val="0E2A35"/>
                <w:vertAlign w:val="superscript"/>
              </w:rPr>
              <w:t>(10)</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412,340</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5,408</w:t>
            </w:r>
            <w:r>
              <w:rPr>
                <w:rFonts w:ascii="Arial" w:cs="Arial" w:eastAsia="Arial" w:hAnsi="Arial"/>
                <w:sz w:val="22"/>
                <w:szCs w:val="22"/>
                <w:color w:val="0E2A35"/>
                <w:vertAlign w:val="superscript"/>
              </w:rPr>
              <w:t>(11)</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395,379</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spacing w:after="0"/>
              <w:rPr>
                <w:sz w:val="21"/>
                <w:szCs w:val="21"/>
                <w:color w:val="auto"/>
              </w:rPr>
            </w:pPr>
          </w:p>
        </w:tc>
        <w:tc>
          <w:tcPr>
            <w:tcW w:w="1160" w:type="dxa"/>
            <w:vAlign w:val="bottom"/>
            <w:tcBorders>
              <w:bottom w:val="single" w:sz="8" w:color="0E2A35"/>
            </w:tcBorders>
          </w:tcPr>
          <w:p>
            <w:pPr>
              <w:spacing w:after="0"/>
              <w:rPr>
                <w:sz w:val="21"/>
                <w:szCs w:val="21"/>
                <w:color w:val="auto"/>
              </w:rPr>
            </w:pPr>
          </w:p>
        </w:tc>
        <w:tc>
          <w:tcPr>
            <w:tcW w:w="1280" w:type="dxa"/>
            <w:vAlign w:val="bottom"/>
            <w:tcBorders>
              <w:bottom w:val="single" w:sz="8" w:color="0E2A35"/>
            </w:tcBorders>
          </w:tcPr>
          <w:p>
            <w:pPr>
              <w:jc w:val="right"/>
              <w:ind w:right="54"/>
              <w:spacing w:after="0" w:line="250" w:lineRule="exact"/>
              <w:rPr>
                <w:sz w:val="20"/>
                <w:szCs w:val="20"/>
                <w:color w:val="auto"/>
              </w:rPr>
            </w:pPr>
            <w:r>
              <w:rPr>
                <w:rFonts w:ascii="Arial" w:cs="Arial" w:eastAsia="Arial" w:hAnsi="Arial"/>
                <w:sz w:val="13"/>
                <w:szCs w:val="13"/>
                <w:color w:val="0E2A35"/>
              </w:rPr>
              <w:t>3,487</w:t>
            </w:r>
            <w:r>
              <w:rPr>
                <w:rFonts w:ascii="Arial" w:cs="Arial" w:eastAsia="Arial" w:hAnsi="Arial"/>
                <w:sz w:val="22"/>
                <w:szCs w:val="22"/>
                <w:color w:val="0E2A35"/>
                <w:vertAlign w:val="superscript"/>
              </w:rPr>
              <w:t>(12)</w:t>
            </w: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jc w:val="right"/>
              <w:ind w:right="33"/>
              <w:spacing w:after="0"/>
              <w:rPr>
                <w:sz w:val="20"/>
                <w:szCs w:val="20"/>
                <w:color w:val="auto"/>
              </w:rPr>
            </w:pPr>
            <w:r>
              <w:rPr>
                <w:rFonts w:ascii="Arial" w:cs="Arial" w:eastAsia="Arial" w:hAnsi="Arial"/>
                <w:sz w:val="13"/>
                <w:szCs w:val="13"/>
                <w:color w:val="0E2A35"/>
              </w:rPr>
              <w:t>254,935</w:t>
            </w: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1,380</w:t>
            </w:r>
            <w:r>
              <w:rPr>
                <w:rFonts w:ascii="Arial" w:cs="Arial" w:eastAsia="Arial" w:hAnsi="Arial"/>
                <w:sz w:val="22"/>
                <w:szCs w:val="22"/>
                <w:color w:val="0E2A35"/>
                <w:vertAlign w:val="superscript"/>
              </w:rPr>
              <w:t>(5)</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100,892</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2,632</w:t>
            </w:r>
            <w:r>
              <w:rPr>
                <w:rFonts w:ascii="Arial" w:cs="Arial" w:eastAsia="Arial" w:hAnsi="Arial"/>
                <w:sz w:val="22"/>
                <w:szCs w:val="22"/>
                <w:color w:val="0E2A35"/>
                <w:vertAlign w:val="superscript"/>
              </w:rPr>
              <w:t>(6)</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192,426</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1600" w:type="dxa"/>
            <w:vAlign w:val="bottom"/>
            <w:tcBorders>
              <w:bottom w:val="single" w:sz="8" w:color="0E2A35"/>
            </w:tcBorders>
          </w:tcPr>
          <w:p>
            <w:pPr>
              <w:spacing w:after="0"/>
              <w:rPr>
                <w:sz w:val="21"/>
                <w:szCs w:val="21"/>
                <w:color w:val="auto"/>
              </w:rPr>
            </w:pPr>
          </w:p>
        </w:tc>
        <w:tc>
          <w:tcPr>
            <w:tcW w:w="1000" w:type="dxa"/>
            <w:vAlign w:val="bottom"/>
            <w:tcBorders>
              <w:bottom w:val="single" w:sz="8" w:color="0E2A35"/>
            </w:tcBorders>
          </w:tcPr>
          <w:p>
            <w:pPr>
              <w:spacing w:after="0"/>
              <w:rPr>
                <w:sz w:val="21"/>
                <w:szCs w:val="21"/>
                <w:color w:val="auto"/>
              </w:rPr>
            </w:pPr>
          </w:p>
        </w:tc>
        <w:tc>
          <w:tcPr>
            <w:tcW w:w="1080" w:type="dxa"/>
            <w:vAlign w:val="bottom"/>
            <w:tcBorders>
              <w:bottom w:val="single" w:sz="8" w:color="0E2A35"/>
            </w:tcBorders>
          </w:tcPr>
          <w:p>
            <w:pPr>
              <w:spacing w:after="0"/>
              <w:rPr>
                <w:sz w:val="21"/>
                <w:szCs w:val="21"/>
                <w:color w:val="auto"/>
              </w:rPr>
            </w:pPr>
          </w:p>
        </w:tc>
        <w:tc>
          <w:tcPr>
            <w:tcW w:w="700" w:type="dxa"/>
            <w:vAlign w:val="bottom"/>
            <w:tcBorders>
              <w:bottom w:val="single" w:sz="8" w:color="0E2A35"/>
            </w:tcBorders>
          </w:tcPr>
          <w:p>
            <w:pPr>
              <w:spacing w:after="0"/>
              <w:rPr>
                <w:sz w:val="21"/>
                <w:szCs w:val="21"/>
                <w:color w:val="auto"/>
              </w:rPr>
            </w:pPr>
          </w:p>
        </w:tc>
        <w:tc>
          <w:tcPr>
            <w:tcW w:w="740" w:type="dxa"/>
            <w:vAlign w:val="bottom"/>
            <w:tcBorders>
              <w:bottom w:val="single" w:sz="8" w:color="0E2A35"/>
            </w:tcBorders>
          </w:tcPr>
          <w:p>
            <w:pPr>
              <w:spacing w:after="0"/>
              <w:rPr>
                <w:sz w:val="21"/>
                <w:szCs w:val="21"/>
                <w:color w:val="auto"/>
              </w:rPr>
            </w:pPr>
          </w:p>
        </w:tc>
        <w:tc>
          <w:tcPr>
            <w:tcW w:w="1200" w:type="dxa"/>
            <w:vAlign w:val="bottom"/>
            <w:tcBorders>
              <w:bottom w:val="single" w:sz="8" w:color="0E2A35"/>
            </w:tcBorders>
          </w:tcPr>
          <w:p>
            <w:pPr>
              <w:jc w:val="right"/>
              <w:ind w:right="34"/>
              <w:spacing w:after="0" w:line="250" w:lineRule="exact"/>
              <w:rPr>
                <w:sz w:val="20"/>
                <w:szCs w:val="20"/>
                <w:color w:val="auto"/>
              </w:rPr>
            </w:pPr>
            <w:r>
              <w:rPr>
                <w:rFonts w:ascii="Arial" w:cs="Arial" w:eastAsia="Arial" w:hAnsi="Arial"/>
                <w:sz w:val="13"/>
                <w:szCs w:val="13"/>
                <w:color w:val="0E2A35"/>
              </w:rPr>
              <w:t>3,786</w:t>
            </w:r>
            <w:r>
              <w:rPr>
                <w:rFonts w:ascii="Arial" w:cs="Arial" w:eastAsia="Arial" w:hAnsi="Arial"/>
                <w:sz w:val="22"/>
                <w:szCs w:val="22"/>
                <w:color w:val="0E2A35"/>
                <w:vertAlign w:val="superscript"/>
              </w:rPr>
              <w:t>(7)</w:t>
            </w:r>
          </w:p>
        </w:tc>
        <w:tc>
          <w:tcPr>
            <w:tcW w:w="1160" w:type="dxa"/>
            <w:vAlign w:val="bottom"/>
            <w:tcBorders>
              <w:bottom w:val="single" w:sz="8" w:color="0E2A35"/>
            </w:tcBorders>
          </w:tcPr>
          <w:p>
            <w:pPr>
              <w:jc w:val="right"/>
              <w:ind w:right="95"/>
              <w:spacing w:after="0"/>
              <w:rPr>
                <w:sz w:val="20"/>
                <w:szCs w:val="20"/>
                <w:color w:val="auto"/>
              </w:rPr>
            </w:pPr>
            <w:r>
              <w:rPr>
                <w:rFonts w:ascii="Arial" w:cs="Arial" w:eastAsia="Arial" w:hAnsi="Arial"/>
                <w:sz w:val="13"/>
                <w:szCs w:val="13"/>
                <w:color w:val="0E2A35"/>
              </w:rPr>
              <w:t>276,794</w:t>
            </w:r>
          </w:p>
        </w:tc>
        <w:tc>
          <w:tcPr>
            <w:tcW w:w="1280" w:type="dxa"/>
            <w:vAlign w:val="bottom"/>
            <w:tcBorders>
              <w:bottom w:val="single" w:sz="8" w:color="0E2A35"/>
            </w:tcBorders>
          </w:tcPr>
          <w:p>
            <w:pPr>
              <w:spacing w:after="0"/>
              <w:rPr>
                <w:sz w:val="21"/>
                <w:szCs w:val="21"/>
                <w:color w:val="auto"/>
              </w:rPr>
            </w:pPr>
          </w:p>
        </w:tc>
        <w:tc>
          <w:tcPr>
            <w:tcW w:w="640" w:type="dxa"/>
            <w:vAlign w:val="bottom"/>
            <w:tcBorders>
              <w:bottom w:val="single" w:sz="8" w:color="0E2A35"/>
            </w:tcBorders>
          </w:tcPr>
          <w:p>
            <w:pPr>
              <w:spacing w:after="0"/>
              <w:rPr>
                <w:sz w:val="21"/>
                <w:szCs w:val="21"/>
                <w:color w:val="auto"/>
              </w:rPr>
            </w:pPr>
          </w:p>
        </w:tc>
        <w:tc>
          <w:tcPr>
            <w:tcW w:w="760" w:type="dxa"/>
            <w:vAlign w:val="bottom"/>
            <w:tcBorders>
              <w:bottom w:val="single" w:sz="8" w:color="0E2A35"/>
            </w:tcBorders>
          </w:tcPr>
          <w:p>
            <w:pPr>
              <w:spacing w:after="0"/>
              <w:rPr>
                <w:sz w:val="21"/>
                <w:szCs w:val="21"/>
                <w:color w:val="auto"/>
              </w:rPr>
            </w:pPr>
          </w:p>
        </w:tc>
        <w:tc>
          <w:tcPr>
            <w:tcW w:w="440" w:type="dxa"/>
            <w:vAlign w:val="bottom"/>
          </w:tcPr>
          <w:p>
            <w:pPr>
              <w:spacing w:after="0"/>
              <w:rPr>
                <w:sz w:val="21"/>
                <w:szCs w:val="21"/>
                <w:color w:val="auto"/>
              </w:rPr>
            </w:pPr>
          </w:p>
        </w:tc>
      </w:tr>
      <w:tr>
        <w:trPr>
          <w:trHeight w:val="463"/>
        </w:trPr>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80" w:type="dxa"/>
            <w:vAlign w:val="bottom"/>
            <w:gridSpan w:val="3"/>
          </w:tcPr>
          <w:p>
            <w:pPr>
              <w:ind w:left="680"/>
              <w:spacing w:after="0"/>
              <w:rPr>
                <w:sz w:val="20"/>
                <w:szCs w:val="20"/>
                <w:color w:val="auto"/>
              </w:rPr>
            </w:pPr>
            <w:r>
              <w:rPr>
                <w:rFonts w:ascii="Arial" w:cs="Arial" w:eastAsia="Arial" w:hAnsi="Arial"/>
                <w:sz w:val="13"/>
                <w:szCs w:val="13"/>
                <w:color w:val="0E2A35"/>
                <w:w w:val="98"/>
              </w:rPr>
              <w:t>Proxy Statement for 2021 Annual Meeting</w:t>
            </w:r>
          </w:p>
        </w:tc>
        <w:tc>
          <w:tcPr>
            <w:tcW w:w="760" w:type="dxa"/>
            <w:vAlign w:val="bottom"/>
          </w:tcPr>
          <w:p>
            <w:pPr>
              <w:jc w:val="right"/>
              <w:ind w:right="373"/>
              <w:spacing w:after="0"/>
              <w:rPr>
                <w:sz w:val="20"/>
                <w:szCs w:val="20"/>
                <w:color w:val="auto"/>
              </w:rPr>
            </w:pPr>
            <w:r>
              <w:rPr>
                <w:rFonts w:ascii="Arial" w:cs="Arial" w:eastAsia="Arial" w:hAnsi="Arial"/>
                <w:sz w:val="13"/>
                <w:szCs w:val="13"/>
                <w:b w:val="1"/>
                <w:bCs w:val="1"/>
                <w:color w:val="0E2A35"/>
              </w:rPr>
              <w:t>58</w:t>
            </w:r>
          </w:p>
        </w:tc>
        <w:tc>
          <w:tcPr>
            <w:tcW w:w="440" w:type="dxa"/>
            <w:vAlign w:val="bottom"/>
          </w:tcPr>
          <w:p>
            <w:pPr>
              <w:spacing w:after="0"/>
              <w:rPr>
                <w:sz w:val="24"/>
                <w:szCs w:val="24"/>
                <w:color w:val="auto"/>
              </w:rPr>
            </w:pPr>
          </w:p>
        </w:tc>
      </w:tr>
      <w:tr>
        <w:trPr>
          <w:trHeight w:val="253"/>
        </w:trPr>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-8520430</wp:posOffset>
            </wp:positionV>
            <wp:extent cx="53149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095" w:gutter="0" w:footer="0" w:header="0"/>
        </w:sectPr>
      </w:pPr>
    </w:p>
    <w:bookmarkStart w:id="63" w:name="page64"/>
    <w:bookmarkEnd w:id="6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1040" w:hanging="360"/>
        <w:spacing w:after="0" w:line="225"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stock option granted on January 18, 2016 as a new hire grant under the Company's 2014 Omnibus Equity, Performance Award and Incentive Compensation Plan (the 2014 Plan), which vested with respect to 33% of the shares covered by the option on each of the first three anniversaries of the grant date.</w:t>
      </w:r>
    </w:p>
    <w:p>
      <w:pPr>
        <w:spacing w:after="0" w:line="25" w:lineRule="exact"/>
        <w:rPr>
          <w:rFonts w:ascii="Arial" w:cs="Arial" w:eastAsia="Arial" w:hAnsi="Arial"/>
          <w:sz w:val="13"/>
          <w:szCs w:val="13"/>
          <w:color w:val="0E2A35"/>
        </w:rPr>
      </w:pPr>
    </w:p>
    <w:p>
      <w:pPr>
        <w:ind w:left="1220" w:right="10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stock option granted on October 11, 2016 as an annual grant under the 2014 Plan, which vested with respect to 33% of the shares covered by the option on each of the first three anniversaries of the grant date.</w:t>
      </w:r>
    </w:p>
    <w:p>
      <w:pPr>
        <w:spacing w:after="0" w:line="23" w:lineRule="exact"/>
        <w:rPr>
          <w:rFonts w:ascii="Arial" w:cs="Arial" w:eastAsia="Arial" w:hAnsi="Arial"/>
          <w:sz w:val="13"/>
          <w:szCs w:val="13"/>
          <w:color w:val="0E2A35"/>
        </w:rPr>
      </w:pPr>
    </w:p>
    <w:p>
      <w:pPr>
        <w:ind w:left="1220" w:right="92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December 13, 2016 as a grant for the purchase of Grand Design RV, LLC under the 2014 Plan, which vested with respect to 33% of the shares covered by the option on each of the first three anniversaries of the grant date.</w:t>
      </w:r>
    </w:p>
    <w:p>
      <w:pPr>
        <w:spacing w:after="0" w:line="10" w:lineRule="exact"/>
        <w:rPr>
          <w:rFonts w:ascii="Arial" w:cs="Arial" w:eastAsia="Arial" w:hAnsi="Arial"/>
          <w:sz w:val="13"/>
          <w:szCs w:val="13"/>
          <w:color w:val="0E2A35"/>
        </w:rPr>
      </w:pPr>
    </w:p>
    <w:p>
      <w:pPr>
        <w:ind w:left="1220" w:right="134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18, 2017 as an annual stock or option grant under the 2014 Plan, which vested with respect to 33% of the shares covered by the stock or option grant on each of the first three anniversaries of the grant date.</w:t>
      </w:r>
    </w:p>
    <w:p>
      <w:pPr>
        <w:spacing w:after="0" w:line="23"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15, 2018 as an annual stock or option grant under the 2014 Plan, which will vest with respect to 33% of the shares on the first three anniversaries of the date of grant.</w:t>
      </w:r>
    </w:p>
    <w:p>
      <w:pPr>
        <w:spacing w:after="0" w:line="23" w:lineRule="exact"/>
        <w:rPr>
          <w:rFonts w:ascii="Arial" w:cs="Arial" w:eastAsia="Arial" w:hAnsi="Arial"/>
          <w:sz w:val="13"/>
          <w:szCs w:val="13"/>
          <w:color w:val="0E2A35"/>
        </w:rPr>
      </w:pPr>
    </w:p>
    <w:p>
      <w:pPr>
        <w:ind w:left="1220" w:right="96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December 17, 2019 as an annual stock or option grant under the 2019 Plan, which will vest with respect to 33% of the shares on the first three anniversaries of the date of grant.</w:t>
      </w:r>
    </w:p>
    <w:p>
      <w:pPr>
        <w:spacing w:after="0" w:line="10" w:lineRule="exact"/>
        <w:rPr>
          <w:rFonts w:ascii="Arial" w:cs="Arial" w:eastAsia="Arial" w:hAnsi="Arial"/>
          <w:sz w:val="13"/>
          <w:szCs w:val="13"/>
          <w:color w:val="0E2A35"/>
        </w:rPr>
      </w:pPr>
    </w:p>
    <w:p>
      <w:pPr>
        <w:ind w:left="1220" w:right="94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13 ,2020 as an annual stock option grant under the 2019 Plan, which will vest with respect to 33% of the shares on each of the first three anniversaries of the date of grant.</w:t>
      </w:r>
    </w:p>
    <w:p>
      <w:pPr>
        <w:spacing w:after="0" w:line="23" w:lineRule="exact"/>
        <w:rPr>
          <w:rFonts w:ascii="Arial" w:cs="Arial" w:eastAsia="Arial" w:hAnsi="Arial"/>
          <w:sz w:val="13"/>
          <w:szCs w:val="13"/>
          <w:color w:val="0E2A35"/>
        </w:rPr>
      </w:pPr>
    </w:p>
    <w:p>
      <w:pPr>
        <w:ind w:left="1220" w:right="92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award granted on October 12, 2020 as a new hire grant under the 2019 Plan, which will vest with respect to 33% of the shares covered by the stock award on each of the first three anniversaries of the date of grant.</w:t>
      </w:r>
    </w:p>
    <w:p>
      <w:pPr>
        <w:spacing w:after="0" w:line="23" w:lineRule="exact"/>
        <w:rPr>
          <w:rFonts w:ascii="Arial" w:cs="Arial" w:eastAsia="Arial" w:hAnsi="Arial"/>
          <w:sz w:val="13"/>
          <w:szCs w:val="13"/>
          <w:color w:val="0E2A35"/>
        </w:rPr>
      </w:pPr>
    </w:p>
    <w:p>
      <w:pPr>
        <w:ind w:left="1220" w:right="94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fiscal 2019-2021 LTIP at target, under the 2014 Plan for the three-year performance period beginning August 27, 2018 and ended August 30, 2021. Settled shares are subject to a one-year holding period.</w:t>
      </w:r>
    </w:p>
    <w:p>
      <w:pPr>
        <w:spacing w:after="0" w:line="10" w:lineRule="exact"/>
        <w:rPr>
          <w:rFonts w:ascii="Arial" w:cs="Arial" w:eastAsia="Arial" w:hAnsi="Arial"/>
          <w:sz w:val="13"/>
          <w:szCs w:val="13"/>
          <w:color w:val="0E2A35"/>
        </w:rPr>
      </w:pPr>
    </w:p>
    <w:p>
      <w:pPr>
        <w:ind w:left="1220" w:right="9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fiscal 2020-2022 LTIP at target, under the 2014 Plan for the three-year performance period beginning August 26, 2019 and ending August 28, 2022. Settled shares are subject to a one-year holding period.</w:t>
      </w:r>
    </w:p>
    <w:p>
      <w:pPr>
        <w:spacing w:after="0" w:line="23" w:lineRule="exact"/>
        <w:rPr>
          <w:rFonts w:ascii="Arial" w:cs="Arial" w:eastAsia="Arial" w:hAnsi="Arial"/>
          <w:sz w:val="13"/>
          <w:szCs w:val="13"/>
          <w:color w:val="0E2A35"/>
        </w:rPr>
      </w:pPr>
    </w:p>
    <w:p>
      <w:pPr>
        <w:ind w:left="1220" w:right="110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fiscal 2021-2023 LTIP at target, under the 2019 Plan for the three-year performance period beginning September 1, 2020 and ending August 28, 2023. Settled shares subject to one year holding period.</w:t>
      </w:r>
    </w:p>
    <w:p>
      <w:pPr>
        <w:spacing w:after="0" w:line="23" w:lineRule="exact"/>
        <w:rPr>
          <w:rFonts w:ascii="Arial" w:cs="Arial" w:eastAsia="Arial" w:hAnsi="Arial"/>
          <w:sz w:val="13"/>
          <w:szCs w:val="13"/>
          <w:color w:val="0E2A35"/>
        </w:rPr>
      </w:pPr>
    </w:p>
    <w:p>
      <w:pPr>
        <w:ind w:left="1220" w:right="920" w:hanging="360"/>
        <w:spacing w:after="0" w:line="230" w:lineRule="auto"/>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the fiscal 2021 PSU awards at target under the 2019 Plan for the one-year performance period beginning September 1, 2020 and ended August 28, 2021. Shares vest 50% per year over the first two anniversaries of the date of grant.</w:t>
      </w:r>
    </w:p>
    <w:p>
      <w:pPr>
        <w:spacing w:after="0" w:line="10" w:lineRule="exact"/>
        <w:rPr>
          <w:rFonts w:ascii="Arial" w:cs="Arial" w:eastAsia="Arial" w:hAnsi="Arial"/>
          <w:sz w:val="13"/>
          <w:szCs w:val="13"/>
          <w:color w:val="0E2A35"/>
        </w:rPr>
      </w:pPr>
    </w:p>
    <w:p>
      <w:pPr>
        <w:ind w:left="1220" w:hanging="360"/>
        <w:spacing w:after="0"/>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the value of unvested stock as of August 28, 2021 based on a closing stock price of $73.11.</w:t>
      </w:r>
    </w:p>
    <w:p>
      <w:pPr>
        <w:spacing w:after="0" w:line="26" w:lineRule="exact"/>
        <w:rPr>
          <w:rFonts w:ascii="Arial" w:cs="Arial" w:eastAsia="Arial" w:hAnsi="Arial"/>
          <w:sz w:val="13"/>
          <w:szCs w:val="13"/>
          <w:color w:val="0E2A35"/>
        </w:rPr>
      </w:pPr>
    </w:p>
    <w:p>
      <w:pPr>
        <w:ind w:left="1220" w:hanging="360"/>
        <w:spacing w:after="0"/>
        <w:tabs>
          <w:tab w:leader="none" w:pos="122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the value of unearned performance share awards at target as of August 28, 2021 based on a stock price of $73.11.</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Option Exercises and Stock Vested Table</w:t>
      </w:r>
    </w:p>
    <w:p>
      <w:pPr>
        <w:spacing w:after="0" w:line="132" w:lineRule="exact"/>
        <w:rPr>
          <w:sz w:val="20"/>
          <w:szCs w:val="20"/>
          <w:color w:val="auto"/>
        </w:rPr>
      </w:pPr>
    </w:p>
    <w:p>
      <w:pPr>
        <w:ind w:left="860" w:right="1480"/>
        <w:spacing w:after="0" w:line="260" w:lineRule="auto"/>
        <w:rPr>
          <w:sz w:val="20"/>
          <w:szCs w:val="20"/>
          <w:color w:val="auto"/>
        </w:rPr>
      </w:pPr>
      <w:r>
        <w:rPr>
          <w:rFonts w:ascii="Arial" w:cs="Arial" w:eastAsia="Arial" w:hAnsi="Arial"/>
          <w:sz w:val="16"/>
          <w:szCs w:val="16"/>
          <w:color w:val="0E2A35"/>
        </w:rPr>
        <w:t>The following table provides the amounts received before payroll withholding taxes upon the exercise of options or similar instruments or the vesting of stock or similar instruments during fiscal 2021.</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2300" w:type="dxa"/>
            <w:vAlign w:val="bottom"/>
            <w:shd w:val="clear" w:color="auto" w:fill="0E2A35"/>
          </w:tcPr>
          <w:p>
            <w:pPr>
              <w:spacing w:after="0"/>
              <w:rPr>
                <w:sz w:val="22"/>
                <w:szCs w:val="22"/>
                <w:color w:val="auto"/>
              </w:rPr>
            </w:pPr>
          </w:p>
        </w:tc>
        <w:tc>
          <w:tcPr>
            <w:tcW w:w="3920" w:type="dxa"/>
            <w:vAlign w:val="bottom"/>
            <w:gridSpan w:val="2"/>
            <w:shd w:val="clear" w:color="auto" w:fill="0E2A35"/>
          </w:tcPr>
          <w:p>
            <w:pPr>
              <w:ind w:left="1880"/>
              <w:spacing w:after="0"/>
              <w:rPr>
                <w:sz w:val="20"/>
                <w:szCs w:val="20"/>
                <w:color w:val="auto"/>
              </w:rPr>
            </w:pPr>
            <w:r>
              <w:rPr>
                <w:rFonts w:ascii="Arial" w:cs="Arial" w:eastAsia="Arial" w:hAnsi="Arial"/>
                <w:sz w:val="13"/>
                <w:szCs w:val="13"/>
                <w:b w:val="1"/>
                <w:bCs w:val="1"/>
                <w:color w:val="FFFFFF"/>
              </w:rPr>
              <w:t>Option Awards</w:t>
            </w:r>
          </w:p>
        </w:tc>
        <w:tc>
          <w:tcPr>
            <w:tcW w:w="3060" w:type="dxa"/>
            <w:vAlign w:val="bottom"/>
            <w:gridSpan w:val="2"/>
            <w:shd w:val="clear" w:color="auto" w:fill="0E2A35"/>
          </w:tcPr>
          <w:p>
            <w:pPr>
              <w:jc w:val="right"/>
              <w:ind w:right="953"/>
              <w:spacing w:after="0"/>
              <w:rPr>
                <w:sz w:val="20"/>
                <w:szCs w:val="20"/>
                <w:color w:val="auto"/>
              </w:rPr>
            </w:pPr>
            <w:r>
              <w:rPr>
                <w:rFonts w:ascii="Arial" w:cs="Arial" w:eastAsia="Arial" w:hAnsi="Arial"/>
                <w:sz w:val="13"/>
                <w:szCs w:val="13"/>
                <w:b w:val="1"/>
                <w:bCs w:val="1"/>
                <w:color w:val="FFFFFF"/>
              </w:rPr>
              <w:t>Stock Awards</w:t>
            </w:r>
          </w:p>
        </w:tc>
      </w:tr>
      <w:tr>
        <w:trPr>
          <w:trHeight w:val="318"/>
        </w:trPr>
        <w:tc>
          <w:tcPr>
            <w:tcW w:w="2300" w:type="dxa"/>
            <w:vAlign w:val="bottom"/>
            <w:shd w:val="clear" w:color="auto" w:fill="0E2A35"/>
          </w:tcPr>
          <w:p>
            <w:pPr>
              <w:spacing w:after="0"/>
              <w:rPr>
                <w:sz w:val="24"/>
                <w:szCs w:val="24"/>
                <w:color w:val="auto"/>
              </w:rPr>
            </w:pPr>
          </w:p>
        </w:tc>
        <w:tc>
          <w:tcPr>
            <w:tcW w:w="2380" w:type="dxa"/>
            <w:vAlign w:val="bottom"/>
            <w:shd w:val="clear" w:color="auto" w:fill="0E2A35"/>
          </w:tcPr>
          <w:p>
            <w:pPr>
              <w:jc w:val="center"/>
              <w:ind w:left="633"/>
              <w:spacing w:after="0"/>
              <w:rPr>
                <w:sz w:val="20"/>
                <w:szCs w:val="20"/>
                <w:color w:val="auto"/>
              </w:rPr>
            </w:pPr>
            <w:r>
              <w:rPr>
                <w:rFonts w:ascii="Arial" w:cs="Arial" w:eastAsia="Arial" w:hAnsi="Arial"/>
                <w:sz w:val="13"/>
                <w:szCs w:val="13"/>
                <w:b w:val="1"/>
                <w:bCs w:val="1"/>
                <w:color w:val="FFFFFF"/>
                <w:w w:val="98"/>
              </w:rPr>
              <w:t>Number of</w:t>
            </w:r>
          </w:p>
        </w:tc>
        <w:tc>
          <w:tcPr>
            <w:tcW w:w="1540" w:type="dxa"/>
            <w:vAlign w:val="bottom"/>
            <w:shd w:val="clear" w:color="auto" w:fill="0E2A35"/>
          </w:tcPr>
          <w:p>
            <w:pPr>
              <w:spacing w:after="0"/>
              <w:rPr>
                <w:sz w:val="24"/>
                <w:szCs w:val="24"/>
                <w:color w:val="auto"/>
              </w:rPr>
            </w:pPr>
          </w:p>
        </w:tc>
        <w:tc>
          <w:tcPr>
            <w:tcW w:w="1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360" w:type="dxa"/>
            <w:vAlign w:val="bottom"/>
            <w:shd w:val="clear" w:color="auto" w:fill="0E2A35"/>
          </w:tcPr>
          <w:p>
            <w:pPr>
              <w:spacing w:after="0"/>
              <w:rPr>
                <w:sz w:val="24"/>
                <w:szCs w:val="24"/>
                <w:color w:val="auto"/>
              </w:rPr>
            </w:pPr>
          </w:p>
        </w:tc>
      </w:tr>
      <w:tr>
        <w:trPr>
          <w:trHeight w:val="135"/>
        </w:trPr>
        <w:tc>
          <w:tcPr>
            <w:tcW w:w="2300" w:type="dxa"/>
            <w:vAlign w:val="bottom"/>
            <w:shd w:val="clear" w:color="auto" w:fill="0E2A35"/>
          </w:tcPr>
          <w:p>
            <w:pPr>
              <w:spacing w:after="0"/>
              <w:rPr>
                <w:sz w:val="11"/>
                <w:szCs w:val="11"/>
                <w:color w:val="auto"/>
              </w:rPr>
            </w:pPr>
          </w:p>
        </w:tc>
        <w:tc>
          <w:tcPr>
            <w:tcW w:w="2380" w:type="dxa"/>
            <w:vAlign w:val="bottom"/>
            <w:shd w:val="clear" w:color="auto" w:fill="0E2A35"/>
          </w:tcPr>
          <w:p>
            <w:pPr>
              <w:jc w:val="center"/>
              <w:ind w:left="633"/>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5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Value Realized</w:t>
            </w:r>
          </w:p>
        </w:tc>
        <w:tc>
          <w:tcPr>
            <w:tcW w:w="17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360" w:type="dxa"/>
            <w:vAlign w:val="bottom"/>
            <w:shd w:val="clear" w:color="auto" w:fill="0E2A35"/>
          </w:tcPr>
          <w:p>
            <w:pPr>
              <w:jc w:val="center"/>
              <w:ind w:left="93"/>
              <w:spacing w:after="0" w:line="135" w:lineRule="exact"/>
              <w:rPr>
                <w:sz w:val="20"/>
                <w:szCs w:val="20"/>
                <w:color w:val="auto"/>
              </w:rPr>
            </w:pPr>
            <w:r>
              <w:rPr>
                <w:rFonts w:ascii="Arial" w:cs="Arial" w:eastAsia="Arial" w:hAnsi="Arial"/>
                <w:sz w:val="13"/>
                <w:szCs w:val="13"/>
                <w:b w:val="1"/>
                <w:bCs w:val="1"/>
                <w:color w:val="FFFFFF"/>
                <w:w w:val="96"/>
              </w:rPr>
              <w:t>Value Realized</w:t>
            </w:r>
          </w:p>
        </w:tc>
      </w:tr>
      <w:tr>
        <w:trPr>
          <w:trHeight w:val="131"/>
        </w:trPr>
        <w:tc>
          <w:tcPr>
            <w:tcW w:w="2300" w:type="dxa"/>
            <w:vAlign w:val="bottom"/>
            <w:shd w:val="clear" w:color="auto" w:fill="0E2A35"/>
          </w:tcPr>
          <w:p>
            <w:pPr>
              <w:spacing w:after="0"/>
              <w:rPr>
                <w:sz w:val="11"/>
                <w:szCs w:val="11"/>
                <w:color w:val="auto"/>
              </w:rPr>
            </w:pPr>
          </w:p>
        </w:tc>
        <w:tc>
          <w:tcPr>
            <w:tcW w:w="2380" w:type="dxa"/>
            <w:vAlign w:val="bottom"/>
            <w:shd w:val="clear" w:color="auto" w:fill="0E2A35"/>
          </w:tcPr>
          <w:p>
            <w:pPr>
              <w:jc w:val="center"/>
              <w:ind w:left="633"/>
              <w:spacing w:after="0" w:line="131" w:lineRule="exact"/>
              <w:rPr>
                <w:sz w:val="20"/>
                <w:szCs w:val="20"/>
                <w:color w:val="auto"/>
              </w:rPr>
            </w:pPr>
            <w:r>
              <w:rPr>
                <w:rFonts w:ascii="Arial" w:cs="Arial" w:eastAsia="Arial" w:hAnsi="Arial"/>
                <w:sz w:val="13"/>
                <w:szCs w:val="13"/>
                <w:b w:val="1"/>
                <w:bCs w:val="1"/>
                <w:color w:val="FFFFFF"/>
                <w:w w:val="98"/>
              </w:rPr>
              <w:t>on Exercise</w:t>
            </w:r>
          </w:p>
        </w:tc>
        <w:tc>
          <w:tcPr>
            <w:tcW w:w="15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on Exercise</w:t>
            </w:r>
          </w:p>
        </w:tc>
        <w:tc>
          <w:tcPr>
            <w:tcW w:w="17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on Vesting</w:t>
            </w:r>
          </w:p>
        </w:tc>
        <w:tc>
          <w:tcPr>
            <w:tcW w:w="1360" w:type="dxa"/>
            <w:vAlign w:val="bottom"/>
            <w:shd w:val="clear" w:color="auto" w:fill="0E2A35"/>
          </w:tcPr>
          <w:p>
            <w:pPr>
              <w:jc w:val="center"/>
              <w:ind w:left="93"/>
              <w:spacing w:after="0" w:line="131" w:lineRule="exact"/>
              <w:rPr>
                <w:sz w:val="20"/>
                <w:szCs w:val="20"/>
                <w:color w:val="auto"/>
              </w:rPr>
            </w:pPr>
            <w:r>
              <w:rPr>
                <w:rFonts w:ascii="Arial" w:cs="Arial" w:eastAsia="Arial" w:hAnsi="Arial"/>
                <w:sz w:val="13"/>
                <w:szCs w:val="13"/>
                <w:b w:val="1"/>
                <w:bCs w:val="1"/>
                <w:color w:val="FFFFFF"/>
                <w:w w:val="96"/>
              </w:rPr>
              <w:t>on Vesting</w:t>
            </w:r>
          </w:p>
        </w:tc>
      </w:tr>
      <w:tr>
        <w:trPr>
          <w:trHeight w:val="269"/>
        </w:trPr>
        <w:tc>
          <w:tcPr>
            <w:tcW w:w="230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380" w:type="dxa"/>
            <w:vAlign w:val="bottom"/>
            <w:shd w:val="clear" w:color="auto" w:fill="0E2A35"/>
          </w:tcPr>
          <w:p>
            <w:pPr>
              <w:jc w:val="center"/>
              <w:ind w:left="633"/>
              <w:spacing w:after="0"/>
              <w:rPr>
                <w:sz w:val="20"/>
                <w:szCs w:val="20"/>
                <w:color w:val="auto"/>
              </w:rPr>
            </w:pPr>
            <w:r>
              <w:rPr>
                <w:rFonts w:ascii="Arial" w:cs="Arial" w:eastAsia="Arial" w:hAnsi="Arial"/>
                <w:sz w:val="13"/>
                <w:szCs w:val="13"/>
                <w:b w:val="1"/>
                <w:bCs w:val="1"/>
                <w:color w:val="FFFFFF"/>
              </w:rPr>
              <w:t>(#)</w:t>
            </w:r>
          </w:p>
        </w:tc>
        <w:tc>
          <w:tcPr>
            <w:tcW w:w="15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360" w:type="dxa"/>
            <w:vAlign w:val="bottom"/>
            <w:shd w:val="clear" w:color="auto" w:fill="0E2A35"/>
          </w:tcPr>
          <w:p>
            <w:pPr>
              <w:jc w:val="center"/>
              <w:ind w:left="93"/>
              <w:spacing w:after="0" w:line="269"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(1)</w:t>
            </w:r>
          </w:p>
        </w:tc>
      </w:tr>
      <w:tr>
        <w:trPr>
          <w:trHeight w:val="285"/>
        </w:trPr>
        <w:tc>
          <w:tcPr>
            <w:tcW w:w="2300" w:type="dxa"/>
            <w:vAlign w:val="bottom"/>
          </w:tcPr>
          <w:p>
            <w:pPr>
              <w:ind w:left="140"/>
              <w:spacing w:after="0"/>
              <w:rPr>
                <w:sz w:val="20"/>
                <w:szCs w:val="20"/>
                <w:color w:val="auto"/>
              </w:rPr>
            </w:pPr>
            <w:r>
              <w:rPr>
                <w:rFonts w:ascii="Arial" w:cs="Arial" w:eastAsia="Arial" w:hAnsi="Arial"/>
                <w:sz w:val="14"/>
                <w:szCs w:val="14"/>
                <w:color w:val="0E2A35"/>
              </w:rPr>
              <w:t>Michael J. Happe</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25,847</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1,454,330</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8"/>
        </w:trPr>
        <w:tc>
          <w:tcPr>
            <w:tcW w:w="2300" w:type="dxa"/>
            <w:vAlign w:val="bottom"/>
          </w:tcPr>
          <w:p>
            <w:pPr>
              <w:ind w:left="140"/>
              <w:spacing w:after="0"/>
              <w:rPr>
                <w:sz w:val="20"/>
                <w:szCs w:val="20"/>
                <w:color w:val="auto"/>
              </w:rPr>
            </w:pPr>
            <w:r>
              <w:rPr>
                <w:rFonts w:ascii="Arial" w:cs="Arial" w:eastAsia="Arial" w:hAnsi="Arial"/>
                <w:sz w:val="14"/>
                <w:szCs w:val="14"/>
                <w:color w:val="0E2A35"/>
              </w:rPr>
              <w:t>Bryan L. Hughes</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10,356</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562,025</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9"/>
        </w:trPr>
        <w:tc>
          <w:tcPr>
            <w:tcW w:w="2300" w:type="dxa"/>
            <w:vAlign w:val="bottom"/>
          </w:tcPr>
          <w:p>
            <w:pPr>
              <w:ind w:left="140"/>
              <w:spacing w:after="0"/>
              <w:rPr>
                <w:sz w:val="20"/>
                <w:szCs w:val="20"/>
                <w:color w:val="auto"/>
              </w:rPr>
            </w:pPr>
            <w:r>
              <w:rPr>
                <w:rFonts w:ascii="Arial" w:cs="Arial" w:eastAsia="Arial" w:hAnsi="Arial"/>
                <w:sz w:val="14"/>
                <w:szCs w:val="14"/>
                <w:color w:val="0E2A35"/>
              </w:rPr>
              <w:t>Huw S. Bower</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8"/>
        </w:trPr>
        <w:tc>
          <w:tcPr>
            <w:tcW w:w="2300" w:type="dxa"/>
            <w:vAlign w:val="bottom"/>
          </w:tcPr>
          <w:p>
            <w:pPr>
              <w:ind w:left="140"/>
              <w:spacing w:after="0"/>
              <w:rPr>
                <w:sz w:val="20"/>
                <w:szCs w:val="20"/>
                <w:color w:val="auto"/>
              </w:rPr>
            </w:pPr>
            <w:r>
              <w:rPr>
                <w:rFonts w:ascii="Arial" w:cs="Arial" w:eastAsia="Arial" w:hAnsi="Arial"/>
                <w:sz w:val="14"/>
                <w:szCs w:val="14"/>
                <w:color w:val="0E2A35"/>
              </w:rPr>
              <w:t>Donald J. Clark</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w:t>
            </w:r>
          </w:p>
        </w:tc>
      </w:tr>
      <w:tr>
        <w:trPr>
          <w:trHeight w:val="93"/>
        </w:trPr>
        <w:tc>
          <w:tcPr>
            <w:tcW w:w="230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360" w:type="dxa"/>
            <w:vAlign w:val="bottom"/>
            <w:tcBorders>
              <w:bottom w:val="single" w:sz="8" w:color="0E2A35"/>
            </w:tcBorders>
          </w:tcPr>
          <w:p>
            <w:pPr>
              <w:spacing w:after="0"/>
              <w:rPr>
                <w:sz w:val="8"/>
                <w:szCs w:val="8"/>
                <w:color w:val="auto"/>
              </w:rPr>
            </w:pPr>
          </w:p>
        </w:tc>
      </w:tr>
      <w:tr>
        <w:trPr>
          <w:trHeight w:val="279"/>
        </w:trPr>
        <w:tc>
          <w:tcPr>
            <w:tcW w:w="2300" w:type="dxa"/>
            <w:vAlign w:val="bottom"/>
          </w:tcPr>
          <w:p>
            <w:pPr>
              <w:ind w:left="140"/>
              <w:spacing w:after="0"/>
              <w:rPr>
                <w:sz w:val="20"/>
                <w:szCs w:val="20"/>
                <w:color w:val="auto"/>
              </w:rPr>
            </w:pPr>
            <w:r>
              <w:rPr>
                <w:rFonts w:ascii="Arial" w:cs="Arial" w:eastAsia="Arial" w:hAnsi="Arial"/>
                <w:sz w:val="14"/>
                <w:szCs w:val="14"/>
                <w:color w:val="0E2A35"/>
              </w:rPr>
              <w:t>Brian D. Hazelton</w:t>
            </w:r>
          </w:p>
        </w:tc>
        <w:tc>
          <w:tcPr>
            <w:tcW w:w="2380" w:type="dxa"/>
            <w:vAlign w:val="bottom"/>
          </w:tcPr>
          <w:p>
            <w:pPr>
              <w:jc w:val="center"/>
              <w:ind w:left="633"/>
              <w:spacing w:after="0"/>
              <w:rPr>
                <w:sz w:val="20"/>
                <w:szCs w:val="20"/>
                <w:color w:val="auto"/>
              </w:rPr>
            </w:pPr>
            <w:r>
              <w:rPr>
                <w:rFonts w:ascii="Arial" w:cs="Arial" w:eastAsia="Arial" w:hAnsi="Arial"/>
                <w:sz w:val="14"/>
                <w:szCs w:val="14"/>
                <w:color w:val="0E2A35"/>
              </w:rPr>
              <w:t>—</w:t>
            </w:r>
          </w:p>
        </w:tc>
        <w:tc>
          <w:tcPr>
            <w:tcW w:w="154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00" w:type="dxa"/>
            <w:vAlign w:val="bottom"/>
          </w:tcPr>
          <w:p>
            <w:pPr>
              <w:jc w:val="right"/>
              <w:ind w:right="253"/>
              <w:spacing w:after="0"/>
              <w:rPr>
                <w:sz w:val="20"/>
                <w:szCs w:val="20"/>
                <w:color w:val="auto"/>
              </w:rPr>
            </w:pPr>
            <w:r>
              <w:rPr>
                <w:rFonts w:ascii="Arial" w:cs="Arial" w:eastAsia="Arial" w:hAnsi="Arial"/>
                <w:sz w:val="14"/>
                <w:szCs w:val="14"/>
                <w:color w:val="0E2A35"/>
              </w:rPr>
              <w:t>6,610</w:t>
            </w:r>
          </w:p>
        </w:tc>
        <w:tc>
          <w:tcPr>
            <w:tcW w:w="1360" w:type="dxa"/>
            <w:vAlign w:val="bottom"/>
          </w:tcPr>
          <w:p>
            <w:pPr>
              <w:jc w:val="right"/>
              <w:ind w:right="33"/>
              <w:spacing w:after="0"/>
              <w:rPr>
                <w:sz w:val="20"/>
                <w:szCs w:val="20"/>
                <w:color w:val="auto"/>
              </w:rPr>
            </w:pPr>
            <w:r>
              <w:rPr>
                <w:rFonts w:ascii="Arial" w:cs="Arial" w:eastAsia="Arial" w:hAnsi="Arial"/>
                <w:sz w:val="14"/>
                <w:szCs w:val="14"/>
                <w:color w:val="0E2A35"/>
              </w:rPr>
              <w:t>369,004</w:t>
            </w:r>
          </w:p>
        </w:tc>
      </w:tr>
      <w:tr>
        <w:trPr>
          <w:trHeight w:val="39"/>
        </w:trPr>
        <w:tc>
          <w:tcPr>
            <w:tcW w:w="2300" w:type="dxa"/>
            <w:vAlign w:val="bottom"/>
            <w:tcBorders>
              <w:bottom w:val="single" w:sz="8" w:color="0E2A35"/>
            </w:tcBorders>
          </w:tcPr>
          <w:p>
            <w:pPr>
              <w:spacing w:after="0"/>
              <w:rPr>
                <w:sz w:val="3"/>
                <w:szCs w:val="3"/>
                <w:color w:val="auto"/>
              </w:rPr>
            </w:pPr>
          </w:p>
        </w:tc>
        <w:tc>
          <w:tcPr>
            <w:tcW w:w="2380" w:type="dxa"/>
            <w:vAlign w:val="bottom"/>
            <w:tcBorders>
              <w:bottom w:val="single" w:sz="8" w:color="0E2A35"/>
            </w:tcBorders>
          </w:tcPr>
          <w:p>
            <w:pPr>
              <w:spacing w:after="0"/>
              <w:rPr>
                <w:sz w:val="3"/>
                <w:szCs w:val="3"/>
                <w:color w:val="auto"/>
              </w:rPr>
            </w:pPr>
          </w:p>
        </w:tc>
        <w:tc>
          <w:tcPr>
            <w:tcW w:w="1540" w:type="dxa"/>
            <w:vAlign w:val="bottom"/>
            <w:tcBorders>
              <w:bottom w:val="single" w:sz="8" w:color="0E2A35"/>
            </w:tcBorders>
          </w:tcPr>
          <w:p>
            <w:pPr>
              <w:spacing w:after="0"/>
              <w:rPr>
                <w:sz w:val="3"/>
                <w:szCs w:val="3"/>
                <w:color w:val="auto"/>
              </w:rPr>
            </w:pPr>
          </w:p>
        </w:tc>
        <w:tc>
          <w:tcPr>
            <w:tcW w:w="1700" w:type="dxa"/>
            <w:vAlign w:val="bottom"/>
            <w:tcBorders>
              <w:bottom w:val="single" w:sz="8" w:color="0E2A35"/>
            </w:tcBorders>
          </w:tcPr>
          <w:p>
            <w:pPr>
              <w:spacing w:after="0"/>
              <w:rPr>
                <w:sz w:val="3"/>
                <w:szCs w:val="3"/>
                <w:color w:val="auto"/>
              </w:rPr>
            </w:pPr>
          </w:p>
        </w:tc>
        <w:tc>
          <w:tcPr>
            <w:tcW w:w="136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080" w:hanging="360"/>
        <w:spacing w:after="0" w:line="230" w:lineRule="auto"/>
        <w:tabs>
          <w:tab w:leader="none" w:pos="1220" w:val="left"/>
        </w:tabs>
        <w:numPr>
          <w:ilvl w:val="0"/>
          <w:numId w:val="52"/>
        </w:numPr>
        <w:rPr>
          <w:rFonts w:ascii="Arial" w:cs="Arial" w:eastAsia="Arial" w:hAnsi="Arial"/>
          <w:sz w:val="13"/>
          <w:szCs w:val="13"/>
          <w:color w:val="0E2A35"/>
        </w:rPr>
      </w:pPr>
      <w:r>
        <w:rPr>
          <w:rFonts w:ascii="Arial" w:cs="Arial" w:eastAsia="Arial" w:hAnsi="Arial"/>
          <w:sz w:val="13"/>
          <w:szCs w:val="13"/>
          <w:color w:val="0E2A35"/>
        </w:rPr>
        <w:t>Valued at the closing market price of the Company's common stock of $50.58 (May 15, 2020), $54.49 (October 13, 2020), $55.85 (October 15, 2020), $54.82 (October 18, 2020), $59.54 (December 17, 2020), and $50.58 (May 15, 2021) as quoted on the NYSE on the vesting dates.</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Nonqualified Deferred Compensation</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following table summarizes non-qualified deferred compensation by NEOs during fiscal 2021.</w:t>
      </w:r>
    </w:p>
    <w:p>
      <w:pPr>
        <w:spacing w:after="0" w:line="84"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360" w:type="dxa"/>
            <w:vAlign w:val="bottom"/>
            <w:shd w:val="clear" w:color="auto" w:fill="0E2A35"/>
          </w:tcPr>
          <w:p>
            <w:pPr>
              <w:spacing w:after="0"/>
              <w:rPr>
                <w:sz w:val="19"/>
                <w:szCs w:val="19"/>
                <w:color w:val="auto"/>
              </w:rPr>
            </w:pPr>
          </w:p>
        </w:tc>
        <w:tc>
          <w:tcPr>
            <w:tcW w:w="2340" w:type="dxa"/>
            <w:vAlign w:val="bottom"/>
            <w:shd w:val="clear" w:color="auto" w:fill="0E2A35"/>
          </w:tcPr>
          <w:p>
            <w:pPr>
              <w:jc w:val="center"/>
              <w:ind w:left="894"/>
              <w:spacing w:after="0"/>
              <w:rPr>
                <w:sz w:val="20"/>
                <w:szCs w:val="20"/>
                <w:color w:val="auto"/>
              </w:rPr>
            </w:pPr>
            <w:r>
              <w:rPr>
                <w:rFonts w:ascii="Arial" w:cs="Arial" w:eastAsia="Arial" w:hAnsi="Arial"/>
                <w:sz w:val="13"/>
                <w:szCs w:val="13"/>
                <w:b w:val="1"/>
                <w:bCs w:val="1"/>
                <w:color w:val="FFFFFF"/>
                <w:w w:val="95"/>
              </w:rPr>
              <w:t>Executive</w:t>
            </w:r>
          </w:p>
        </w:tc>
        <w:tc>
          <w:tcPr>
            <w:tcW w:w="12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Registrant</w:t>
            </w:r>
          </w:p>
        </w:tc>
        <w:tc>
          <w:tcPr>
            <w:tcW w:w="11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020" w:type="dxa"/>
            <w:vAlign w:val="bottom"/>
            <w:shd w:val="clear" w:color="auto" w:fill="0E2A35"/>
          </w:tcPr>
          <w:p>
            <w:pPr>
              <w:jc w:val="center"/>
              <w:ind w:left="14"/>
              <w:spacing w:after="0"/>
              <w:rPr>
                <w:sz w:val="20"/>
                <w:szCs w:val="20"/>
                <w:color w:val="auto"/>
              </w:rPr>
            </w:pPr>
            <w:r>
              <w:rPr>
                <w:rFonts w:ascii="Arial" w:cs="Arial" w:eastAsia="Arial" w:hAnsi="Arial"/>
                <w:sz w:val="13"/>
                <w:szCs w:val="13"/>
                <w:b w:val="1"/>
                <w:bCs w:val="1"/>
                <w:color w:val="FFFFFF"/>
                <w:w w:val="96"/>
              </w:rPr>
              <w:t>Aggregate</w:t>
            </w:r>
          </w:p>
        </w:tc>
      </w:tr>
      <w:tr>
        <w:trPr>
          <w:trHeight w:val="135"/>
        </w:trPr>
        <w:tc>
          <w:tcPr>
            <w:tcW w:w="2360" w:type="dxa"/>
            <w:vAlign w:val="bottom"/>
            <w:shd w:val="clear" w:color="auto" w:fill="0E2A35"/>
          </w:tcPr>
          <w:p>
            <w:pPr>
              <w:spacing w:after="0"/>
              <w:rPr>
                <w:sz w:val="11"/>
                <w:szCs w:val="11"/>
                <w:color w:val="auto"/>
              </w:rPr>
            </w:pPr>
          </w:p>
        </w:tc>
        <w:tc>
          <w:tcPr>
            <w:tcW w:w="2340" w:type="dxa"/>
            <w:vAlign w:val="bottom"/>
            <w:shd w:val="clear" w:color="auto" w:fill="0E2A35"/>
          </w:tcPr>
          <w:p>
            <w:pPr>
              <w:jc w:val="center"/>
              <w:ind w:left="894"/>
              <w:spacing w:after="0" w:line="135" w:lineRule="exact"/>
              <w:rPr>
                <w:sz w:val="20"/>
                <w:szCs w:val="20"/>
                <w:color w:val="auto"/>
              </w:rPr>
            </w:pPr>
            <w:r>
              <w:rPr>
                <w:rFonts w:ascii="Arial" w:cs="Arial" w:eastAsia="Arial" w:hAnsi="Arial"/>
                <w:sz w:val="13"/>
                <w:szCs w:val="13"/>
                <w:b w:val="1"/>
                <w:bCs w:val="1"/>
                <w:color w:val="FFFFFF"/>
                <w:w w:val="97"/>
              </w:rPr>
              <w:t>Contributions in</w:t>
            </w:r>
          </w:p>
        </w:tc>
        <w:tc>
          <w:tcPr>
            <w:tcW w:w="12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1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Earnings in</w:t>
            </w: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Withdrawals/</w:t>
            </w:r>
          </w:p>
        </w:tc>
        <w:tc>
          <w:tcPr>
            <w:tcW w:w="10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Balance at</w:t>
            </w:r>
          </w:p>
        </w:tc>
      </w:tr>
      <w:tr>
        <w:trPr>
          <w:trHeight w:val="131"/>
        </w:trPr>
        <w:tc>
          <w:tcPr>
            <w:tcW w:w="2360" w:type="dxa"/>
            <w:vAlign w:val="bottom"/>
            <w:shd w:val="clear" w:color="auto" w:fill="0E2A35"/>
          </w:tcPr>
          <w:p>
            <w:pPr>
              <w:spacing w:after="0"/>
              <w:rPr>
                <w:sz w:val="11"/>
                <w:szCs w:val="11"/>
                <w:color w:val="auto"/>
              </w:rPr>
            </w:pPr>
          </w:p>
        </w:tc>
        <w:tc>
          <w:tcPr>
            <w:tcW w:w="2340" w:type="dxa"/>
            <w:vAlign w:val="bottom"/>
            <w:shd w:val="clear" w:color="auto" w:fill="0E2A35"/>
          </w:tcPr>
          <w:p>
            <w:pPr>
              <w:jc w:val="center"/>
              <w:ind w:left="894"/>
              <w:spacing w:after="0" w:line="131" w:lineRule="exact"/>
              <w:rPr>
                <w:sz w:val="20"/>
                <w:szCs w:val="20"/>
                <w:color w:val="auto"/>
              </w:rPr>
            </w:pPr>
            <w:r>
              <w:rPr>
                <w:rFonts w:ascii="Arial" w:cs="Arial" w:eastAsia="Arial" w:hAnsi="Arial"/>
                <w:sz w:val="13"/>
                <w:szCs w:val="13"/>
                <w:b w:val="1"/>
                <w:bCs w:val="1"/>
                <w:color w:val="FFFFFF"/>
                <w:w w:val="97"/>
              </w:rPr>
              <w:t>Last FY</w:t>
            </w:r>
          </w:p>
        </w:tc>
        <w:tc>
          <w:tcPr>
            <w:tcW w:w="12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in Last FY</w:t>
            </w:r>
          </w:p>
        </w:tc>
        <w:tc>
          <w:tcPr>
            <w:tcW w:w="11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Last FY</w:t>
            </w: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Distributions</w:t>
            </w:r>
          </w:p>
        </w:tc>
        <w:tc>
          <w:tcPr>
            <w:tcW w:w="1020" w:type="dxa"/>
            <w:vAlign w:val="bottom"/>
            <w:shd w:val="clear" w:color="auto" w:fill="0E2A35"/>
          </w:tcPr>
          <w:p>
            <w:pPr>
              <w:jc w:val="center"/>
              <w:ind w:left="14"/>
              <w:spacing w:after="0" w:line="131" w:lineRule="exact"/>
              <w:rPr>
                <w:sz w:val="20"/>
                <w:szCs w:val="20"/>
                <w:color w:val="auto"/>
              </w:rPr>
            </w:pPr>
            <w:r>
              <w:rPr>
                <w:rFonts w:ascii="Arial" w:cs="Arial" w:eastAsia="Arial" w:hAnsi="Arial"/>
                <w:sz w:val="13"/>
                <w:szCs w:val="13"/>
                <w:b w:val="1"/>
                <w:bCs w:val="1"/>
                <w:color w:val="FFFFFF"/>
                <w:w w:val="96"/>
              </w:rPr>
              <w:t>Last FYE</w:t>
            </w:r>
          </w:p>
        </w:tc>
      </w:tr>
      <w:tr>
        <w:trPr>
          <w:trHeight w:val="269"/>
        </w:trPr>
        <w:tc>
          <w:tcPr>
            <w:tcW w:w="236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w:t>
            </w:r>
          </w:p>
        </w:tc>
        <w:tc>
          <w:tcPr>
            <w:tcW w:w="2340" w:type="dxa"/>
            <w:vAlign w:val="bottom"/>
            <w:shd w:val="clear" w:color="auto" w:fill="0E2A35"/>
          </w:tcPr>
          <w:p>
            <w:pPr>
              <w:jc w:val="center"/>
              <w:ind w:left="914"/>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0E2A35"/>
          </w:tcPr>
          <w:p>
            <w:pPr>
              <w:ind w:left="580"/>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(1)</w:t>
            </w:r>
          </w:p>
        </w:tc>
        <w:tc>
          <w:tcPr>
            <w:tcW w:w="1020" w:type="dxa"/>
            <w:vAlign w:val="bottom"/>
            <w:shd w:val="clear" w:color="auto" w:fill="0E2A35"/>
          </w:tcPr>
          <w:p>
            <w:pPr>
              <w:jc w:val="center"/>
              <w:ind w:left="34"/>
              <w:spacing w:after="0"/>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(2)</w:t>
            </w:r>
          </w:p>
        </w:tc>
      </w:tr>
      <w:tr>
        <w:trPr>
          <w:trHeight w:val="378"/>
        </w:trPr>
        <w:tc>
          <w:tcPr>
            <w:tcW w:w="23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Huw S. Bower</w:t>
            </w:r>
          </w:p>
        </w:tc>
        <w:tc>
          <w:tcPr>
            <w:tcW w:w="2340" w:type="dxa"/>
            <w:vAlign w:val="bottom"/>
            <w:tcBorders>
              <w:bottom w:val="single" w:sz="8" w:color="0E2A35"/>
            </w:tcBorders>
          </w:tcPr>
          <w:p>
            <w:pPr>
              <w:jc w:val="right"/>
              <w:ind w:right="274"/>
              <w:spacing w:after="0"/>
              <w:rPr>
                <w:sz w:val="20"/>
                <w:szCs w:val="20"/>
                <w:color w:val="auto"/>
              </w:rPr>
            </w:pPr>
            <w:r>
              <w:rPr>
                <w:rFonts w:ascii="Arial" w:cs="Arial" w:eastAsia="Arial" w:hAnsi="Arial"/>
                <w:sz w:val="14"/>
                <w:szCs w:val="14"/>
                <w:color w:val="0E2A35"/>
              </w:rPr>
              <w:t>70,675</w:t>
            </w:r>
            <w:r>
              <w:rPr>
                <w:rFonts w:ascii="Arial" w:cs="Arial" w:eastAsia="Arial" w:hAnsi="Arial"/>
                <w:sz w:val="23"/>
                <w:szCs w:val="23"/>
                <w:color w:val="0E2A35"/>
                <w:vertAlign w:val="superscript"/>
              </w:rPr>
              <w:t>(3)</w:t>
            </w:r>
          </w:p>
        </w:tc>
        <w:tc>
          <w:tcPr>
            <w:tcW w:w="126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00" w:type="dxa"/>
            <w:vAlign w:val="bottom"/>
            <w:tcBorders>
              <w:bottom w:val="single" w:sz="8" w:color="0E2A35"/>
            </w:tcBorders>
          </w:tcPr>
          <w:p>
            <w:pPr>
              <w:ind w:left="640"/>
              <w:spacing w:after="0"/>
              <w:rPr>
                <w:sz w:val="20"/>
                <w:szCs w:val="20"/>
                <w:color w:val="auto"/>
              </w:rPr>
            </w:pPr>
            <w:r>
              <w:rPr>
                <w:rFonts w:ascii="Arial" w:cs="Arial" w:eastAsia="Arial" w:hAnsi="Arial"/>
                <w:sz w:val="14"/>
                <w:szCs w:val="14"/>
                <w:color w:val="0E2A35"/>
              </w:rPr>
              <w:t>—</w:t>
            </w:r>
          </w:p>
        </w:tc>
        <w:tc>
          <w:tcPr>
            <w:tcW w:w="1200" w:type="dxa"/>
            <w:vAlign w:val="bottom"/>
            <w:tcBorders>
              <w:bottom w:val="single" w:sz="8" w:color="0E2A35"/>
            </w:tcBorders>
          </w:tcPr>
          <w:p>
            <w:pPr>
              <w:ind w:left="660"/>
              <w:spacing w:after="0"/>
              <w:rPr>
                <w:sz w:val="20"/>
                <w:szCs w:val="20"/>
                <w:color w:val="auto"/>
              </w:rPr>
            </w:pPr>
            <w:r>
              <w:rPr>
                <w:rFonts w:ascii="Arial" w:cs="Arial" w:eastAsia="Arial" w:hAnsi="Arial"/>
                <w:sz w:val="14"/>
                <w:szCs w:val="14"/>
                <w:color w:val="0E2A35"/>
              </w:rPr>
              <w:t>—</w:t>
            </w:r>
          </w:p>
        </w:tc>
        <w:tc>
          <w:tcPr>
            <w:tcW w:w="1020" w:type="dxa"/>
            <w:vAlign w:val="bottom"/>
            <w:tcBorders>
              <w:bottom w:val="single" w:sz="8" w:color="0E2A35"/>
            </w:tcBorders>
          </w:tcPr>
          <w:p>
            <w:pPr>
              <w:jc w:val="right"/>
              <w:ind w:right="154"/>
              <w:spacing w:after="0"/>
              <w:rPr>
                <w:sz w:val="20"/>
                <w:szCs w:val="20"/>
                <w:color w:val="auto"/>
              </w:rPr>
            </w:pPr>
            <w:r>
              <w:rPr>
                <w:rFonts w:ascii="Arial" w:cs="Arial" w:eastAsia="Arial" w:hAnsi="Arial"/>
                <w:sz w:val="14"/>
                <w:szCs w:val="14"/>
                <w:color w:val="0E2A35"/>
              </w:rPr>
              <w:t>70,675</w:t>
            </w:r>
          </w:p>
        </w:tc>
      </w:tr>
      <w:tr>
        <w:trPr>
          <w:trHeight w:val="318"/>
        </w:trPr>
        <w:tc>
          <w:tcPr>
            <w:tcW w:w="2360" w:type="dxa"/>
            <w:vAlign w:val="bottom"/>
            <w:tcBorders>
              <w:bottom w:val="single" w:sz="8" w:color="0E2A35"/>
            </w:tcBorders>
          </w:tcPr>
          <w:p>
            <w:pPr>
              <w:ind w:left="140"/>
              <w:spacing w:after="0"/>
              <w:rPr>
                <w:sz w:val="20"/>
                <w:szCs w:val="20"/>
                <w:color w:val="auto"/>
              </w:rPr>
            </w:pPr>
            <w:r>
              <w:rPr>
                <w:rFonts w:ascii="Arial" w:cs="Arial" w:eastAsia="Arial" w:hAnsi="Arial"/>
                <w:sz w:val="14"/>
                <w:szCs w:val="14"/>
                <w:color w:val="0E2A35"/>
              </w:rPr>
              <w:t>Bryan L. Hughes</w:t>
            </w:r>
          </w:p>
        </w:tc>
        <w:tc>
          <w:tcPr>
            <w:tcW w:w="2340" w:type="dxa"/>
            <w:vAlign w:val="bottom"/>
            <w:tcBorders>
              <w:bottom w:val="single" w:sz="8" w:color="0E2A35"/>
            </w:tcBorders>
          </w:tcPr>
          <w:p>
            <w:pPr>
              <w:jc w:val="right"/>
              <w:ind w:right="254"/>
              <w:spacing w:after="0"/>
              <w:rPr>
                <w:sz w:val="20"/>
                <w:szCs w:val="20"/>
                <w:color w:val="auto"/>
              </w:rPr>
            </w:pPr>
            <w:r>
              <w:rPr>
                <w:rFonts w:ascii="Arial" w:cs="Arial" w:eastAsia="Arial" w:hAnsi="Arial"/>
                <w:sz w:val="14"/>
                <w:szCs w:val="14"/>
                <w:color w:val="0E2A35"/>
              </w:rPr>
              <w:t>397,184</w:t>
            </w:r>
            <w:r>
              <w:rPr>
                <w:rFonts w:ascii="Arial" w:cs="Arial" w:eastAsia="Arial" w:hAnsi="Arial"/>
                <w:sz w:val="23"/>
                <w:szCs w:val="23"/>
                <w:color w:val="0E2A35"/>
                <w:vertAlign w:val="superscript"/>
              </w:rPr>
              <w:t>(4)</w:t>
            </w:r>
          </w:p>
        </w:tc>
        <w:tc>
          <w:tcPr>
            <w:tcW w:w="126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0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33,802</w:t>
            </w:r>
          </w:p>
        </w:tc>
        <w:tc>
          <w:tcPr>
            <w:tcW w:w="120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9,248</w:t>
            </w:r>
          </w:p>
        </w:tc>
        <w:tc>
          <w:tcPr>
            <w:tcW w:w="1020" w:type="dxa"/>
            <w:vAlign w:val="bottom"/>
            <w:tcBorders>
              <w:bottom w:val="single" w:sz="8" w:color="0E2A35"/>
            </w:tcBorders>
          </w:tcPr>
          <w:p>
            <w:pPr>
              <w:jc w:val="right"/>
              <w:ind w:right="154"/>
              <w:spacing w:after="0"/>
              <w:rPr>
                <w:sz w:val="20"/>
                <w:szCs w:val="20"/>
                <w:color w:val="auto"/>
              </w:rPr>
            </w:pPr>
            <w:r>
              <w:rPr>
                <w:rFonts w:ascii="Arial" w:cs="Arial" w:eastAsia="Arial" w:hAnsi="Arial"/>
                <w:sz w:val="14"/>
                <w:szCs w:val="14"/>
                <w:color w:val="0E2A35"/>
              </w:rPr>
              <w:t>574,970</w:t>
            </w:r>
          </w:p>
        </w:tc>
      </w:tr>
    </w:tbl>
    <w:p>
      <w:pPr>
        <w:spacing w:after="0" w:line="102" w:lineRule="exact"/>
        <w:rPr>
          <w:sz w:val="20"/>
          <w:szCs w:val="20"/>
          <w:color w:val="auto"/>
        </w:rPr>
      </w:pPr>
    </w:p>
    <w:p>
      <w:pPr>
        <w:ind w:left="1220" w:right="1480" w:hanging="360"/>
        <w:spacing w:after="0" w:line="230" w:lineRule="auto"/>
        <w:tabs>
          <w:tab w:leader="none" w:pos="122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Distribution reflects amount returned to Mr. Hughes from his account as part of the Section 409A correction procedures under the Code for an amount incorrectly deferred in the prior year.</w:t>
      </w:r>
    </w:p>
    <w:p>
      <w:pPr>
        <w:spacing w:after="0" w:line="37" w:lineRule="exact"/>
        <w:rPr>
          <w:rFonts w:ascii="Arial" w:cs="Arial" w:eastAsia="Arial" w:hAnsi="Arial"/>
          <w:sz w:val="13"/>
          <w:szCs w:val="13"/>
          <w:color w:val="0E2A35"/>
        </w:rPr>
      </w:pPr>
    </w:p>
    <w:p>
      <w:pPr>
        <w:ind w:left="1220" w:right="980" w:hanging="360"/>
        <w:spacing w:after="0" w:line="259" w:lineRule="auto"/>
        <w:tabs>
          <w:tab w:leader="none" w:pos="1220" w:val="left"/>
        </w:tabs>
        <w:numPr>
          <w:ilvl w:val="0"/>
          <w:numId w:val="53"/>
        </w:numPr>
        <w:rPr>
          <w:rFonts w:ascii="Arial" w:cs="Arial" w:eastAsia="Arial" w:hAnsi="Arial"/>
          <w:sz w:val="12"/>
          <w:szCs w:val="12"/>
          <w:color w:val="0E2A35"/>
        </w:rPr>
      </w:pPr>
      <w:r>
        <w:rPr>
          <w:rFonts w:ascii="Arial" w:cs="Arial" w:eastAsia="Arial" w:hAnsi="Arial"/>
          <w:sz w:val="12"/>
          <w:szCs w:val="12"/>
          <w:color w:val="0E2A35"/>
        </w:rPr>
        <w:t>Balance includes (i) $60,792 of Mr. Hughes’ annual incentive payout for fiscal 2018 that was previously reported in the Non-Equity Plan Compensation column, and (ii) $24, 681 of Mr. Hughes’ annual incentive payout for fiscal 2019 that was previously reported in the Non-Equity Incentive Plan Compensation column.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59</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4" w:name="page65"/>
    <w:bookmarkEnd w:id="6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ind w:left="1220" w:right="1020" w:hanging="360"/>
        <w:spacing w:after="0" w:line="225" w:lineRule="auto"/>
        <w:tabs>
          <w:tab w:leader="none" w:pos="122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Represents 11% of Mr. Bower’s annual incentive plan payout for fiscal 2021 (which is equal to 20% of the payout related to the full 12-month fiscal year period component and the individual component, which were the only components eligible for deferral), which amount is included in the Non-Equity Incentive Plan Compensation column of the Summary Compensation Table.</w:t>
      </w:r>
    </w:p>
    <w:p>
      <w:pPr>
        <w:spacing w:after="0" w:line="38" w:lineRule="exact"/>
        <w:rPr>
          <w:rFonts w:ascii="Arial" w:cs="Arial" w:eastAsia="Arial" w:hAnsi="Arial"/>
          <w:sz w:val="13"/>
          <w:szCs w:val="13"/>
          <w:color w:val="0E2A35"/>
        </w:rPr>
      </w:pPr>
    </w:p>
    <w:p>
      <w:pPr>
        <w:ind w:left="1220" w:right="940" w:hanging="360"/>
        <w:spacing w:after="0" w:line="223" w:lineRule="auto"/>
        <w:tabs>
          <w:tab w:leader="none" w:pos="1220" w:val="left"/>
        </w:tabs>
        <w:numPr>
          <w:ilvl w:val="0"/>
          <w:numId w:val="54"/>
        </w:numPr>
        <w:rPr>
          <w:rFonts w:ascii="Arial" w:cs="Arial" w:eastAsia="Arial" w:hAnsi="Arial"/>
          <w:sz w:val="13"/>
          <w:szCs w:val="13"/>
          <w:color w:val="0E2A35"/>
        </w:rPr>
      </w:pPr>
      <w:r>
        <w:rPr>
          <w:rFonts w:ascii="Arial" w:cs="Arial" w:eastAsia="Arial" w:hAnsi="Arial"/>
          <w:sz w:val="13"/>
          <w:szCs w:val="13"/>
          <w:color w:val="0E2A35"/>
        </w:rPr>
        <w:t>Consists of $33,317, representing 10% of Mr. Hughes’ base salary, which amount is included in the Salary column of the Summary Compensation Table, and $363,867, representing 54% of Mr. Hughes’ annual incentive plan payout for fiscal 2021 (which is equal to 100% of the payout related to the full 12-month fiscal year period component and the individual component, which were the only components eligible for deferral), which amount is included in the Non-Equity Incentive Plan Compensation column of the Summary Compensation Table.</w:t>
      </w:r>
    </w:p>
    <w:p>
      <w:pPr>
        <w:spacing w:after="0" w:line="181" w:lineRule="exact"/>
        <w:rPr>
          <w:sz w:val="20"/>
          <w:szCs w:val="20"/>
          <w:color w:val="auto"/>
        </w:rPr>
      </w:pPr>
    </w:p>
    <w:p>
      <w:pPr>
        <w:ind w:left="860" w:right="920"/>
        <w:spacing w:after="0" w:line="251" w:lineRule="auto"/>
        <w:rPr>
          <w:sz w:val="20"/>
          <w:szCs w:val="20"/>
          <w:color w:val="auto"/>
        </w:rPr>
      </w:pPr>
      <w:r>
        <w:rPr>
          <w:rFonts w:ascii="Arial" w:cs="Arial" w:eastAsia="Arial" w:hAnsi="Arial"/>
          <w:sz w:val="16"/>
          <w:szCs w:val="16"/>
          <w:color w:val="0E2A35"/>
        </w:rPr>
        <w:t>Pursuant to the Deferred Compensation Plan, certain senior management and highly compensated employees may elect to defer up to 50% of their base salary and up to 100% of their annual cash bonus on a pretax basis. Each participant's account is credited with earnings (or, in the case of losses, deducted) on a tax-deferred basis. This deferral is separate, and in addition to, any contributions made into the Company's 401(k) Plan.</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Potential Payments upon Termination or Change in Control</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Executive Change in Control Agreements</w:t>
      </w:r>
    </w:p>
    <w:p>
      <w:pPr>
        <w:spacing w:after="0" w:line="201" w:lineRule="exact"/>
        <w:rPr>
          <w:sz w:val="20"/>
          <w:szCs w:val="20"/>
          <w:color w:val="auto"/>
        </w:rPr>
      </w:pPr>
    </w:p>
    <w:p>
      <w:pPr>
        <w:ind w:left="860" w:right="1020"/>
        <w:spacing w:after="0" w:line="249" w:lineRule="auto"/>
        <w:rPr>
          <w:sz w:val="20"/>
          <w:szCs w:val="20"/>
          <w:color w:val="auto"/>
        </w:rPr>
      </w:pPr>
      <w:r>
        <w:rPr>
          <w:rFonts w:ascii="Arial" w:cs="Arial" w:eastAsia="Arial" w:hAnsi="Arial"/>
          <w:sz w:val="16"/>
          <w:szCs w:val="16"/>
          <w:color w:val="0E2A35"/>
        </w:rPr>
        <w:t>In October 2018, the committee approved new CIC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initially entered into in connection with the Grand Design acquisition, Mr. Clark's CIC Agreement was entered into effective as of September 1, 2019 in connection with his amended and restated employment agreement.</w:t>
      </w:r>
    </w:p>
    <w:p>
      <w:pPr>
        <w:spacing w:after="0" w:line="355" w:lineRule="exact"/>
        <w:rPr>
          <w:sz w:val="20"/>
          <w:szCs w:val="20"/>
          <w:color w:val="auto"/>
        </w:rPr>
      </w:pPr>
    </w:p>
    <w:p>
      <w:pPr>
        <w:ind w:left="860" w:right="920"/>
        <w:spacing w:after="0" w:line="248" w:lineRule="auto"/>
        <w:rPr>
          <w:sz w:val="20"/>
          <w:szCs w:val="20"/>
          <w:color w:val="auto"/>
        </w:rPr>
      </w:pPr>
      <w:r>
        <w:rPr>
          <w:rFonts w:ascii="Arial" w:cs="Arial" w:eastAsia="Arial" w:hAnsi="Arial"/>
          <w:sz w:val="16"/>
          <w:szCs w:val="16"/>
          <w:color w:val="0E2A35"/>
        </w:rPr>
        <w:t>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in the employ of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CIC Agreements were initially developed.</w:t>
      </w:r>
    </w:p>
    <w:p>
      <w:pPr>
        <w:spacing w:after="0" w:line="178" w:lineRule="exact"/>
        <w:rPr>
          <w:sz w:val="20"/>
          <w:szCs w:val="20"/>
          <w:color w:val="auto"/>
        </w:rPr>
      </w:pPr>
    </w:p>
    <w:p>
      <w:pPr>
        <w:ind w:left="860" w:right="980"/>
        <w:spacing w:after="0" w:line="248" w:lineRule="auto"/>
        <w:rPr>
          <w:sz w:val="20"/>
          <w:szCs w:val="20"/>
          <w:color w:val="auto"/>
        </w:rPr>
      </w:pPr>
      <w:r>
        <w:rPr>
          <w:rFonts w:ascii="Arial" w:cs="Arial" w:eastAsia="Arial" w:hAnsi="Arial"/>
          <w:sz w:val="16"/>
          <w:szCs w:val="16"/>
          <w:color w:val="0E2A35"/>
        </w:rPr>
        <w:t>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68"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Annual Incentive Plan Payments</w:t>
      </w:r>
    </w:p>
    <w:p>
      <w:pPr>
        <w:spacing w:after="0" w:line="201" w:lineRule="exact"/>
        <w:rPr>
          <w:sz w:val="20"/>
          <w:szCs w:val="20"/>
          <w:color w:val="auto"/>
        </w:rPr>
      </w:pPr>
    </w:p>
    <w:p>
      <w:pPr>
        <w:ind w:left="860" w:right="980"/>
        <w:spacing w:after="0" w:line="253" w:lineRule="auto"/>
        <w:rPr>
          <w:sz w:val="20"/>
          <w:szCs w:val="20"/>
          <w:color w:val="auto"/>
        </w:rPr>
      </w:pPr>
      <w:r>
        <w:rPr>
          <w:rFonts w:ascii="Arial" w:cs="Arial" w:eastAsia="Arial" w:hAnsi="Arial"/>
          <w:sz w:val="16"/>
          <w:szCs w:val="16"/>
          <w:color w:val="0E2A35"/>
        </w:rPr>
        <w:t>A participant must be employed by the Company as of the bonus payment date to be eligible for annual incentive payments, except for a change in control as described below or as otherwise determined by the committee in its discretion upon retirement, disability and death.</w:t>
      </w:r>
    </w:p>
    <w:p>
      <w:pPr>
        <w:spacing w:after="0" w:line="174"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In the event of a change in control (as defined in the applicable 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60</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5" w:name="page66"/>
    <w:bookmarkEnd w:id="6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2014 and 2019 Incentive Compensation Plan Payments</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Long-Term Incentive Plan Payments</w:t>
      </w:r>
    </w:p>
    <w:p>
      <w:pPr>
        <w:spacing w:after="0" w:line="214" w:lineRule="exact"/>
        <w:rPr>
          <w:sz w:val="20"/>
          <w:szCs w:val="20"/>
          <w:color w:val="auto"/>
        </w:rPr>
      </w:pPr>
    </w:p>
    <w:p>
      <w:pPr>
        <w:ind w:left="860" w:right="1200"/>
        <w:spacing w:after="0" w:line="248" w:lineRule="auto"/>
        <w:rPr>
          <w:sz w:val="20"/>
          <w:szCs w:val="20"/>
          <w:color w:val="auto"/>
        </w:rPr>
      </w:pPr>
      <w:r>
        <w:rPr>
          <w:rFonts w:ascii="Arial" w:cs="Arial" w:eastAsia="Arial" w:hAnsi="Arial"/>
          <w:sz w:val="16"/>
          <w:szCs w:val="16"/>
          <w:color w:val="0E2A35"/>
        </w:rPr>
        <w:t>In the event of a change of control (as defined in the applicable plan or award agreement) participants are entitled to receive awards within 15 days of the effective date of the change in control. For fiscal 2019 and later, the amount paid is the pro rata portion of the greater of the actual level of performance (if determinable) or target. Payment is dependent upon participant's termination of employment if the award is not assumed by the successor or is otherwise discontinued. A participant must be employed by the Company at the end of the three-year fiscal period to be eligible for any long-term incentive award, except in cases of: death and termination due to disability (which each would result in a payment at target or, in the discretion of the committee, based on actual results), or a change in control as described above or as waived by the committee.</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Restricted Stock and Restricted Stock Units</w:t>
      </w:r>
    </w:p>
    <w:p>
      <w:pPr>
        <w:spacing w:after="0" w:line="201" w:lineRule="exact"/>
        <w:rPr>
          <w:sz w:val="20"/>
          <w:szCs w:val="20"/>
          <w:color w:val="auto"/>
        </w:rPr>
      </w:pPr>
    </w:p>
    <w:p>
      <w:pPr>
        <w:jc w:val="both"/>
        <w:ind w:left="860" w:right="1420"/>
        <w:spacing w:after="0" w:line="253" w:lineRule="auto"/>
        <w:rPr>
          <w:sz w:val="20"/>
          <w:szCs w:val="20"/>
          <w:color w:val="auto"/>
        </w:rPr>
      </w:pPr>
      <w:r>
        <w:rPr>
          <w:rFonts w:ascii="Arial" w:cs="Arial" w:eastAsia="Arial" w:hAnsi="Arial"/>
          <w:sz w:val="16"/>
          <w:szCs w:val="16"/>
          <w:color w:val="0E2A35"/>
        </w:rPr>
        <w:t>Pursuant to award agreements entered into by each NEO, unvested awards of restricted stock or restricted stock units will immediately vest to NEOs if the NEO's termination of employment is due to his or her death or disability (as defined in the applicable plan).</w:t>
      </w:r>
    </w:p>
    <w:p>
      <w:pPr>
        <w:spacing w:after="0" w:line="174"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In addition, any restricted stock units awarded beginning in fiscal 2019 that are not vested under the 2014 Plan or the 2019 Plan, as applicable, vest upon the occurrence of a participant's termination following a change in control (as defined in the applicable plan or award agreement) if the award is not assumed by the successor or is otherwise discontinued. In all other circumstances, in the event that a NEO ceases to be employed by the Company or any subsidiary, any unvested awards held by such grantee will terminate and thereafter be null and void.</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E2A35"/>
        </w:rPr>
        <w:t>Stock Options</w:t>
      </w:r>
    </w:p>
    <w:p>
      <w:pPr>
        <w:spacing w:after="0" w:line="201" w:lineRule="exact"/>
        <w:rPr>
          <w:sz w:val="20"/>
          <w:szCs w:val="20"/>
          <w:color w:val="auto"/>
        </w:rPr>
      </w:pPr>
    </w:p>
    <w:p>
      <w:pPr>
        <w:ind w:left="860" w:right="920"/>
        <w:spacing w:after="0" w:line="249" w:lineRule="auto"/>
        <w:rPr>
          <w:sz w:val="20"/>
          <w:szCs w:val="20"/>
          <w:color w:val="auto"/>
        </w:rPr>
      </w:pPr>
      <w:r>
        <w:rPr>
          <w:rFonts w:ascii="Arial" w:cs="Arial" w:eastAsia="Arial" w:hAnsi="Arial"/>
          <w:sz w:val="16"/>
          <w:szCs w:val="16"/>
          <w:color w:val="0E2A35"/>
        </w:rPr>
        <w:t>Pursuant to the stock option agreements entered into by certain of our NEOs prior to fiscal 2019, unvested options will vest upon a change in control (as defined in the 2014 Plan) of the Company, while in the case of unvested options awarded beginning in fiscal 2019 under the 2014 Plan or 2019 Plan, as applicable, vesting occurs after a participant's termination following a change in control (as defined in the applicable award agreement or 2019 Plan) if the award is not assumed by the successor or is otherwise discontinued. In the event that a NEO ceases to be employed by the Company, stock options held by such NEO will vest as follows:</w:t>
      </w:r>
    </w:p>
    <w:p>
      <w:pPr>
        <w:spacing w:after="0" w:line="178" w:lineRule="exact"/>
        <w:rPr>
          <w:sz w:val="20"/>
          <w:szCs w:val="20"/>
          <w:color w:val="auto"/>
        </w:rPr>
      </w:pPr>
    </w:p>
    <w:p>
      <w:pPr>
        <w:ind w:left="1580" w:right="1000" w:hanging="360"/>
        <w:spacing w:after="0" w:line="253" w:lineRule="auto"/>
        <w:tabs>
          <w:tab w:leader="none" w:pos="1580" w:val="left"/>
        </w:tabs>
        <w:numPr>
          <w:ilvl w:val="0"/>
          <w:numId w:val="55"/>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disability, the stock options become vested in full and immediately exercisable for a period of ten years after any stock option grant date for non-qualified stock options (or in the case of options granted in fiscal 2019 or after, for a period of one year after termination); and</w:t>
      </w:r>
    </w:p>
    <w:p>
      <w:pPr>
        <w:spacing w:after="0" w:line="160" w:lineRule="exact"/>
        <w:rPr>
          <w:rFonts w:ascii="Arial" w:cs="Arial" w:eastAsia="Arial" w:hAnsi="Arial"/>
          <w:sz w:val="16"/>
          <w:szCs w:val="16"/>
          <w:color w:val="C7D265"/>
        </w:rPr>
      </w:pPr>
    </w:p>
    <w:p>
      <w:pPr>
        <w:ind w:left="1580" w:right="1200" w:hanging="360"/>
        <w:spacing w:after="0" w:line="251" w:lineRule="auto"/>
        <w:tabs>
          <w:tab w:leader="none" w:pos="1580" w:val="left"/>
        </w:tabs>
        <w:numPr>
          <w:ilvl w:val="0"/>
          <w:numId w:val="55"/>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death, the options will become vested in full and immediately exercisable by the NEO's estate or legal representative for a period of ten years after any stock option grant date for non-qualified stock options (or in the case of options granted beginning fiscal 2019 or thereafter, for a period of one year after death).</w:t>
      </w:r>
    </w:p>
    <w:p>
      <w:pPr>
        <w:spacing w:after="0" w:line="162" w:lineRule="exact"/>
        <w:rPr>
          <w:sz w:val="20"/>
          <w:szCs w:val="20"/>
          <w:color w:val="auto"/>
        </w:rPr>
      </w:pPr>
    </w:p>
    <w:p>
      <w:pPr>
        <w:ind w:left="860" w:right="940"/>
        <w:spacing w:after="0" w:line="260" w:lineRule="auto"/>
        <w:rPr>
          <w:sz w:val="20"/>
          <w:szCs w:val="20"/>
          <w:color w:val="auto"/>
        </w:rPr>
      </w:pPr>
      <w:r>
        <w:rPr>
          <w:rFonts w:ascii="Arial" w:cs="Arial" w:eastAsia="Arial" w:hAnsi="Arial"/>
          <w:sz w:val="16"/>
          <w:szCs w:val="16"/>
          <w:color w:val="0E2A35"/>
        </w:rPr>
        <w:t>In the event that a NEO ceases to be employed by the Company other than because of a change in control, disability or death, any outstanding stock options held by the NEO which have not vested as of the date of termination of employment will terminate.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61</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6" w:name="page67"/>
    <w:bookmarkEnd w:id="6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1100"/>
        <w:spacing w:after="0" w:line="286" w:lineRule="auto"/>
        <w:rPr>
          <w:sz w:val="20"/>
          <w:szCs w:val="20"/>
          <w:color w:val="auto"/>
        </w:rPr>
      </w:pPr>
      <w:r>
        <w:rPr>
          <w:rFonts w:ascii="Arial" w:cs="Arial" w:eastAsia="Arial" w:hAnsi="Arial"/>
          <w:sz w:val="32"/>
          <w:szCs w:val="32"/>
          <w:b w:val="1"/>
          <w:bCs w:val="1"/>
          <w:color w:val="0E2A35"/>
        </w:rPr>
        <w:t>Estimated Change in Control or Termination Payments and Benefits at the End of Fiscal 2021</w:t>
      </w:r>
    </w:p>
    <w:p>
      <w:pPr>
        <w:spacing w:after="0" w:line="93" w:lineRule="exact"/>
        <w:rPr>
          <w:sz w:val="20"/>
          <w:szCs w:val="20"/>
          <w:color w:val="auto"/>
        </w:rPr>
      </w:pPr>
    </w:p>
    <w:p>
      <w:pPr>
        <w:ind w:left="860" w:right="960"/>
        <w:spacing w:after="0" w:line="248" w:lineRule="auto"/>
        <w:rPr>
          <w:sz w:val="20"/>
          <w:szCs w:val="20"/>
          <w:color w:val="auto"/>
        </w:rPr>
      </w:pPr>
      <w:r>
        <w:rPr>
          <w:rFonts w:ascii="Arial" w:cs="Arial" w:eastAsia="Arial" w:hAnsi="Arial"/>
          <w:sz w:val="16"/>
          <w:szCs w:val="16"/>
          <w:color w:val="0E2A35"/>
        </w:rPr>
        <w:t>The following table reflects the payments and benefits payable to each of the NEOs in the event of a termination of the executive's employment under several different circumstances. The amounts shown assume that termination was effective as of August 28, 2021,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Pr>
          <w:p>
            <w:pPr>
              <w:spacing w:after="0"/>
              <w:rPr>
                <w:sz w:val="19"/>
                <w:szCs w:val="19"/>
                <w:color w:val="auto"/>
              </w:rPr>
            </w:pPr>
          </w:p>
        </w:tc>
        <w:tc>
          <w:tcPr>
            <w:tcW w:w="3420" w:type="dxa"/>
            <w:vAlign w:val="bottom"/>
            <w:shd w:val="clear" w:color="auto" w:fill="0E2A35"/>
          </w:tcPr>
          <w:p>
            <w:pPr>
              <w:spacing w:after="0"/>
              <w:rPr>
                <w:sz w:val="19"/>
                <w:szCs w:val="19"/>
                <w:color w:val="auto"/>
              </w:rPr>
            </w:pPr>
          </w:p>
        </w:tc>
        <w:tc>
          <w:tcPr>
            <w:tcW w:w="1200" w:type="dxa"/>
            <w:vAlign w:val="bottom"/>
            <w:shd w:val="clear" w:color="auto" w:fill="0E2A35"/>
          </w:tcPr>
          <w:p>
            <w:pPr>
              <w:spacing w:after="0"/>
              <w:rPr>
                <w:sz w:val="19"/>
                <w:szCs w:val="19"/>
                <w:color w:val="auto"/>
              </w:rPr>
            </w:pP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Annual or</w:t>
            </w:r>
          </w:p>
        </w:tc>
        <w:tc>
          <w:tcPr>
            <w:tcW w:w="1140" w:type="dxa"/>
            <w:vAlign w:val="bottom"/>
            <w:shd w:val="clear" w:color="auto" w:fill="0E2A35"/>
          </w:tcPr>
          <w:p>
            <w:pPr>
              <w:spacing w:after="0"/>
              <w:rPr>
                <w:sz w:val="19"/>
                <w:szCs w:val="19"/>
                <w:color w:val="auto"/>
              </w:rPr>
            </w:pP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880" w:type="dxa"/>
            <w:vAlign w:val="bottom"/>
            <w:shd w:val="clear" w:color="auto" w:fill="0E2A35"/>
          </w:tcPr>
          <w:p>
            <w:pPr>
              <w:jc w:val="center"/>
              <w:ind w:left="192"/>
              <w:spacing w:after="0"/>
              <w:rPr>
                <w:sz w:val="20"/>
                <w:szCs w:val="20"/>
                <w:color w:val="auto"/>
              </w:rPr>
            </w:pPr>
            <w:r>
              <w:rPr>
                <w:rFonts w:ascii="Arial" w:cs="Arial" w:eastAsia="Arial" w:hAnsi="Arial"/>
                <w:sz w:val="13"/>
                <w:szCs w:val="13"/>
                <w:b w:val="1"/>
                <w:bCs w:val="1"/>
                <w:color w:val="FFFFFF"/>
                <w:w w:val="95"/>
              </w:rPr>
              <w:t>Stock</w:t>
            </w:r>
          </w:p>
        </w:tc>
        <w:tc>
          <w:tcPr>
            <w:tcW w:w="260" w:type="dxa"/>
            <w:vAlign w:val="bottom"/>
            <w:shd w:val="clear" w:color="auto" w:fill="0E2A35"/>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420" w:type="dxa"/>
            <w:vAlign w:val="bottom"/>
            <w:shd w:val="clear" w:color="auto" w:fill="0E2A35"/>
          </w:tcPr>
          <w:p>
            <w:pPr>
              <w:spacing w:after="0"/>
              <w:rPr>
                <w:sz w:val="11"/>
                <w:szCs w:val="11"/>
                <w:color w:val="auto"/>
              </w:rPr>
            </w:pPr>
          </w:p>
        </w:tc>
        <w:tc>
          <w:tcPr>
            <w:tcW w:w="1200" w:type="dxa"/>
            <w:vAlign w:val="bottom"/>
            <w:shd w:val="clear" w:color="auto" w:fill="0E2A35"/>
          </w:tcPr>
          <w:p>
            <w:pPr>
              <w:spacing w:after="0"/>
              <w:rPr>
                <w:sz w:val="11"/>
                <w:szCs w:val="11"/>
                <w:color w:val="auto"/>
              </w:rPr>
            </w:pP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Management</w:t>
            </w: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0"/>
              </w:rPr>
              <w:t>LTIP /</w:t>
            </w:r>
          </w:p>
        </w:tc>
        <w:tc>
          <w:tcPr>
            <w:tcW w:w="12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880" w:type="dxa"/>
            <w:vAlign w:val="bottom"/>
            <w:shd w:val="clear" w:color="auto" w:fill="0E2A35"/>
          </w:tcPr>
          <w:p>
            <w:pPr>
              <w:jc w:val="center"/>
              <w:ind w:left="212"/>
              <w:spacing w:after="0" w:line="135" w:lineRule="exact"/>
              <w:rPr>
                <w:sz w:val="20"/>
                <w:szCs w:val="20"/>
                <w:color w:val="auto"/>
              </w:rPr>
            </w:pPr>
            <w:r>
              <w:rPr>
                <w:rFonts w:ascii="Arial" w:cs="Arial" w:eastAsia="Arial" w:hAnsi="Arial"/>
                <w:sz w:val="13"/>
                <w:szCs w:val="13"/>
                <w:b w:val="1"/>
                <w:bCs w:val="1"/>
                <w:color w:val="FFFFFF"/>
                <w:w w:val="97"/>
              </w:rPr>
              <w:t>Options-</w:t>
            </w:r>
          </w:p>
        </w:tc>
        <w:tc>
          <w:tcPr>
            <w:tcW w:w="260" w:type="dxa"/>
            <w:vAlign w:val="bottom"/>
            <w:shd w:val="clear" w:color="auto" w:fill="0E2A35"/>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3420" w:type="dxa"/>
            <w:vAlign w:val="bottom"/>
            <w:shd w:val="clear" w:color="auto" w:fill="0E2A35"/>
          </w:tcPr>
          <w:p>
            <w:pPr>
              <w:spacing w:after="0"/>
              <w:rPr>
                <w:sz w:val="11"/>
                <w:szCs w:val="11"/>
                <w:color w:val="auto"/>
              </w:rPr>
            </w:pPr>
          </w:p>
        </w:tc>
        <w:tc>
          <w:tcPr>
            <w:tcW w:w="1200" w:type="dxa"/>
            <w:vAlign w:val="bottom"/>
            <w:vMerge w:val="restart"/>
            <w:shd w:val="clear" w:color="auto" w:fill="0E2A35"/>
          </w:tcPr>
          <w:p>
            <w:pPr>
              <w:jc w:val="right"/>
              <w:ind w:right="109"/>
              <w:spacing w:after="0"/>
              <w:rPr>
                <w:sz w:val="20"/>
                <w:szCs w:val="20"/>
                <w:color w:val="auto"/>
              </w:rPr>
            </w:pPr>
            <w:r>
              <w:rPr>
                <w:rFonts w:ascii="Arial" w:cs="Arial" w:eastAsia="Arial" w:hAnsi="Arial"/>
                <w:sz w:val="13"/>
                <w:szCs w:val="13"/>
                <w:b w:val="1"/>
                <w:bCs w:val="1"/>
                <w:color w:val="FFFFFF"/>
              </w:rPr>
              <w:t>Severance</w:t>
            </w:r>
            <w:r>
              <w:rPr>
                <w:rFonts w:ascii="Arial" w:cs="Arial" w:eastAsia="Arial" w:hAnsi="Arial"/>
                <w:sz w:val="20"/>
                <w:szCs w:val="20"/>
                <w:b w:val="1"/>
                <w:bCs w:val="1"/>
                <w:color w:val="FFFFFF"/>
                <w:vertAlign w:val="superscript"/>
              </w:rPr>
              <w:t>(1)</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Incentive</w:t>
            </w:r>
          </w:p>
        </w:tc>
        <w:tc>
          <w:tcPr>
            <w:tcW w:w="11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Performance</w:t>
            </w:r>
          </w:p>
        </w:tc>
        <w:tc>
          <w:tcPr>
            <w:tcW w:w="12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Unvested and</w:t>
            </w:r>
          </w:p>
        </w:tc>
        <w:tc>
          <w:tcPr>
            <w:tcW w:w="1140" w:type="dxa"/>
            <w:vAlign w:val="bottom"/>
            <w:gridSpan w:val="2"/>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Unvested and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60" w:type="dxa"/>
            <w:vAlign w:val="bottom"/>
          </w:tcPr>
          <w:p>
            <w:pPr>
              <w:spacing w:after="0"/>
              <w:rPr>
                <w:sz w:val="12"/>
                <w:szCs w:val="12"/>
                <w:color w:val="auto"/>
              </w:rPr>
            </w:pPr>
          </w:p>
        </w:tc>
        <w:tc>
          <w:tcPr>
            <w:tcW w:w="3420" w:type="dxa"/>
            <w:vAlign w:val="bottom"/>
            <w:shd w:val="clear" w:color="auto" w:fill="0E2A35"/>
          </w:tcPr>
          <w:p>
            <w:pPr>
              <w:spacing w:after="0"/>
              <w:rPr>
                <w:sz w:val="12"/>
                <w:szCs w:val="12"/>
                <w:color w:val="auto"/>
              </w:rPr>
            </w:pPr>
          </w:p>
        </w:tc>
        <w:tc>
          <w:tcPr>
            <w:tcW w:w="1200" w:type="dxa"/>
            <w:vAlign w:val="bottom"/>
            <w:vMerge w:val="continue"/>
            <w:shd w:val="clear" w:color="auto" w:fill="0E2A35"/>
          </w:tcPr>
          <w:p>
            <w:pPr>
              <w:spacing w:after="0"/>
              <w:rPr>
                <w:sz w:val="12"/>
                <w:szCs w:val="12"/>
                <w:color w:val="auto"/>
              </w:rPr>
            </w:pPr>
          </w:p>
        </w:tc>
        <w:tc>
          <w:tcPr>
            <w:tcW w:w="116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Plan</w:t>
            </w:r>
            <w:r>
              <w:rPr>
                <w:rFonts w:ascii="Arial" w:cs="Arial" w:eastAsia="Arial" w:hAnsi="Arial"/>
                <w:sz w:val="16"/>
                <w:szCs w:val="16"/>
                <w:b w:val="1"/>
                <w:bCs w:val="1"/>
                <w:color w:val="FFFFFF"/>
                <w:vertAlign w:val="superscript"/>
              </w:rPr>
              <w:t>(2)</w:t>
            </w:r>
          </w:p>
        </w:tc>
        <w:tc>
          <w:tcPr>
            <w:tcW w:w="11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(3)</w:t>
            </w:r>
          </w:p>
        </w:tc>
        <w:tc>
          <w:tcPr>
            <w:tcW w:w="122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(4)</w:t>
            </w:r>
          </w:p>
        </w:tc>
        <w:tc>
          <w:tcPr>
            <w:tcW w:w="1140" w:type="dxa"/>
            <w:vAlign w:val="bottom"/>
            <w:gridSpan w:val="2"/>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(5)</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342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200" w:type="dxa"/>
            <w:vAlign w:val="bottom"/>
            <w:shd w:val="clear" w:color="auto" w:fill="0E2A35"/>
          </w:tcPr>
          <w:p>
            <w:pPr>
              <w:jc w:val="right"/>
              <w:ind w:right="409"/>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E2A35"/>
          </w:tcPr>
          <w:p>
            <w:pPr>
              <w:jc w:val="center"/>
              <w:ind w:left="252"/>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0E2A35"/>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3420" w:type="dxa"/>
            <w:vAlign w:val="bottom"/>
            <w:shd w:val="clear" w:color="auto" w:fill="0E2A35"/>
          </w:tcPr>
          <w:p>
            <w:pPr>
              <w:spacing w:after="0"/>
              <w:rPr>
                <w:sz w:val="7"/>
                <w:szCs w:val="7"/>
                <w:color w:val="auto"/>
              </w:rPr>
            </w:pPr>
          </w:p>
        </w:tc>
        <w:tc>
          <w:tcPr>
            <w:tcW w:w="120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140" w:type="dxa"/>
            <w:vAlign w:val="bottom"/>
            <w:shd w:val="clear" w:color="auto" w:fill="0E2A35"/>
          </w:tcPr>
          <w:p>
            <w:pPr>
              <w:spacing w:after="0"/>
              <w:rPr>
                <w:sz w:val="7"/>
                <w:szCs w:val="7"/>
                <w:color w:val="auto"/>
              </w:rPr>
            </w:pPr>
          </w:p>
        </w:tc>
        <w:tc>
          <w:tcPr>
            <w:tcW w:w="1220" w:type="dxa"/>
            <w:vAlign w:val="bottom"/>
            <w:shd w:val="clear" w:color="auto" w:fill="0E2A35"/>
          </w:tcPr>
          <w:p>
            <w:pPr>
              <w:spacing w:after="0"/>
              <w:rPr>
                <w:sz w:val="7"/>
                <w:szCs w:val="7"/>
                <w:color w:val="auto"/>
              </w:rPr>
            </w:pPr>
          </w:p>
        </w:tc>
        <w:tc>
          <w:tcPr>
            <w:tcW w:w="880" w:type="dxa"/>
            <w:vAlign w:val="bottom"/>
            <w:shd w:val="clear" w:color="auto" w:fill="0E2A35"/>
          </w:tcPr>
          <w:p>
            <w:pPr>
              <w:spacing w:after="0"/>
              <w:rPr>
                <w:sz w:val="7"/>
                <w:szCs w:val="7"/>
                <w:color w:val="auto"/>
              </w:rPr>
            </w:pPr>
          </w:p>
        </w:tc>
        <w:tc>
          <w:tcPr>
            <w:tcW w:w="260" w:type="dxa"/>
            <w:vAlign w:val="bottom"/>
            <w:shd w:val="clear" w:color="auto" w:fill="0E2A35"/>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860" w:type="dxa"/>
            <w:vAlign w:val="bottom"/>
          </w:tcPr>
          <w:p>
            <w:pPr>
              <w:spacing w:after="0"/>
              <w:rPr>
                <w:sz w:val="23"/>
                <w:szCs w:val="23"/>
                <w:color w:val="auto"/>
              </w:rPr>
            </w:pPr>
          </w:p>
        </w:tc>
        <w:tc>
          <w:tcPr>
            <w:tcW w:w="342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Michael J. Happe</w:t>
            </w:r>
          </w:p>
        </w:tc>
        <w:tc>
          <w:tcPr>
            <w:tcW w:w="120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1220" w:type="dxa"/>
            <w:vAlign w:val="bottom"/>
            <w:shd w:val="clear" w:color="auto" w:fill="C9D4D8"/>
          </w:tcPr>
          <w:p>
            <w:pPr>
              <w:spacing w:after="0"/>
              <w:rPr>
                <w:sz w:val="23"/>
                <w:szCs w:val="23"/>
                <w:color w:val="auto"/>
              </w:rPr>
            </w:pPr>
          </w:p>
        </w:tc>
        <w:tc>
          <w:tcPr>
            <w:tcW w:w="880" w:type="dxa"/>
            <w:vAlign w:val="bottom"/>
            <w:shd w:val="clear" w:color="auto" w:fill="C9D4D8"/>
          </w:tcPr>
          <w:p>
            <w:pPr>
              <w:spacing w:after="0"/>
              <w:rPr>
                <w:sz w:val="23"/>
                <w:szCs w:val="23"/>
                <w:color w:val="auto"/>
              </w:rPr>
            </w:pPr>
          </w:p>
        </w:tc>
        <w:tc>
          <w:tcPr>
            <w:tcW w:w="260" w:type="dxa"/>
            <w:vAlign w:val="bottom"/>
            <w:shd w:val="clear" w:color="auto" w:fill="C9D4D8"/>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shd w:val="clear" w:color="auto" w:fill="C9D4D8"/>
          </w:tcPr>
          <w:p>
            <w:pPr>
              <w:spacing w:after="0"/>
              <w:rPr>
                <w:sz w:val="6"/>
                <w:szCs w:val="6"/>
                <w:color w:val="auto"/>
              </w:rPr>
            </w:pPr>
          </w:p>
        </w:tc>
        <w:tc>
          <w:tcPr>
            <w:tcW w:w="120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1220" w:type="dxa"/>
            <w:vAlign w:val="bottom"/>
            <w:tcBorders>
              <w:bottom w:val="single" w:sz="8" w:color="0E2A35"/>
            </w:tcBorders>
            <w:shd w:val="clear" w:color="auto" w:fill="C9D4D8"/>
          </w:tcPr>
          <w:p>
            <w:pPr>
              <w:spacing w:after="0"/>
              <w:rPr>
                <w:sz w:val="6"/>
                <w:szCs w:val="6"/>
                <w:color w:val="auto"/>
              </w:rPr>
            </w:pPr>
          </w:p>
        </w:tc>
        <w:tc>
          <w:tcPr>
            <w:tcW w:w="880" w:type="dxa"/>
            <w:vAlign w:val="bottom"/>
            <w:tcBorders>
              <w:bottom w:val="single" w:sz="8" w:color="0E2A35"/>
            </w:tcBorders>
            <w:shd w:val="clear" w:color="auto" w:fill="C9D4D8"/>
          </w:tcPr>
          <w:p>
            <w:pPr>
              <w:spacing w:after="0"/>
              <w:rPr>
                <w:sz w:val="6"/>
                <w:szCs w:val="6"/>
                <w:color w:val="auto"/>
              </w:rPr>
            </w:pPr>
          </w:p>
        </w:tc>
        <w:tc>
          <w:tcPr>
            <w:tcW w:w="260" w:type="dxa"/>
            <w:vAlign w:val="bottom"/>
            <w:tcBorders>
              <w:bottom w:val="single" w:sz="8" w:color="0E2A35"/>
            </w:tcBorders>
            <w:shd w:val="clear" w:color="auto" w:fill="C9D4D8"/>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860" w:type="dxa"/>
            <w:vAlign w:val="bottom"/>
          </w:tcPr>
          <w:p>
            <w:pPr>
              <w:spacing w:after="0"/>
              <w:rPr>
                <w:sz w:val="24"/>
                <w:szCs w:val="24"/>
                <w:color w:val="auto"/>
              </w:rPr>
            </w:pPr>
          </w:p>
        </w:tc>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0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Borders>
              <w:bottom w:val="single" w:sz="8" w:color="0E2A35"/>
            </w:tcBorders>
          </w:tcPr>
          <w:p>
            <w:pPr>
              <w:spacing w:after="0"/>
              <w:rPr>
                <w:sz w:val="24"/>
                <w:szCs w:val="24"/>
                <w:color w:val="auto"/>
              </w:rPr>
            </w:pPr>
          </w:p>
        </w:tc>
        <w:tc>
          <w:tcPr>
            <w:tcW w:w="260" w:type="dxa"/>
            <w:vAlign w:val="bottom"/>
            <w:tcBorders>
              <w:bottom w:val="single" w:sz="8" w:color="0E2A35"/>
            </w:tcBorders>
          </w:tcPr>
          <w:p>
            <w:pPr>
              <w:jc w:val="right"/>
              <w:ind w:right="9"/>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260" w:type="dxa"/>
            <w:vAlign w:val="bottom"/>
            <w:tcBorders>
              <w:bottom w:val="single" w:sz="8" w:color="0E2A35"/>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Termination without Cause</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926,711</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260" w:type="dxa"/>
            <w:vAlign w:val="bottom"/>
            <w:tcBorders>
              <w:bottom w:val="single" w:sz="8" w:color="0E2A35"/>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Termination for Good Reason</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926,711</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260" w:type="dxa"/>
            <w:vAlign w:val="bottom"/>
            <w:tcBorders>
              <w:bottom w:val="single" w:sz="8" w:color="0E2A35"/>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860" w:type="dxa"/>
            <w:vAlign w:val="bottom"/>
          </w:tcPr>
          <w:p>
            <w:pPr>
              <w:spacing w:after="0"/>
              <w:rPr>
                <w:sz w:val="24"/>
                <w:szCs w:val="24"/>
                <w:color w:val="auto"/>
              </w:rPr>
            </w:pPr>
          </w:p>
        </w:tc>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0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spacing w:after="0"/>
              <w:rPr>
                <w:sz w:val="24"/>
                <w:szCs w:val="24"/>
                <w:color w:val="auto"/>
              </w:rPr>
            </w:pPr>
          </w:p>
        </w:tc>
        <w:tc>
          <w:tcPr>
            <w:tcW w:w="260" w:type="dxa"/>
            <w:vAlign w:val="bottom"/>
            <w:tcBorders>
              <w:bottom w:val="single" w:sz="8" w:color="0E2A35"/>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5,780,132</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1,600,000</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7,809,975</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3,112,073</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1,529,364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Death</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7,809,975</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3,112,073</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1,529,364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7,809,975</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3,112,073</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1,529,364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260" w:type="dxa"/>
            <w:vAlign w:val="bottom"/>
            <w:tcBorders>
              <w:bottom w:val="single" w:sz="8" w:color="0E2A35"/>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Bryan L. Hughes</w:t>
            </w:r>
          </w:p>
        </w:tc>
        <w:tc>
          <w:tcPr>
            <w:tcW w:w="120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1220" w:type="dxa"/>
            <w:vAlign w:val="bottom"/>
            <w:shd w:val="clear" w:color="auto" w:fill="C9D4D8"/>
          </w:tcPr>
          <w:p>
            <w:pPr>
              <w:spacing w:after="0"/>
              <w:rPr>
                <w:sz w:val="23"/>
                <w:szCs w:val="23"/>
                <w:color w:val="auto"/>
              </w:rPr>
            </w:pPr>
          </w:p>
        </w:tc>
        <w:tc>
          <w:tcPr>
            <w:tcW w:w="880" w:type="dxa"/>
            <w:vAlign w:val="bottom"/>
            <w:shd w:val="clear" w:color="auto" w:fill="C9D4D8"/>
          </w:tcPr>
          <w:p>
            <w:pPr>
              <w:spacing w:after="0"/>
              <w:rPr>
                <w:sz w:val="23"/>
                <w:szCs w:val="23"/>
                <w:color w:val="auto"/>
              </w:rPr>
            </w:pPr>
          </w:p>
        </w:tc>
        <w:tc>
          <w:tcPr>
            <w:tcW w:w="260" w:type="dxa"/>
            <w:vAlign w:val="bottom"/>
            <w:shd w:val="clear" w:color="auto" w:fill="C9D4D8"/>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shd w:val="clear" w:color="auto" w:fill="C9D4D8"/>
          </w:tcPr>
          <w:p>
            <w:pPr>
              <w:spacing w:after="0"/>
              <w:rPr>
                <w:sz w:val="6"/>
                <w:szCs w:val="6"/>
                <w:color w:val="auto"/>
              </w:rPr>
            </w:pPr>
          </w:p>
        </w:tc>
        <w:tc>
          <w:tcPr>
            <w:tcW w:w="120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1220" w:type="dxa"/>
            <w:vAlign w:val="bottom"/>
            <w:tcBorders>
              <w:bottom w:val="single" w:sz="8" w:color="0E2A35"/>
            </w:tcBorders>
            <w:shd w:val="clear" w:color="auto" w:fill="C9D4D8"/>
          </w:tcPr>
          <w:p>
            <w:pPr>
              <w:spacing w:after="0"/>
              <w:rPr>
                <w:sz w:val="6"/>
                <w:szCs w:val="6"/>
                <w:color w:val="auto"/>
              </w:rPr>
            </w:pPr>
          </w:p>
        </w:tc>
        <w:tc>
          <w:tcPr>
            <w:tcW w:w="880" w:type="dxa"/>
            <w:vAlign w:val="bottom"/>
            <w:tcBorders>
              <w:bottom w:val="single" w:sz="8" w:color="0E2A35"/>
            </w:tcBorders>
            <w:shd w:val="clear" w:color="auto" w:fill="C9D4D8"/>
          </w:tcPr>
          <w:p>
            <w:pPr>
              <w:spacing w:after="0"/>
              <w:rPr>
                <w:sz w:val="6"/>
                <w:szCs w:val="6"/>
                <w:color w:val="auto"/>
              </w:rPr>
            </w:pPr>
          </w:p>
        </w:tc>
        <w:tc>
          <w:tcPr>
            <w:tcW w:w="260" w:type="dxa"/>
            <w:vAlign w:val="bottom"/>
            <w:tcBorders>
              <w:bottom w:val="single" w:sz="8" w:color="0E2A35"/>
            </w:tcBorders>
            <w:shd w:val="clear" w:color="auto" w:fill="C9D4D8"/>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860" w:type="dxa"/>
            <w:vAlign w:val="bottom"/>
          </w:tcPr>
          <w:p>
            <w:pPr>
              <w:spacing w:after="0"/>
              <w:rPr>
                <w:sz w:val="24"/>
                <w:szCs w:val="24"/>
                <w:color w:val="auto"/>
              </w:rPr>
            </w:pPr>
          </w:p>
        </w:tc>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0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Borders>
              <w:bottom w:val="single" w:sz="8" w:color="0E2A35"/>
            </w:tcBorders>
          </w:tcPr>
          <w:p>
            <w:pPr>
              <w:spacing w:after="0"/>
              <w:rPr>
                <w:sz w:val="24"/>
                <w:szCs w:val="24"/>
                <w:color w:val="auto"/>
              </w:rPr>
            </w:pPr>
          </w:p>
        </w:tc>
        <w:tc>
          <w:tcPr>
            <w:tcW w:w="260" w:type="dxa"/>
            <w:vAlign w:val="bottom"/>
            <w:tcBorders>
              <w:bottom w:val="single" w:sz="8" w:color="0E2A35"/>
            </w:tcBorders>
          </w:tcPr>
          <w:p>
            <w:pPr>
              <w:jc w:val="right"/>
              <w:ind w:right="9"/>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260" w:type="dxa"/>
            <w:vAlign w:val="bottom"/>
            <w:tcBorders>
              <w:bottom w:val="single" w:sz="8" w:color="0E2A35"/>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860" w:type="dxa"/>
            <w:vAlign w:val="bottom"/>
          </w:tcPr>
          <w:p>
            <w:pPr>
              <w:spacing w:after="0"/>
              <w:rPr>
                <w:sz w:val="24"/>
                <w:szCs w:val="24"/>
                <w:color w:val="auto"/>
              </w:rPr>
            </w:pPr>
          </w:p>
        </w:tc>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0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spacing w:after="0"/>
              <w:rPr>
                <w:sz w:val="24"/>
                <w:szCs w:val="24"/>
                <w:color w:val="auto"/>
              </w:rPr>
            </w:pPr>
          </w:p>
        </w:tc>
        <w:tc>
          <w:tcPr>
            <w:tcW w:w="260" w:type="dxa"/>
            <w:vAlign w:val="bottom"/>
            <w:tcBorders>
              <w:bottom w:val="single" w:sz="8" w:color="0E2A35"/>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1,939,908</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668,535</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1,826,434</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655,724</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330,310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Death</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1,826,434</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655,724</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330,310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1,826,434</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655,724</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330,310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260" w:type="dxa"/>
            <w:vAlign w:val="bottom"/>
            <w:tcBorders>
              <w:bottom w:val="single" w:sz="8" w:color="0E2A35"/>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Huw S. Bower</w:t>
            </w:r>
          </w:p>
        </w:tc>
        <w:tc>
          <w:tcPr>
            <w:tcW w:w="120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1220" w:type="dxa"/>
            <w:vAlign w:val="bottom"/>
            <w:shd w:val="clear" w:color="auto" w:fill="C9D4D8"/>
          </w:tcPr>
          <w:p>
            <w:pPr>
              <w:spacing w:after="0"/>
              <w:rPr>
                <w:sz w:val="23"/>
                <w:szCs w:val="23"/>
                <w:color w:val="auto"/>
              </w:rPr>
            </w:pPr>
          </w:p>
        </w:tc>
        <w:tc>
          <w:tcPr>
            <w:tcW w:w="880" w:type="dxa"/>
            <w:vAlign w:val="bottom"/>
            <w:shd w:val="clear" w:color="auto" w:fill="C9D4D8"/>
          </w:tcPr>
          <w:p>
            <w:pPr>
              <w:spacing w:after="0"/>
              <w:rPr>
                <w:sz w:val="23"/>
                <w:szCs w:val="23"/>
                <w:color w:val="auto"/>
              </w:rPr>
            </w:pPr>
          </w:p>
        </w:tc>
        <w:tc>
          <w:tcPr>
            <w:tcW w:w="260" w:type="dxa"/>
            <w:vAlign w:val="bottom"/>
            <w:shd w:val="clear" w:color="auto" w:fill="C9D4D8"/>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shd w:val="clear" w:color="auto" w:fill="C9D4D8"/>
          </w:tcPr>
          <w:p>
            <w:pPr>
              <w:spacing w:after="0"/>
              <w:rPr>
                <w:sz w:val="6"/>
                <w:szCs w:val="6"/>
                <w:color w:val="auto"/>
              </w:rPr>
            </w:pPr>
          </w:p>
        </w:tc>
        <w:tc>
          <w:tcPr>
            <w:tcW w:w="120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1220" w:type="dxa"/>
            <w:vAlign w:val="bottom"/>
            <w:tcBorders>
              <w:bottom w:val="single" w:sz="8" w:color="0E2A35"/>
            </w:tcBorders>
            <w:shd w:val="clear" w:color="auto" w:fill="C9D4D8"/>
          </w:tcPr>
          <w:p>
            <w:pPr>
              <w:spacing w:after="0"/>
              <w:rPr>
                <w:sz w:val="6"/>
                <w:szCs w:val="6"/>
                <w:color w:val="auto"/>
              </w:rPr>
            </w:pPr>
          </w:p>
        </w:tc>
        <w:tc>
          <w:tcPr>
            <w:tcW w:w="880" w:type="dxa"/>
            <w:vAlign w:val="bottom"/>
            <w:tcBorders>
              <w:bottom w:val="single" w:sz="8" w:color="0E2A35"/>
            </w:tcBorders>
            <w:shd w:val="clear" w:color="auto" w:fill="C9D4D8"/>
          </w:tcPr>
          <w:p>
            <w:pPr>
              <w:spacing w:after="0"/>
              <w:rPr>
                <w:sz w:val="6"/>
                <w:szCs w:val="6"/>
                <w:color w:val="auto"/>
              </w:rPr>
            </w:pPr>
          </w:p>
        </w:tc>
        <w:tc>
          <w:tcPr>
            <w:tcW w:w="260" w:type="dxa"/>
            <w:vAlign w:val="bottom"/>
            <w:tcBorders>
              <w:bottom w:val="single" w:sz="8" w:color="0E2A35"/>
            </w:tcBorders>
            <w:shd w:val="clear" w:color="auto" w:fill="C9D4D8"/>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860" w:type="dxa"/>
            <w:vAlign w:val="bottom"/>
          </w:tcPr>
          <w:p>
            <w:pPr>
              <w:spacing w:after="0"/>
              <w:rPr>
                <w:sz w:val="24"/>
                <w:szCs w:val="24"/>
                <w:color w:val="auto"/>
              </w:rPr>
            </w:pPr>
          </w:p>
        </w:tc>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0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Borders>
              <w:bottom w:val="single" w:sz="8" w:color="0E2A35"/>
            </w:tcBorders>
          </w:tcPr>
          <w:p>
            <w:pPr>
              <w:spacing w:after="0"/>
              <w:rPr>
                <w:sz w:val="24"/>
                <w:szCs w:val="24"/>
                <w:color w:val="auto"/>
              </w:rPr>
            </w:pPr>
          </w:p>
        </w:tc>
        <w:tc>
          <w:tcPr>
            <w:tcW w:w="260" w:type="dxa"/>
            <w:vAlign w:val="bottom"/>
            <w:tcBorders>
              <w:bottom w:val="single" w:sz="8" w:color="0E2A35"/>
            </w:tcBorders>
          </w:tcPr>
          <w:p>
            <w:pPr>
              <w:jc w:val="right"/>
              <w:ind w:right="9"/>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880" w:type="dxa"/>
            <w:vAlign w:val="bottom"/>
            <w:tcBorders>
              <w:bottom w:val="single" w:sz="8" w:color="0E2A35"/>
            </w:tcBorders>
          </w:tcPr>
          <w:p>
            <w:pPr>
              <w:spacing w:after="0"/>
              <w:rPr>
                <w:sz w:val="6"/>
                <w:szCs w:val="6"/>
                <w:color w:val="auto"/>
              </w:rPr>
            </w:pPr>
          </w:p>
        </w:tc>
        <w:tc>
          <w:tcPr>
            <w:tcW w:w="260" w:type="dxa"/>
            <w:vAlign w:val="bottom"/>
            <w:tcBorders>
              <w:bottom w:val="single" w:sz="8" w:color="0E2A35"/>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860" w:type="dxa"/>
            <w:vAlign w:val="bottom"/>
          </w:tcPr>
          <w:p>
            <w:pPr>
              <w:spacing w:after="0"/>
              <w:rPr>
                <w:sz w:val="24"/>
                <w:szCs w:val="24"/>
                <w:color w:val="auto"/>
              </w:rPr>
            </w:pPr>
          </w:p>
        </w:tc>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0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spacing w:after="0"/>
              <w:rPr>
                <w:sz w:val="24"/>
                <w:szCs w:val="24"/>
                <w:color w:val="auto"/>
              </w:rPr>
            </w:pPr>
          </w:p>
        </w:tc>
        <w:tc>
          <w:tcPr>
            <w:tcW w:w="880" w:type="dxa"/>
            <w:vAlign w:val="bottom"/>
            <w:tcBorders>
              <w:bottom w:val="single" w:sz="8" w:color="0E2A35"/>
            </w:tcBorders>
          </w:tcPr>
          <w:p>
            <w:pPr>
              <w:spacing w:after="0"/>
              <w:rPr>
                <w:sz w:val="24"/>
                <w:szCs w:val="24"/>
                <w:color w:val="auto"/>
              </w:rPr>
            </w:pPr>
          </w:p>
        </w:tc>
        <w:tc>
          <w:tcPr>
            <w:tcW w:w="260" w:type="dxa"/>
            <w:vAlign w:val="bottom"/>
            <w:tcBorders>
              <w:bottom w:val="single" w:sz="8" w:color="0E2A35"/>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880" w:type="dxa"/>
            <w:vAlign w:val="bottom"/>
          </w:tcPr>
          <w:p>
            <w:pPr>
              <w:spacing w:after="0"/>
              <w:rPr>
                <w:sz w:val="23"/>
                <w:szCs w:val="23"/>
                <w:color w:val="auto"/>
              </w:rPr>
            </w:pPr>
          </w:p>
        </w:tc>
        <w:tc>
          <w:tcPr>
            <w:tcW w:w="1140" w:type="dxa"/>
            <w:vAlign w:val="bottom"/>
            <w:gridSpan w:val="2"/>
          </w:tcPr>
          <w:p>
            <w:pPr>
              <w:jc w:val="right"/>
              <w:ind w:right="9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2,088,664</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645,254</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664,131</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2,055,488</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135,144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Death</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664,131</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2,055,488</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135,144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342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gridSpan w:val="2"/>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20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4"/>
                <w:szCs w:val="14"/>
                <w:color w:val="0E2A35"/>
              </w:rPr>
              <w:t>664,131</w:t>
            </w:r>
          </w:p>
        </w:tc>
        <w:tc>
          <w:tcPr>
            <w:tcW w:w="1220" w:type="dxa"/>
            <w:vAlign w:val="bottom"/>
          </w:tcPr>
          <w:p>
            <w:pPr>
              <w:jc w:val="right"/>
              <w:ind w:right="90"/>
              <w:spacing w:after="0"/>
              <w:rPr>
                <w:sz w:val="20"/>
                <w:szCs w:val="20"/>
                <w:color w:val="auto"/>
              </w:rPr>
            </w:pPr>
            <w:r>
              <w:rPr>
                <w:rFonts w:ascii="Arial" w:cs="Arial" w:eastAsia="Arial" w:hAnsi="Arial"/>
                <w:sz w:val="14"/>
                <w:szCs w:val="14"/>
                <w:color w:val="0E2A35"/>
              </w:rPr>
              <w:t>2,055,488</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0E2A35"/>
              </w:rPr>
              <w:t>135,144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342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3240" w:type="dxa"/>
            <w:vAlign w:val="bottom"/>
            <w:tcBorders>
              <w:bottom w:val="single" w:sz="8" w:color="0E2A35"/>
            </w:tcBorders>
            <w:gridSpan w:val="3"/>
          </w:tcPr>
          <w:p>
            <w:pPr>
              <w:spacing w:after="0"/>
              <w:rPr>
                <w:sz w:val="3"/>
                <w:szCs w:val="3"/>
                <w:color w:val="auto"/>
              </w:rPr>
            </w:pPr>
          </w:p>
        </w:tc>
        <w:tc>
          <w:tcPr>
            <w:tcW w:w="26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3"/>
        </w:trPr>
        <w:tc>
          <w:tcPr>
            <w:tcW w:w="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gridSpan w:val="3"/>
          </w:tcPr>
          <w:p>
            <w:pPr>
              <w:ind w:left="78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rPr>
              <w:t>62</w:t>
            </w:r>
          </w:p>
        </w:tc>
        <w:tc>
          <w:tcPr>
            <w:tcW w:w="0" w:type="dxa"/>
            <w:vAlign w:val="bottom"/>
          </w:tcPr>
          <w:p>
            <w:pPr>
              <w:spacing w:after="0"/>
              <w:rPr>
                <w:sz w:val="1"/>
                <w:szCs w:val="1"/>
                <w:color w:val="auto"/>
              </w:rPr>
            </w:pPr>
          </w:p>
        </w:tc>
      </w:tr>
      <w:tr>
        <w:trPr>
          <w:trHeight w:val="253"/>
        </w:trPr>
        <w:tc>
          <w:tcPr>
            <w:tcW w:w="8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7" w:name="page68"/>
    <w:bookmarkEnd w:id="6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420" w:type="dxa"/>
            <w:vAlign w:val="bottom"/>
            <w:shd w:val="clear" w:color="auto" w:fill="0E2A35"/>
          </w:tcPr>
          <w:p>
            <w:pPr>
              <w:spacing w:after="0"/>
              <w:rPr>
                <w:sz w:val="19"/>
                <w:szCs w:val="19"/>
                <w:color w:val="auto"/>
              </w:rPr>
            </w:pPr>
          </w:p>
        </w:tc>
        <w:tc>
          <w:tcPr>
            <w:tcW w:w="1180" w:type="dxa"/>
            <w:vAlign w:val="bottom"/>
            <w:shd w:val="clear" w:color="auto" w:fill="0E2A35"/>
          </w:tcPr>
          <w:p>
            <w:pPr>
              <w:spacing w:after="0"/>
              <w:rPr>
                <w:sz w:val="19"/>
                <w:szCs w:val="19"/>
                <w:color w:val="auto"/>
              </w:rPr>
            </w:pP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Annual or</w:t>
            </w:r>
          </w:p>
        </w:tc>
        <w:tc>
          <w:tcPr>
            <w:tcW w:w="1160" w:type="dxa"/>
            <w:vAlign w:val="bottom"/>
            <w:shd w:val="clear" w:color="auto" w:fill="0E2A35"/>
          </w:tcPr>
          <w:p>
            <w:pPr>
              <w:spacing w:after="0"/>
              <w:rPr>
                <w:sz w:val="19"/>
                <w:szCs w:val="19"/>
                <w:color w:val="auto"/>
              </w:rPr>
            </w:pPr>
          </w:p>
        </w:tc>
        <w:tc>
          <w:tcPr>
            <w:tcW w:w="1220" w:type="dxa"/>
            <w:vAlign w:val="bottom"/>
            <w:shd w:val="clear" w:color="auto" w:fill="0E2A35"/>
          </w:tcPr>
          <w:p>
            <w:pPr>
              <w:jc w:val="center"/>
              <w:ind w:right="11"/>
              <w:spacing w:after="0"/>
              <w:rPr>
                <w:sz w:val="20"/>
                <w:szCs w:val="20"/>
                <w:color w:val="auto"/>
              </w:rPr>
            </w:pPr>
            <w:r>
              <w:rPr>
                <w:rFonts w:ascii="Arial" w:cs="Arial" w:eastAsia="Arial" w:hAnsi="Arial"/>
                <w:sz w:val="13"/>
                <w:szCs w:val="13"/>
                <w:b w:val="1"/>
                <w:bCs w:val="1"/>
                <w:color w:val="FFFFFF"/>
                <w:w w:val="97"/>
              </w:rPr>
              <w:t>Restricted</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3420" w:type="dxa"/>
            <w:vAlign w:val="bottom"/>
            <w:shd w:val="clear" w:color="auto" w:fill="0E2A35"/>
          </w:tcPr>
          <w:p>
            <w:pPr>
              <w:spacing w:after="0"/>
              <w:rPr>
                <w:sz w:val="11"/>
                <w:szCs w:val="11"/>
                <w:color w:val="auto"/>
              </w:rPr>
            </w:pPr>
          </w:p>
        </w:tc>
        <w:tc>
          <w:tcPr>
            <w:tcW w:w="1180" w:type="dxa"/>
            <w:vAlign w:val="bottom"/>
            <w:shd w:val="clear" w:color="auto" w:fill="0E2A35"/>
          </w:tcPr>
          <w:p>
            <w:pPr>
              <w:spacing w:after="0"/>
              <w:rPr>
                <w:sz w:val="11"/>
                <w:szCs w:val="11"/>
                <w:color w:val="auto"/>
              </w:rPr>
            </w:pP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Management</w:t>
            </w: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LTIP /</w:t>
            </w:r>
          </w:p>
        </w:tc>
        <w:tc>
          <w:tcPr>
            <w:tcW w:w="1220" w:type="dxa"/>
            <w:vAlign w:val="bottom"/>
            <w:shd w:val="clear" w:color="auto" w:fill="0E2A35"/>
          </w:tcPr>
          <w:p>
            <w:pPr>
              <w:jc w:val="center"/>
              <w:ind w:right="11"/>
              <w:spacing w:after="0" w:line="135" w:lineRule="exact"/>
              <w:rPr>
                <w:sz w:val="20"/>
                <w:szCs w:val="20"/>
                <w:color w:val="auto"/>
              </w:rPr>
            </w:pPr>
            <w:r>
              <w:rPr>
                <w:rFonts w:ascii="Arial" w:cs="Arial" w:eastAsia="Arial" w:hAnsi="Arial"/>
                <w:sz w:val="13"/>
                <w:szCs w:val="13"/>
                <w:b w:val="1"/>
                <w:bCs w:val="1"/>
                <w:color w:val="FFFFFF"/>
                <w:w w:val="95"/>
              </w:rPr>
              <w:t>Stock-</w:t>
            </w: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3"/>
              </w:rPr>
              <w:t>Options-</w:t>
            </w:r>
          </w:p>
        </w:tc>
        <w:tc>
          <w:tcPr>
            <w:tcW w:w="0" w:type="dxa"/>
            <w:vAlign w:val="bottom"/>
          </w:tcPr>
          <w:p>
            <w:pPr>
              <w:spacing w:after="0"/>
              <w:rPr>
                <w:sz w:val="1"/>
                <w:szCs w:val="1"/>
                <w:color w:val="auto"/>
              </w:rPr>
            </w:pPr>
          </w:p>
        </w:tc>
      </w:tr>
      <w:tr>
        <w:trPr>
          <w:trHeight w:val="131"/>
        </w:trPr>
        <w:tc>
          <w:tcPr>
            <w:tcW w:w="3420" w:type="dxa"/>
            <w:vAlign w:val="bottom"/>
            <w:shd w:val="clear" w:color="auto" w:fill="0E2A35"/>
          </w:tcPr>
          <w:p>
            <w:pPr>
              <w:spacing w:after="0"/>
              <w:rPr>
                <w:sz w:val="11"/>
                <w:szCs w:val="11"/>
                <w:color w:val="auto"/>
              </w:rPr>
            </w:pPr>
          </w:p>
        </w:tc>
        <w:tc>
          <w:tcPr>
            <w:tcW w:w="1180" w:type="dxa"/>
            <w:vAlign w:val="bottom"/>
            <w:vMerge w:val="restart"/>
            <w:shd w:val="clear" w:color="auto" w:fill="0E2A35"/>
          </w:tcPr>
          <w:p>
            <w:pPr>
              <w:jc w:val="right"/>
              <w:ind w:right="109"/>
              <w:spacing w:after="0"/>
              <w:rPr>
                <w:sz w:val="20"/>
                <w:szCs w:val="20"/>
                <w:color w:val="auto"/>
              </w:rPr>
            </w:pPr>
            <w:r>
              <w:rPr>
                <w:rFonts w:ascii="Arial" w:cs="Arial" w:eastAsia="Arial" w:hAnsi="Arial"/>
                <w:sz w:val="13"/>
                <w:szCs w:val="13"/>
                <w:b w:val="1"/>
                <w:bCs w:val="1"/>
                <w:color w:val="FFFFFF"/>
              </w:rPr>
              <w:t>Severance</w:t>
            </w:r>
            <w:r>
              <w:rPr>
                <w:rFonts w:ascii="Arial" w:cs="Arial" w:eastAsia="Arial" w:hAnsi="Arial"/>
                <w:sz w:val="20"/>
                <w:szCs w:val="20"/>
                <w:b w:val="1"/>
                <w:bCs w:val="1"/>
                <w:color w:val="FFFFFF"/>
                <w:vertAlign w:val="superscript"/>
              </w:rPr>
              <w:t>(1)</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Incentive</w:t>
            </w:r>
          </w:p>
        </w:tc>
        <w:tc>
          <w:tcPr>
            <w:tcW w:w="116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shd w:val="clear" w:color="auto" w:fill="0E2A35"/>
          </w:tcPr>
          <w:p>
            <w:pPr>
              <w:jc w:val="center"/>
              <w:ind w:right="11"/>
              <w:spacing w:after="0" w:line="131" w:lineRule="exact"/>
              <w:rPr>
                <w:sz w:val="20"/>
                <w:szCs w:val="20"/>
                <w:color w:val="auto"/>
              </w:rPr>
            </w:pPr>
            <w:r>
              <w:rPr>
                <w:rFonts w:ascii="Arial" w:cs="Arial" w:eastAsia="Arial" w:hAnsi="Arial"/>
                <w:sz w:val="13"/>
                <w:szCs w:val="13"/>
                <w:b w:val="1"/>
                <w:bCs w:val="1"/>
                <w:color w:val="FFFFFF"/>
                <w:w w:val="96"/>
              </w:rPr>
              <w:t>Unvested and</w:t>
            </w:r>
          </w:p>
        </w:tc>
        <w:tc>
          <w:tcPr>
            <w:tcW w:w="11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39"/>
        </w:trPr>
        <w:tc>
          <w:tcPr>
            <w:tcW w:w="3420" w:type="dxa"/>
            <w:vAlign w:val="bottom"/>
            <w:shd w:val="clear" w:color="auto" w:fill="0E2A35"/>
          </w:tcPr>
          <w:p>
            <w:pPr>
              <w:spacing w:after="0"/>
              <w:rPr>
                <w:sz w:val="12"/>
                <w:szCs w:val="12"/>
                <w:color w:val="auto"/>
              </w:rPr>
            </w:pPr>
          </w:p>
        </w:tc>
        <w:tc>
          <w:tcPr>
            <w:tcW w:w="1180" w:type="dxa"/>
            <w:vAlign w:val="bottom"/>
            <w:vMerge w:val="continue"/>
            <w:shd w:val="clear" w:color="auto" w:fill="0E2A35"/>
          </w:tcPr>
          <w:p>
            <w:pPr>
              <w:spacing w:after="0"/>
              <w:rPr>
                <w:sz w:val="12"/>
                <w:szCs w:val="12"/>
                <w:color w:val="auto"/>
              </w:rPr>
            </w:pPr>
          </w:p>
        </w:tc>
        <w:tc>
          <w:tcPr>
            <w:tcW w:w="116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Plan</w:t>
            </w:r>
            <w:r>
              <w:rPr>
                <w:rFonts w:ascii="Arial" w:cs="Arial" w:eastAsia="Arial" w:hAnsi="Arial"/>
                <w:sz w:val="16"/>
                <w:szCs w:val="16"/>
                <w:b w:val="1"/>
                <w:bCs w:val="1"/>
                <w:color w:val="FFFFFF"/>
                <w:vertAlign w:val="superscript"/>
              </w:rPr>
              <w:t>(2)</w:t>
            </w:r>
          </w:p>
        </w:tc>
        <w:tc>
          <w:tcPr>
            <w:tcW w:w="116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(3)</w:t>
            </w:r>
          </w:p>
        </w:tc>
        <w:tc>
          <w:tcPr>
            <w:tcW w:w="122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(4)</w:t>
            </w:r>
          </w:p>
        </w:tc>
        <w:tc>
          <w:tcPr>
            <w:tcW w:w="1140" w:type="dxa"/>
            <w:vAlign w:val="bottom"/>
            <w:shd w:val="clear" w:color="auto" w:fill="0E2A35"/>
          </w:tcPr>
          <w:p>
            <w:pPr>
              <w:jc w:val="center"/>
              <w:spacing w:after="0" w:line="139" w:lineRule="exact"/>
              <w:rPr>
                <w:sz w:val="20"/>
                <w:szCs w:val="20"/>
                <w:color w:val="auto"/>
              </w:rPr>
            </w:pPr>
            <w:r>
              <w:rPr>
                <w:rFonts w:ascii="Arial" w:cs="Arial" w:eastAsia="Arial" w:hAnsi="Arial"/>
                <w:sz w:val="10"/>
                <w:szCs w:val="10"/>
                <w:b w:val="1"/>
                <w:bCs w:val="1"/>
                <w:color w:val="FFFFFF"/>
              </w:rPr>
              <w:t>Accelerated</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68"/>
        </w:trPr>
        <w:tc>
          <w:tcPr>
            <w:tcW w:w="342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180" w:type="dxa"/>
            <w:vAlign w:val="bottom"/>
            <w:shd w:val="clear" w:color="auto" w:fill="0E2A35"/>
          </w:tcPr>
          <w:p>
            <w:pPr>
              <w:jc w:val="right"/>
              <w:ind w:right="409"/>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83"/>
        </w:trPr>
        <w:tc>
          <w:tcPr>
            <w:tcW w:w="3420" w:type="dxa"/>
            <w:vAlign w:val="bottom"/>
            <w:shd w:val="clear" w:color="auto" w:fill="0E2A35"/>
          </w:tcPr>
          <w:p>
            <w:pPr>
              <w:spacing w:after="0"/>
              <w:rPr>
                <w:sz w:val="7"/>
                <w:szCs w:val="7"/>
                <w:color w:val="auto"/>
              </w:rPr>
            </w:pPr>
          </w:p>
        </w:tc>
        <w:tc>
          <w:tcPr>
            <w:tcW w:w="118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220" w:type="dxa"/>
            <w:vAlign w:val="bottom"/>
            <w:shd w:val="clear" w:color="auto" w:fill="0E2A35"/>
          </w:tcPr>
          <w:p>
            <w:pPr>
              <w:spacing w:after="0"/>
              <w:rPr>
                <w:sz w:val="7"/>
                <w:szCs w:val="7"/>
                <w:color w:val="auto"/>
              </w:rPr>
            </w:pPr>
          </w:p>
        </w:tc>
        <w:tc>
          <w:tcPr>
            <w:tcW w:w="114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2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Donald J. Clark</w:t>
            </w:r>
          </w:p>
        </w:tc>
        <w:tc>
          <w:tcPr>
            <w:tcW w:w="118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22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shd w:val="clear" w:color="auto" w:fill="C9D4D8"/>
          </w:tcPr>
          <w:p>
            <w:pPr>
              <w:spacing w:after="0"/>
              <w:rPr>
                <w:sz w:val="6"/>
                <w:szCs w:val="6"/>
                <w:color w:val="auto"/>
              </w:rPr>
            </w:pPr>
          </w:p>
        </w:tc>
        <w:tc>
          <w:tcPr>
            <w:tcW w:w="118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22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18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Termination without Cause</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10,519,403</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Termination for Good Reason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10,519,403</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18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3,000,000</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370,010</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Death</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370,010</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370,010</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shd w:val="clear" w:color="auto" w:fill="C9D4D8"/>
          </w:tcPr>
          <w:p>
            <w:pPr>
              <w:ind w:left="160"/>
              <w:spacing w:after="0"/>
              <w:rPr>
                <w:sz w:val="20"/>
                <w:szCs w:val="20"/>
                <w:color w:val="auto"/>
              </w:rPr>
            </w:pPr>
            <w:r>
              <w:rPr>
                <w:rFonts w:ascii="Arial" w:cs="Arial" w:eastAsia="Arial" w:hAnsi="Arial"/>
                <w:sz w:val="14"/>
                <w:szCs w:val="14"/>
                <w:b w:val="1"/>
                <w:bCs w:val="1"/>
                <w:color w:val="0E2A35"/>
              </w:rPr>
              <w:t>Brian D. Hazelton</w:t>
            </w:r>
          </w:p>
        </w:tc>
        <w:tc>
          <w:tcPr>
            <w:tcW w:w="118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160" w:type="dxa"/>
            <w:vAlign w:val="bottom"/>
            <w:shd w:val="clear" w:color="auto" w:fill="C9D4D8"/>
          </w:tcPr>
          <w:p>
            <w:pPr>
              <w:spacing w:after="0"/>
              <w:rPr>
                <w:sz w:val="23"/>
                <w:szCs w:val="23"/>
                <w:color w:val="auto"/>
              </w:rPr>
            </w:pPr>
          </w:p>
        </w:tc>
        <w:tc>
          <w:tcPr>
            <w:tcW w:w="1220" w:type="dxa"/>
            <w:vAlign w:val="bottom"/>
            <w:shd w:val="clear" w:color="auto" w:fill="C9D4D8"/>
          </w:tcPr>
          <w:p>
            <w:pPr>
              <w:spacing w:after="0"/>
              <w:rPr>
                <w:sz w:val="23"/>
                <w:szCs w:val="23"/>
                <w:color w:val="auto"/>
              </w:rPr>
            </w:pPr>
          </w:p>
        </w:tc>
        <w:tc>
          <w:tcPr>
            <w:tcW w:w="1140" w:type="dxa"/>
            <w:vAlign w:val="bottom"/>
            <w:shd w:val="clear" w:color="auto" w:fill="C9D4D8"/>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shd w:val="clear" w:color="auto" w:fill="C9D4D8"/>
          </w:tcPr>
          <w:p>
            <w:pPr>
              <w:spacing w:after="0"/>
              <w:rPr>
                <w:sz w:val="6"/>
                <w:szCs w:val="6"/>
                <w:color w:val="auto"/>
              </w:rPr>
            </w:pPr>
          </w:p>
        </w:tc>
        <w:tc>
          <w:tcPr>
            <w:tcW w:w="118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160" w:type="dxa"/>
            <w:vAlign w:val="bottom"/>
            <w:tcBorders>
              <w:bottom w:val="single" w:sz="8" w:color="0E2A35"/>
            </w:tcBorders>
            <w:shd w:val="clear" w:color="auto" w:fill="C9D4D8"/>
          </w:tcPr>
          <w:p>
            <w:pPr>
              <w:spacing w:after="0"/>
              <w:rPr>
                <w:sz w:val="6"/>
                <w:szCs w:val="6"/>
                <w:color w:val="auto"/>
              </w:rPr>
            </w:pPr>
          </w:p>
        </w:tc>
        <w:tc>
          <w:tcPr>
            <w:tcW w:w="1220" w:type="dxa"/>
            <w:vAlign w:val="bottom"/>
            <w:tcBorders>
              <w:bottom w:val="single" w:sz="8" w:color="0E2A35"/>
            </w:tcBorders>
            <w:shd w:val="clear" w:color="auto" w:fill="C9D4D8"/>
          </w:tcPr>
          <w:p>
            <w:pPr>
              <w:spacing w:after="0"/>
              <w:rPr>
                <w:sz w:val="6"/>
                <w:szCs w:val="6"/>
                <w:color w:val="auto"/>
              </w:rPr>
            </w:pPr>
          </w:p>
        </w:tc>
        <w:tc>
          <w:tcPr>
            <w:tcW w:w="1140" w:type="dxa"/>
            <w:vAlign w:val="bottom"/>
            <w:tcBorders>
              <w:bottom w:val="single" w:sz="8" w:color="0E2A35"/>
            </w:tcBorders>
            <w:shd w:val="clear" w:color="auto" w:fill="C9D4D8"/>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180" w:type="dxa"/>
            <w:vAlign w:val="bottom"/>
            <w:tcBorders>
              <w:bottom w:val="single" w:sz="8" w:color="0E2A35"/>
            </w:tcBorders>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Borders>
              <w:bottom w:val="single" w:sz="8" w:color="0E2A35"/>
            </w:tcBorders>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Involuntary Termination for Cause</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3420" w:type="dxa"/>
            <w:vAlign w:val="bottom"/>
            <w:tcBorders>
              <w:bottom w:val="single" w:sz="8" w:color="0E2A35"/>
            </w:tcBorders>
          </w:tcPr>
          <w:p>
            <w:pPr>
              <w:ind w:left="3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18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22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Without Termination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79"/>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520"/>
              <w:spacing w:after="0"/>
              <w:rPr>
                <w:sz w:val="20"/>
                <w:szCs w:val="20"/>
                <w:color w:val="auto"/>
              </w:rPr>
            </w:pPr>
            <w:r>
              <w:rPr>
                <w:rFonts w:ascii="Arial" w:cs="Arial" w:eastAsia="Arial" w:hAnsi="Arial"/>
                <w:sz w:val="14"/>
                <w:szCs w:val="14"/>
                <w:color w:val="0E2A35"/>
              </w:rPr>
              <w:t>Termination Without Cause/Good Reason</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1,847,414</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611,694</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1,728,759</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570,112</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324,176</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Death</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1,728,759</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570,112</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324,176</w:t>
            </w:r>
          </w:p>
        </w:tc>
        <w:tc>
          <w:tcPr>
            <w:tcW w:w="0" w:type="dxa"/>
            <w:vAlign w:val="bottom"/>
          </w:tcPr>
          <w:p>
            <w:pPr>
              <w:spacing w:after="0"/>
              <w:rPr>
                <w:sz w:val="1"/>
                <w:szCs w:val="1"/>
                <w:color w:val="auto"/>
              </w:rPr>
            </w:pPr>
          </w:p>
        </w:tc>
      </w:tr>
      <w:tr>
        <w:trPr>
          <w:trHeight w:val="80"/>
        </w:trPr>
        <w:tc>
          <w:tcPr>
            <w:tcW w:w="3420" w:type="dxa"/>
            <w:vAlign w:val="bottom"/>
            <w:tcBorders>
              <w:bottom w:val="single" w:sz="8" w:color="0E2A35"/>
            </w:tcBorders>
          </w:tcPr>
          <w:p>
            <w:pPr>
              <w:spacing w:after="0"/>
              <w:rPr>
                <w:sz w:val="6"/>
                <w:szCs w:val="6"/>
                <w:color w:val="auto"/>
              </w:rPr>
            </w:pPr>
          </w:p>
        </w:tc>
        <w:tc>
          <w:tcPr>
            <w:tcW w:w="118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16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1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340"/>
              <w:spacing w:after="0"/>
              <w:rPr>
                <w:sz w:val="20"/>
                <w:szCs w:val="20"/>
                <w:color w:val="auto"/>
              </w:rPr>
            </w:pPr>
            <w:r>
              <w:rPr>
                <w:rFonts w:ascii="Arial" w:cs="Arial" w:eastAsia="Arial" w:hAnsi="Arial"/>
                <w:sz w:val="14"/>
                <w:szCs w:val="14"/>
                <w:color w:val="0E2A35"/>
              </w:rPr>
              <w:t>Disability</w:t>
            </w:r>
          </w:p>
        </w:tc>
        <w:tc>
          <w:tcPr>
            <w:tcW w:w="1180" w:type="dxa"/>
            <w:vAlign w:val="bottom"/>
          </w:tcPr>
          <w:p>
            <w:pPr>
              <w:jc w:val="right"/>
              <w:ind w:right="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0E2A35"/>
              </w:rPr>
              <w:t>1,728,759</w:t>
            </w:r>
          </w:p>
        </w:tc>
        <w:tc>
          <w:tcPr>
            <w:tcW w:w="1220" w:type="dxa"/>
            <w:vAlign w:val="bottom"/>
          </w:tcPr>
          <w:p>
            <w:pPr>
              <w:jc w:val="right"/>
              <w:ind w:right="111"/>
              <w:spacing w:after="0"/>
              <w:rPr>
                <w:sz w:val="20"/>
                <w:szCs w:val="20"/>
                <w:color w:val="auto"/>
              </w:rPr>
            </w:pPr>
            <w:r>
              <w:rPr>
                <w:rFonts w:ascii="Arial" w:cs="Arial" w:eastAsia="Arial" w:hAnsi="Arial"/>
                <w:sz w:val="14"/>
                <w:szCs w:val="14"/>
                <w:color w:val="0E2A35"/>
              </w:rPr>
              <w:t>570,112</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324,176</w:t>
            </w:r>
          </w:p>
        </w:tc>
        <w:tc>
          <w:tcPr>
            <w:tcW w:w="0" w:type="dxa"/>
            <w:vAlign w:val="bottom"/>
          </w:tcPr>
          <w:p>
            <w:pPr>
              <w:spacing w:after="0"/>
              <w:rPr>
                <w:sz w:val="1"/>
                <w:szCs w:val="1"/>
                <w:color w:val="auto"/>
              </w:rPr>
            </w:pPr>
          </w:p>
        </w:tc>
      </w:tr>
      <w:tr>
        <w:trPr>
          <w:trHeight w:val="39"/>
        </w:trPr>
        <w:tc>
          <w:tcPr>
            <w:tcW w:w="3420" w:type="dxa"/>
            <w:vAlign w:val="bottom"/>
            <w:tcBorders>
              <w:bottom w:val="single" w:sz="8" w:color="0E2A35"/>
            </w:tcBorders>
          </w:tcPr>
          <w:p>
            <w:pPr>
              <w:spacing w:after="0"/>
              <w:rPr>
                <w:sz w:val="3"/>
                <w:szCs w:val="3"/>
                <w:color w:val="auto"/>
              </w:rPr>
            </w:pPr>
          </w:p>
        </w:tc>
        <w:tc>
          <w:tcPr>
            <w:tcW w:w="118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right="960" w:hanging="360"/>
        <w:spacing w:after="0" w:line="223"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For Messrs. Happe and Clark, the Involuntary Termination without Cause or Termination for Good Reason before a Change in Control reflects one year of base salary and, in the case of Mr. Happe, an amount for COBRA. For all NEOs, the Change in Control severance equals an amount equal to two times (or three times in the case of our CEO) base salary and target annual incentive (as well as annual COBRA premium cost). In the case of Mr. Clark, the total severance benefit for a Change in Control termination is capped at $3,000,000.</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NEOs' actual annual incentive payout pursuant to the 2021 OICP (other than Mr. Clark) or 2021 Grand Design MIP (Mr. Clark).</w:t>
      </w:r>
    </w:p>
    <w:p>
      <w:pPr>
        <w:spacing w:after="0" w:line="39" w:lineRule="exact"/>
        <w:rPr>
          <w:rFonts w:ascii="Arial" w:cs="Arial" w:eastAsia="Arial" w:hAnsi="Arial"/>
          <w:sz w:val="13"/>
          <w:szCs w:val="13"/>
          <w:color w:val="0E2A35"/>
        </w:rPr>
      </w:pPr>
    </w:p>
    <w:p>
      <w:pPr>
        <w:ind w:left="1220" w:right="920" w:hanging="360"/>
        <w:spacing w:after="0" w:line="225"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LTIP incentive achieved pursuant to the fiscal 2021 PSUs and fiscal 2019-2021 LTIP, except by a termination pursuant to a Change in Control, which includes the full amount payable under the fiscal 2019-2021 LTIP and the target amount estimated to be payable under the fiscal 2020-2022 LTIP and the fiscal 2021-2023 LTIP. Shares earned under the LTIP plans are subject to a one-year holding period post-vesting.</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intrinsic value of stock grants based on our closing stock price of $58.41 per share on August 28, 2021, the last day of fiscal 2021.</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Represents the intrinsic value of stock options based on our closing stock price of $58.41 per share on August 28, 2021, the last day of fiscal 2021.</w:t>
      </w:r>
    </w:p>
    <w:p>
      <w:pPr>
        <w:spacing w:after="0" w:line="39" w:lineRule="exact"/>
        <w:rPr>
          <w:rFonts w:ascii="Arial" w:cs="Arial" w:eastAsia="Arial" w:hAnsi="Arial"/>
          <w:sz w:val="13"/>
          <w:szCs w:val="13"/>
          <w:color w:val="0E2A35"/>
        </w:rPr>
      </w:pPr>
    </w:p>
    <w:p>
      <w:pPr>
        <w:ind w:left="1220" w:right="1140" w:hanging="360"/>
        <w:spacing w:after="0" w:line="230"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Retirement under certain of the 2014 Plan award agreements is defined as attaining age 60 and five or more years of service with the Company. Retirement under the 2019 Plan awards does not trigger automatic acceleration of such awards.</w:t>
      </w:r>
    </w:p>
    <w:p>
      <w:pPr>
        <w:spacing w:after="0" w:line="37" w:lineRule="exact"/>
        <w:rPr>
          <w:rFonts w:ascii="Arial" w:cs="Arial" w:eastAsia="Arial" w:hAnsi="Arial"/>
          <w:sz w:val="13"/>
          <w:szCs w:val="13"/>
          <w:color w:val="0E2A35"/>
        </w:rPr>
      </w:pPr>
    </w:p>
    <w:p>
      <w:pPr>
        <w:ind w:left="1220" w:right="1040" w:hanging="360"/>
        <w:spacing w:after="0" w:line="225" w:lineRule="auto"/>
        <w:tabs>
          <w:tab w:leader="none" w:pos="1220" w:val="left"/>
        </w:tabs>
        <w:numPr>
          <w:ilvl w:val="0"/>
          <w:numId w:val="56"/>
        </w:numPr>
        <w:rPr>
          <w:rFonts w:ascii="Arial" w:cs="Arial" w:eastAsia="Arial" w:hAnsi="Arial"/>
          <w:sz w:val="13"/>
          <w:szCs w:val="13"/>
          <w:color w:val="0E2A35"/>
        </w:rPr>
      </w:pPr>
      <w:r>
        <w:rPr>
          <w:rFonts w:ascii="Arial" w:cs="Arial" w:eastAsia="Arial" w:hAnsi="Arial"/>
          <w:sz w:val="13"/>
          <w:szCs w:val="13"/>
          <w:color w:val="0E2A35"/>
        </w:rPr>
        <w:t>The term “Change of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8" w:name="page69"/>
    <w:bookmarkEnd w:id="6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CEO Pay Ratio Disclosure</w:t>
      </w:r>
    </w:p>
    <w:p>
      <w:pPr>
        <w:spacing w:after="0" w:line="224" w:lineRule="exact"/>
        <w:rPr>
          <w:sz w:val="20"/>
          <w:szCs w:val="20"/>
          <w:color w:val="auto"/>
        </w:rPr>
      </w:pPr>
    </w:p>
    <w:p>
      <w:pPr>
        <w:ind w:left="860" w:right="1220"/>
        <w:spacing w:after="0" w:line="253" w:lineRule="auto"/>
        <w:rPr>
          <w:sz w:val="20"/>
          <w:szCs w:val="20"/>
          <w:color w:val="auto"/>
        </w:rPr>
      </w:pPr>
      <w:r>
        <w:rPr>
          <w:rFonts w:ascii="Arial" w:cs="Arial" w:eastAsia="Arial" w:hAnsi="Arial"/>
          <w:sz w:val="16"/>
          <w:szCs w:val="16"/>
          <w:color w:val="0E2A35"/>
        </w:rPr>
        <w:t>As a result of rules adopted by the SEC under the Dodd-Frank Act, the SEC requires disclosure of the ratio of the median employee’s annual total compensation to that of the principal executive officer (PEO). The Company’s PEO is Mr. Happe, our President and CEO.</w:t>
      </w:r>
    </w:p>
    <w:p>
      <w:pPr>
        <w:spacing w:after="0" w:line="161" w:lineRule="exact"/>
        <w:rPr>
          <w:sz w:val="20"/>
          <w:szCs w:val="20"/>
          <w:color w:val="auto"/>
        </w:rPr>
      </w:pPr>
    </w:p>
    <w:p>
      <w:pPr>
        <w:ind w:left="860" w:right="1520"/>
        <w:spacing w:after="0" w:line="260" w:lineRule="auto"/>
        <w:rPr>
          <w:sz w:val="20"/>
          <w:szCs w:val="20"/>
          <w:color w:val="auto"/>
        </w:rPr>
      </w:pPr>
      <w:r>
        <w:rPr>
          <w:rFonts w:ascii="Arial" w:cs="Arial" w:eastAsia="Arial" w:hAnsi="Arial"/>
          <w:sz w:val="16"/>
          <w:szCs w:val="16"/>
          <w:color w:val="0E2A35"/>
        </w:rPr>
        <w:t>As of our measurement date of August 28, 2021, our employee population including all full-time, part-time and temporary workers, consisted of approximately 6,532 individuals, all of whom worked in the United States.</w:t>
      </w:r>
    </w:p>
    <w:p>
      <w:pPr>
        <w:spacing w:after="0" w:line="168" w:lineRule="exact"/>
        <w:rPr>
          <w:sz w:val="20"/>
          <w:szCs w:val="20"/>
          <w:color w:val="auto"/>
        </w:rPr>
      </w:pPr>
    </w:p>
    <w:p>
      <w:pPr>
        <w:ind w:left="860" w:right="1320"/>
        <w:spacing w:after="0" w:line="260" w:lineRule="auto"/>
        <w:rPr>
          <w:sz w:val="20"/>
          <w:szCs w:val="20"/>
          <w:color w:val="auto"/>
        </w:rPr>
      </w:pPr>
      <w:r>
        <w:rPr>
          <w:rFonts w:ascii="Arial" w:cs="Arial" w:eastAsia="Arial" w:hAnsi="Arial"/>
          <w:sz w:val="16"/>
          <w:szCs w:val="16"/>
          <w:color w:val="0E2A35"/>
        </w:rPr>
        <w:t>To identify the median employee, as well as determine the annual total compensation of the median employee, we used the following methodology and consistently applied material assumptions, adjustments and estimates.</w:t>
      </w:r>
    </w:p>
    <w:p>
      <w:pPr>
        <w:spacing w:after="0" w:line="155" w:lineRule="exact"/>
        <w:rPr>
          <w:sz w:val="20"/>
          <w:szCs w:val="20"/>
          <w:color w:val="auto"/>
        </w:rPr>
      </w:pPr>
    </w:p>
    <w:p>
      <w:pPr>
        <w:ind w:left="1580" w:right="940" w:hanging="360"/>
        <w:spacing w:after="0" w:line="249"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We compared the payroll data for our employee population described above (minus our PEO) using a compensation measure consisting of base pay related wages and incentive pay paid during fiscal 2021.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64" w:lineRule="exact"/>
        <w:rPr>
          <w:rFonts w:ascii="Arial" w:cs="Arial" w:eastAsia="Arial" w:hAnsi="Arial"/>
          <w:sz w:val="16"/>
          <w:szCs w:val="16"/>
          <w:color w:val="C7D265"/>
        </w:rPr>
      </w:pPr>
    </w:p>
    <w:p>
      <w:pPr>
        <w:ind w:left="1580" w:right="1080" w:hanging="360"/>
        <w:spacing w:after="0" w:line="260"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We annualized the base pay related wages and incentive pay of all full-time and part-time employees who were hired by the Company and its subsidiaries between August 30, 2020 and August 27, 2021.</w:t>
      </w:r>
    </w:p>
    <w:p>
      <w:pPr>
        <w:spacing w:after="0" w:line="168" w:lineRule="exact"/>
        <w:rPr>
          <w:rFonts w:ascii="Arial" w:cs="Arial" w:eastAsia="Arial" w:hAnsi="Arial"/>
          <w:sz w:val="16"/>
          <w:szCs w:val="16"/>
          <w:color w:val="C7D265"/>
        </w:rPr>
      </w:pPr>
    </w:p>
    <w:p>
      <w:pPr>
        <w:ind w:left="1580" w:right="1440" w:hanging="360"/>
        <w:spacing w:after="0" w:line="260"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Based upon base pay related wages and incentive pay of each employee, we identified a median employee and calculated that employee’s annual total compensation.</w:t>
      </w:r>
    </w:p>
    <w:p>
      <w:pPr>
        <w:spacing w:after="0" w:line="154" w:lineRule="exact"/>
        <w:rPr>
          <w:rFonts w:ascii="Arial" w:cs="Arial" w:eastAsia="Arial" w:hAnsi="Arial"/>
          <w:sz w:val="16"/>
          <w:szCs w:val="16"/>
          <w:color w:val="C7D265"/>
        </w:rPr>
      </w:pPr>
    </w:p>
    <w:p>
      <w:pPr>
        <w:ind w:left="1580" w:right="1120" w:hanging="360"/>
        <w:spacing w:after="0" w:line="253" w:lineRule="auto"/>
        <w:tabs>
          <w:tab w:leader="none" w:pos="1580" w:val="left"/>
        </w:tabs>
        <w:numPr>
          <w:ilvl w:val="0"/>
          <w:numId w:val="57"/>
        </w:numPr>
        <w:rPr>
          <w:rFonts w:ascii="Arial" w:cs="Arial" w:eastAsia="Arial" w:hAnsi="Arial"/>
          <w:sz w:val="16"/>
          <w:szCs w:val="16"/>
          <w:color w:val="C7D265"/>
        </w:rPr>
      </w:pPr>
      <w:r>
        <w:rPr>
          <w:rFonts w:ascii="Arial" w:cs="Arial" w:eastAsia="Arial" w:hAnsi="Arial"/>
          <w:sz w:val="16"/>
          <w:szCs w:val="16"/>
          <w:color w:val="0E2A35"/>
        </w:rPr>
        <w:t>We determined annual total compensation, including any perquisites and other benefits, in the same manner that we determine the annual total compensation of our PEO for purposes of the Summary Compensation Table disclosed above.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This resulted in the median employee’s annual total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53340</wp:posOffset>
            </wp:positionV>
            <wp:extent cx="58978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5880" w:type="dxa"/>
            <w:vAlign w:val="bottom"/>
          </w:tcPr>
          <w:p>
            <w:pPr>
              <w:ind w:left="160"/>
              <w:spacing w:after="0"/>
              <w:rPr>
                <w:sz w:val="20"/>
                <w:szCs w:val="20"/>
                <w:color w:val="auto"/>
              </w:rPr>
            </w:pPr>
            <w:r>
              <w:rPr>
                <w:rFonts w:ascii="Arial" w:cs="Arial" w:eastAsia="Arial" w:hAnsi="Arial"/>
                <w:sz w:val="14"/>
                <w:szCs w:val="14"/>
                <w:color w:val="0E2A35"/>
              </w:rPr>
              <w:t>Annual Total Compensation of Median Employee</w:t>
            </w:r>
          </w:p>
        </w:tc>
        <w:tc>
          <w:tcPr>
            <w:tcW w:w="2780" w:type="dxa"/>
            <w:vAlign w:val="bottom"/>
          </w:tcPr>
          <w:p>
            <w:pPr>
              <w:jc w:val="right"/>
              <w:ind w:right="28"/>
              <w:spacing w:after="0"/>
              <w:rPr>
                <w:sz w:val="20"/>
                <w:szCs w:val="20"/>
                <w:color w:val="auto"/>
              </w:rPr>
            </w:pPr>
            <w:r>
              <w:rPr>
                <w:rFonts w:ascii="Arial" w:cs="Arial" w:eastAsia="Arial" w:hAnsi="Arial"/>
                <w:sz w:val="14"/>
                <w:szCs w:val="14"/>
                <w:color w:val="0E2A35"/>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0E2A35"/>
              </w:rPr>
              <w:t>60,746</w:t>
            </w:r>
          </w:p>
        </w:tc>
      </w:tr>
      <w:tr>
        <w:trPr>
          <w:trHeight w:val="93"/>
        </w:trPr>
        <w:tc>
          <w:tcPr>
            <w:tcW w:w="5880" w:type="dxa"/>
            <w:vAlign w:val="bottom"/>
            <w:tcBorders>
              <w:bottom w:val="single" w:sz="8" w:color="0E2A35"/>
            </w:tcBorders>
          </w:tcPr>
          <w:p>
            <w:pPr>
              <w:spacing w:after="0"/>
              <w:rPr>
                <w:sz w:val="8"/>
                <w:szCs w:val="8"/>
                <w:color w:val="auto"/>
              </w:rPr>
            </w:pPr>
          </w:p>
        </w:tc>
        <w:tc>
          <w:tcPr>
            <w:tcW w:w="3400" w:type="dxa"/>
            <w:vAlign w:val="bottom"/>
            <w:tcBorders>
              <w:bottom w:val="single" w:sz="8" w:color="0E2A35"/>
            </w:tcBorders>
            <w:gridSpan w:val="2"/>
          </w:tcPr>
          <w:p>
            <w:pPr>
              <w:spacing w:after="0"/>
              <w:rPr>
                <w:sz w:val="8"/>
                <w:szCs w:val="8"/>
                <w:color w:val="auto"/>
              </w:rPr>
            </w:pPr>
          </w:p>
        </w:tc>
      </w:tr>
      <w:tr>
        <w:trPr>
          <w:trHeight w:val="279"/>
        </w:trPr>
        <w:tc>
          <w:tcPr>
            <w:tcW w:w="5880" w:type="dxa"/>
            <w:vAlign w:val="bottom"/>
          </w:tcPr>
          <w:p>
            <w:pPr>
              <w:ind w:left="160"/>
              <w:spacing w:after="0"/>
              <w:rPr>
                <w:sz w:val="20"/>
                <w:szCs w:val="20"/>
                <w:color w:val="auto"/>
              </w:rPr>
            </w:pPr>
            <w:r>
              <w:rPr>
                <w:rFonts w:ascii="Arial" w:cs="Arial" w:eastAsia="Arial" w:hAnsi="Arial"/>
                <w:sz w:val="14"/>
                <w:szCs w:val="14"/>
                <w:color w:val="0E2A35"/>
              </w:rPr>
              <w:t>Annual Total Compensation of PEO (Mr. Happe)</w:t>
            </w:r>
          </w:p>
        </w:tc>
        <w:tc>
          <w:tcPr>
            <w:tcW w:w="3400" w:type="dxa"/>
            <w:vAlign w:val="bottom"/>
            <w:gridSpan w:val="2"/>
          </w:tcPr>
          <w:p>
            <w:pPr>
              <w:jc w:val="right"/>
              <w:ind w:right="8"/>
              <w:spacing w:after="0"/>
              <w:rPr>
                <w:sz w:val="20"/>
                <w:szCs w:val="20"/>
                <w:color w:val="auto"/>
              </w:rPr>
            </w:pPr>
            <w:r>
              <w:rPr>
                <w:rFonts w:ascii="Arial" w:cs="Arial" w:eastAsia="Arial" w:hAnsi="Arial"/>
                <w:sz w:val="14"/>
                <w:szCs w:val="14"/>
                <w:color w:val="0E2A35"/>
              </w:rPr>
              <w:t>$6,649,186</w:t>
            </w:r>
          </w:p>
        </w:tc>
      </w:tr>
      <w:tr>
        <w:trPr>
          <w:trHeight w:val="39"/>
        </w:trPr>
        <w:tc>
          <w:tcPr>
            <w:tcW w:w="5880" w:type="dxa"/>
            <w:vAlign w:val="bottom"/>
            <w:tcBorders>
              <w:bottom w:val="single" w:sz="8" w:color="0E2A35"/>
            </w:tcBorders>
          </w:tcPr>
          <w:p>
            <w:pPr>
              <w:spacing w:after="0"/>
              <w:rPr>
                <w:sz w:val="3"/>
                <w:szCs w:val="3"/>
                <w:color w:val="auto"/>
              </w:rPr>
            </w:pPr>
          </w:p>
        </w:tc>
        <w:tc>
          <w:tcPr>
            <w:tcW w:w="2780" w:type="dxa"/>
            <w:vAlign w:val="bottom"/>
            <w:tcBorders>
              <w:bottom w:val="single" w:sz="8" w:color="0E2A35"/>
            </w:tcBorders>
          </w:tcPr>
          <w:p>
            <w:pPr>
              <w:spacing w:after="0"/>
              <w:rPr>
                <w:sz w:val="3"/>
                <w:szCs w:val="3"/>
                <w:color w:val="auto"/>
              </w:rPr>
            </w:pPr>
          </w:p>
        </w:tc>
        <w:tc>
          <w:tcPr>
            <w:tcW w:w="620" w:type="dxa"/>
            <w:vAlign w:val="bottom"/>
            <w:tcBorders>
              <w:bottom w:val="single" w:sz="8" w:color="0E2A35"/>
            </w:tcBorders>
          </w:tcPr>
          <w:p>
            <w:pPr>
              <w:spacing w:after="0"/>
              <w:rPr>
                <w:sz w:val="3"/>
                <w:szCs w:val="3"/>
                <w:color w:val="auto"/>
              </w:rPr>
            </w:pPr>
          </w:p>
        </w:tc>
      </w:tr>
    </w:tbl>
    <w:p>
      <w:pPr>
        <w:spacing w:after="0" w:line="285" w:lineRule="exact"/>
        <w:rPr>
          <w:sz w:val="20"/>
          <w:szCs w:val="20"/>
          <w:color w:val="auto"/>
        </w:rPr>
      </w:pPr>
    </w:p>
    <w:p>
      <w:pPr>
        <w:ind w:left="860" w:right="1180"/>
        <w:spacing w:after="0" w:line="253" w:lineRule="auto"/>
        <w:rPr>
          <w:sz w:val="20"/>
          <w:szCs w:val="20"/>
          <w:color w:val="auto"/>
        </w:rPr>
      </w:pPr>
      <w:r>
        <w:rPr>
          <w:rFonts w:ascii="Arial" w:cs="Arial" w:eastAsia="Arial" w:hAnsi="Arial"/>
          <w:sz w:val="16"/>
          <w:szCs w:val="16"/>
          <w:color w:val="0E2A35"/>
        </w:rPr>
        <w:t>Based on this information for fiscal 2021, we reasonably estimate that the ratio of our CEO’s annual total compensation to the annual total compensation of our median employee was 109 to 1. Our pay ratio estimate has been calculated in a manner consistent with Item 402(u) of Regulation S-K.</w:t>
      </w:r>
    </w:p>
    <w:p>
      <w:pPr>
        <w:spacing w:after="0" w:line="161"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64</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9" w:name="page70"/>
    <w:bookmarkEnd w:id="6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Equity Compensation Plan Information</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Information with respect to shares of our common stock that may be issued under our existing equity compensation plans as of</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August 28, 2021 are as follows:</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372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14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(a)</w:t>
            </w:r>
          </w:p>
        </w:tc>
        <w:tc>
          <w:tcPr>
            <w:tcW w:w="1780" w:type="dxa"/>
            <w:vAlign w:val="bottom"/>
            <w:shd w:val="clear" w:color="auto" w:fill="0E2A35"/>
          </w:tcPr>
          <w:p>
            <w:pPr>
              <w:jc w:val="center"/>
              <w:ind w:left="234"/>
              <w:spacing w:after="0"/>
              <w:rPr>
                <w:sz w:val="20"/>
                <w:szCs w:val="20"/>
                <w:color w:val="auto"/>
              </w:rPr>
            </w:pPr>
            <w:r>
              <w:rPr>
                <w:rFonts w:ascii="Arial" w:cs="Arial" w:eastAsia="Arial" w:hAnsi="Arial"/>
                <w:sz w:val="13"/>
                <w:szCs w:val="13"/>
                <w:b w:val="1"/>
                <w:bCs w:val="1"/>
                <w:color w:val="FFFFFF"/>
                <w:w w:val="96"/>
              </w:rPr>
              <w:t>(b)</w:t>
            </w:r>
          </w:p>
        </w:tc>
        <w:tc>
          <w:tcPr>
            <w:tcW w:w="2200" w:type="dxa"/>
            <w:vAlign w:val="bottom"/>
            <w:gridSpan w:val="2"/>
            <w:shd w:val="clear" w:color="auto" w:fill="0E2A35"/>
          </w:tcPr>
          <w:p>
            <w:pPr>
              <w:jc w:val="center"/>
              <w:ind w:left="134"/>
              <w:spacing w:after="0"/>
              <w:rPr>
                <w:sz w:val="20"/>
                <w:szCs w:val="20"/>
                <w:color w:val="auto"/>
              </w:rPr>
            </w:pPr>
            <w:r>
              <w:rPr>
                <w:rFonts w:ascii="Arial" w:cs="Arial" w:eastAsia="Arial" w:hAnsi="Arial"/>
                <w:sz w:val="13"/>
                <w:szCs w:val="13"/>
                <w:b w:val="1"/>
                <w:bCs w:val="1"/>
                <w:color w:val="FFFFFF"/>
              </w:rPr>
              <w:t>(c)</w:t>
            </w:r>
          </w:p>
        </w:tc>
        <w:tc>
          <w:tcPr>
            <w:tcW w:w="0" w:type="dxa"/>
            <w:vAlign w:val="bottom"/>
          </w:tcPr>
          <w:p>
            <w:pPr>
              <w:spacing w:after="0"/>
              <w:rPr>
                <w:sz w:val="1"/>
                <w:szCs w:val="1"/>
                <w:color w:val="auto"/>
              </w:rPr>
            </w:pPr>
          </w:p>
        </w:tc>
      </w:tr>
      <w:tr>
        <w:trPr>
          <w:trHeight w:val="332"/>
        </w:trPr>
        <w:tc>
          <w:tcPr>
            <w:tcW w:w="3720" w:type="dxa"/>
            <w:vAlign w:val="bottom"/>
            <w:shd w:val="clear" w:color="auto" w:fill="0E2A35"/>
          </w:tcPr>
          <w:p>
            <w:pPr>
              <w:spacing w:after="0"/>
              <w:rPr>
                <w:sz w:val="24"/>
                <w:szCs w:val="24"/>
                <w:color w:val="auto"/>
              </w:rPr>
            </w:pPr>
          </w:p>
        </w:tc>
        <w:tc>
          <w:tcPr>
            <w:tcW w:w="140" w:type="dxa"/>
            <w:vAlign w:val="bottom"/>
            <w:shd w:val="clear" w:color="auto" w:fill="0E2A35"/>
          </w:tcPr>
          <w:p>
            <w:pPr>
              <w:spacing w:after="0"/>
              <w:rPr>
                <w:sz w:val="24"/>
                <w:szCs w:val="24"/>
                <w:color w:val="auto"/>
              </w:rPr>
            </w:pPr>
          </w:p>
        </w:tc>
        <w:tc>
          <w:tcPr>
            <w:tcW w:w="1440" w:type="dxa"/>
            <w:vAlign w:val="bottom"/>
            <w:shd w:val="clear" w:color="auto" w:fill="0E2A35"/>
          </w:tcPr>
          <w:p>
            <w:pPr>
              <w:spacing w:after="0"/>
              <w:rPr>
                <w:sz w:val="24"/>
                <w:szCs w:val="24"/>
                <w:color w:val="auto"/>
              </w:rPr>
            </w:pPr>
          </w:p>
        </w:tc>
        <w:tc>
          <w:tcPr>
            <w:tcW w:w="1780" w:type="dxa"/>
            <w:vAlign w:val="bottom"/>
            <w:shd w:val="clear" w:color="auto" w:fill="0E2A35"/>
          </w:tcPr>
          <w:p>
            <w:pPr>
              <w:spacing w:after="0"/>
              <w:rPr>
                <w:sz w:val="24"/>
                <w:szCs w:val="24"/>
                <w:color w:val="auto"/>
              </w:rPr>
            </w:pPr>
          </w:p>
        </w:tc>
        <w:tc>
          <w:tcPr>
            <w:tcW w:w="2200" w:type="dxa"/>
            <w:vAlign w:val="bottom"/>
            <w:gridSpan w:val="2"/>
            <w:shd w:val="clear" w:color="auto" w:fill="0E2A35"/>
          </w:tcPr>
          <w:p>
            <w:pPr>
              <w:jc w:val="center"/>
              <w:ind w:left="94"/>
              <w:spacing w:after="0"/>
              <w:rPr>
                <w:sz w:val="20"/>
                <w:szCs w:val="20"/>
                <w:color w:val="auto"/>
              </w:rPr>
            </w:pPr>
            <w:r>
              <w:rPr>
                <w:rFonts w:ascii="Arial" w:cs="Arial" w:eastAsia="Arial" w:hAnsi="Arial"/>
                <w:sz w:val="13"/>
                <w:szCs w:val="13"/>
                <w:b w:val="1"/>
                <w:bCs w:val="1"/>
                <w:color w:val="FFFFFF"/>
                <w:w w:val="97"/>
              </w:rPr>
              <w:t>Number of Securities</w:t>
            </w:r>
          </w:p>
        </w:tc>
        <w:tc>
          <w:tcPr>
            <w:tcW w:w="0" w:type="dxa"/>
            <w:vAlign w:val="bottom"/>
          </w:tcPr>
          <w:p>
            <w:pPr>
              <w:spacing w:after="0"/>
              <w:rPr>
                <w:sz w:val="1"/>
                <w:szCs w:val="1"/>
                <w:color w:val="auto"/>
              </w:rPr>
            </w:pPr>
          </w:p>
        </w:tc>
      </w:tr>
      <w:tr>
        <w:trPr>
          <w:trHeight w:val="135"/>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4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Number of Securities</w:t>
            </w:r>
          </w:p>
        </w:tc>
        <w:tc>
          <w:tcPr>
            <w:tcW w:w="1780" w:type="dxa"/>
            <w:vAlign w:val="bottom"/>
            <w:shd w:val="clear" w:color="auto" w:fill="0E2A35"/>
          </w:tcPr>
          <w:p>
            <w:pPr>
              <w:jc w:val="center"/>
              <w:ind w:left="194"/>
              <w:spacing w:after="0" w:line="135" w:lineRule="exact"/>
              <w:rPr>
                <w:sz w:val="20"/>
                <w:szCs w:val="20"/>
                <w:color w:val="auto"/>
              </w:rPr>
            </w:pPr>
            <w:r>
              <w:rPr>
                <w:rFonts w:ascii="Arial" w:cs="Arial" w:eastAsia="Arial" w:hAnsi="Arial"/>
                <w:sz w:val="13"/>
                <w:szCs w:val="13"/>
                <w:b w:val="1"/>
                <w:bCs w:val="1"/>
                <w:color w:val="FFFFFF"/>
                <w:w w:val="95"/>
              </w:rPr>
              <w:t>Weighted Average</w:t>
            </w:r>
          </w:p>
        </w:tc>
        <w:tc>
          <w:tcPr>
            <w:tcW w:w="2200" w:type="dxa"/>
            <w:vAlign w:val="bottom"/>
            <w:gridSpan w:val="2"/>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7"/>
              </w:rPr>
              <w:t>Remaining Available for</w:t>
            </w:r>
          </w:p>
        </w:tc>
        <w:tc>
          <w:tcPr>
            <w:tcW w:w="0" w:type="dxa"/>
            <w:vAlign w:val="bottom"/>
          </w:tcPr>
          <w:p>
            <w:pPr>
              <w:spacing w:after="0"/>
              <w:rPr>
                <w:sz w:val="1"/>
                <w:szCs w:val="1"/>
                <w:color w:val="auto"/>
              </w:rPr>
            </w:pPr>
          </w:p>
        </w:tc>
      </w:tr>
      <w:tr>
        <w:trPr>
          <w:trHeight w:val="135"/>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4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to be Issued Upon</w:t>
            </w:r>
          </w:p>
        </w:tc>
        <w:tc>
          <w:tcPr>
            <w:tcW w:w="1780" w:type="dxa"/>
            <w:vAlign w:val="bottom"/>
            <w:shd w:val="clear" w:color="auto" w:fill="0E2A35"/>
          </w:tcPr>
          <w:p>
            <w:pPr>
              <w:jc w:val="center"/>
              <w:ind w:left="194"/>
              <w:spacing w:after="0" w:line="135" w:lineRule="exact"/>
              <w:rPr>
                <w:sz w:val="20"/>
                <w:szCs w:val="20"/>
                <w:color w:val="auto"/>
              </w:rPr>
            </w:pPr>
            <w:r>
              <w:rPr>
                <w:rFonts w:ascii="Arial" w:cs="Arial" w:eastAsia="Arial" w:hAnsi="Arial"/>
                <w:sz w:val="13"/>
                <w:szCs w:val="13"/>
                <w:b w:val="1"/>
                <w:bCs w:val="1"/>
                <w:color w:val="FFFFFF"/>
                <w:w w:val="95"/>
              </w:rPr>
              <w:t>Exercise Price of</w:t>
            </w:r>
          </w:p>
        </w:tc>
        <w:tc>
          <w:tcPr>
            <w:tcW w:w="2200" w:type="dxa"/>
            <w:vAlign w:val="bottom"/>
            <w:gridSpan w:val="2"/>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6"/>
              </w:rPr>
              <w:t>Future Issuance Under</w:t>
            </w:r>
          </w:p>
        </w:tc>
        <w:tc>
          <w:tcPr>
            <w:tcW w:w="0" w:type="dxa"/>
            <w:vAlign w:val="bottom"/>
          </w:tcPr>
          <w:p>
            <w:pPr>
              <w:spacing w:after="0"/>
              <w:rPr>
                <w:sz w:val="1"/>
                <w:szCs w:val="1"/>
                <w:color w:val="auto"/>
              </w:rPr>
            </w:pPr>
          </w:p>
        </w:tc>
      </w:tr>
      <w:tr>
        <w:trPr>
          <w:trHeight w:val="131"/>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44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Exercise of</w:t>
            </w:r>
          </w:p>
        </w:tc>
        <w:tc>
          <w:tcPr>
            <w:tcW w:w="1780" w:type="dxa"/>
            <w:vAlign w:val="bottom"/>
            <w:shd w:val="clear" w:color="auto" w:fill="0E2A35"/>
          </w:tcPr>
          <w:p>
            <w:pPr>
              <w:jc w:val="center"/>
              <w:ind w:left="194"/>
              <w:spacing w:after="0" w:line="131" w:lineRule="exact"/>
              <w:rPr>
                <w:sz w:val="20"/>
                <w:szCs w:val="20"/>
                <w:color w:val="auto"/>
              </w:rPr>
            </w:pPr>
            <w:r>
              <w:rPr>
                <w:rFonts w:ascii="Arial" w:cs="Arial" w:eastAsia="Arial" w:hAnsi="Arial"/>
                <w:sz w:val="13"/>
                <w:szCs w:val="13"/>
                <w:b w:val="1"/>
                <w:bCs w:val="1"/>
                <w:color w:val="FFFFFF"/>
                <w:w w:val="96"/>
              </w:rPr>
              <w:t>Outstanding Options,</w:t>
            </w:r>
          </w:p>
        </w:tc>
        <w:tc>
          <w:tcPr>
            <w:tcW w:w="2200" w:type="dxa"/>
            <w:vAlign w:val="bottom"/>
            <w:gridSpan w:val="2"/>
            <w:shd w:val="clear" w:color="auto" w:fill="0E2A35"/>
          </w:tcPr>
          <w:p>
            <w:pPr>
              <w:jc w:val="center"/>
              <w:ind w:left="94"/>
              <w:spacing w:after="0" w:line="131" w:lineRule="exact"/>
              <w:rPr>
                <w:sz w:val="20"/>
                <w:szCs w:val="20"/>
                <w:color w:val="auto"/>
              </w:rPr>
            </w:pPr>
            <w:r>
              <w:rPr>
                <w:rFonts w:ascii="Arial" w:cs="Arial" w:eastAsia="Arial" w:hAnsi="Arial"/>
                <w:sz w:val="13"/>
                <w:szCs w:val="13"/>
                <w:b w:val="1"/>
                <w:bCs w:val="1"/>
                <w:color w:val="FFFFFF"/>
                <w:w w:val="97"/>
              </w:rPr>
              <w:t>Equity Compensation Plans</w:t>
            </w:r>
          </w:p>
        </w:tc>
        <w:tc>
          <w:tcPr>
            <w:tcW w:w="0" w:type="dxa"/>
            <w:vAlign w:val="bottom"/>
          </w:tcPr>
          <w:p>
            <w:pPr>
              <w:spacing w:after="0"/>
              <w:rPr>
                <w:sz w:val="1"/>
                <w:szCs w:val="1"/>
                <w:color w:val="auto"/>
              </w:rPr>
            </w:pPr>
          </w:p>
        </w:tc>
      </w:tr>
      <w:tr>
        <w:trPr>
          <w:trHeight w:val="135"/>
        </w:trPr>
        <w:tc>
          <w:tcPr>
            <w:tcW w:w="372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14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1780" w:type="dxa"/>
            <w:vAlign w:val="bottom"/>
            <w:shd w:val="clear" w:color="auto" w:fill="0E2A35"/>
          </w:tcPr>
          <w:p>
            <w:pPr>
              <w:jc w:val="center"/>
              <w:ind w:left="234"/>
              <w:spacing w:after="0" w:line="135" w:lineRule="exact"/>
              <w:rPr>
                <w:sz w:val="20"/>
                <w:szCs w:val="20"/>
                <w:color w:val="auto"/>
              </w:rPr>
            </w:pPr>
            <w:r>
              <w:rPr>
                <w:rFonts w:ascii="Arial" w:cs="Arial" w:eastAsia="Arial" w:hAnsi="Arial"/>
                <w:sz w:val="10"/>
                <w:szCs w:val="10"/>
                <w:b w:val="1"/>
                <w:bCs w:val="1"/>
                <w:color w:val="FFFFFF"/>
              </w:rPr>
              <w:t>Warrants and Rights</w:t>
            </w:r>
            <w:r>
              <w:rPr>
                <w:rFonts w:ascii="Arial" w:cs="Arial" w:eastAsia="Arial" w:hAnsi="Arial"/>
                <w:sz w:val="15"/>
                <w:szCs w:val="15"/>
                <w:b w:val="1"/>
                <w:bCs w:val="1"/>
                <w:color w:val="FFFFFF"/>
                <w:vertAlign w:val="superscript"/>
              </w:rPr>
              <w:t>(2)</w:t>
            </w:r>
          </w:p>
        </w:tc>
        <w:tc>
          <w:tcPr>
            <w:tcW w:w="2200" w:type="dxa"/>
            <w:vAlign w:val="bottom"/>
            <w:gridSpan w:val="2"/>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6"/>
              </w:rPr>
              <w:t>(Excluding Securities</w:t>
            </w:r>
          </w:p>
        </w:tc>
        <w:tc>
          <w:tcPr>
            <w:tcW w:w="0" w:type="dxa"/>
            <w:vAlign w:val="bottom"/>
          </w:tcPr>
          <w:p>
            <w:pPr>
              <w:spacing w:after="0"/>
              <w:rPr>
                <w:sz w:val="1"/>
                <w:szCs w:val="1"/>
                <w:color w:val="auto"/>
              </w:rPr>
            </w:pPr>
          </w:p>
        </w:tc>
      </w:tr>
      <w:tr>
        <w:trPr>
          <w:trHeight w:val="269"/>
        </w:trPr>
        <w:tc>
          <w:tcPr>
            <w:tcW w:w="37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Plan Category</w:t>
            </w:r>
          </w:p>
        </w:tc>
        <w:tc>
          <w:tcPr>
            <w:tcW w:w="140" w:type="dxa"/>
            <w:vAlign w:val="bottom"/>
            <w:shd w:val="clear" w:color="auto" w:fill="0E2A35"/>
          </w:tcPr>
          <w:p>
            <w:pPr>
              <w:spacing w:after="0"/>
              <w:rPr>
                <w:sz w:val="23"/>
                <w:szCs w:val="23"/>
                <w:color w:val="auto"/>
              </w:rPr>
            </w:pPr>
          </w:p>
        </w:tc>
        <w:tc>
          <w:tcPr>
            <w:tcW w:w="14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Warrants and Rights</w:t>
            </w:r>
            <w:r>
              <w:rPr>
                <w:rFonts w:ascii="Arial" w:cs="Arial" w:eastAsia="Arial" w:hAnsi="Arial"/>
                <w:sz w:val="20"/>
                <w:szCs w:val="20"/>
                <w:b w:val="1"/>
                <w:bCs w:val="1"/>
                <w:color w:val="FFFFFF"/>
                <w:w w:val="94"/>
                <w:vertAlign w:val="superscript"/>
              </w:rPr>
              <w:t>(1)</w:t>
            </w:r>
          </w:p>
        </w:tc>
        <w:tc>
          <w:tcPr>
            <w:tcW w:w="1780" w:type="dxa"/>
            <w:vAlign w:val="bottom"/>
            <w:shd w:val="clear" w:color="auto" w:fill="0E2A35"/>
          </w:tcPr>
          <w:p>
            <w:pPr>
              <w:jc w:val="center"/>
              <w:ind w:left="234"/>
              <w:spacing w:after="0"/>
              <w:rPr>
                <w:sz w:val="20"/>
                <w:szCs w:val="20"/>
                <w:color w:val="auto"/>
              </w:rPr>
            </w:pPr>
            <w:r>
              <w:rPr>
                <w:rFonts w:ascii="Arial" w:cs="Arial" w:eastAsia="Arial" w:hAnsi="Arial"/>
                <w:sz w:val="13"/>
                <w:szCs w:val="13"/>
                <w:b w:val="1"/>
                <w:bCs w:val="1"/>
                <w:color w:val="FFFFFF"/>
              </w:rPr>
              <w:t>($)</w:t>
            </w:r>
          </w:p>
        </w:tc>
        <w:tc>
          <w:tcPr>
            <w:tcW w:w="2200" w:type="dxa"/>
            <w:vAlign w:val="bottom"/>
            <w:gridSpan w:val="2"/>
            <w:shd w:val="clear" w:color="auto" w:fill="0E2A35"/>
          </w:tcPr>
          <w:p>
            <w:pPr>
              <w:jc w:val="center"/>
              <w:ind w:left="114"/>
              <w:spacing w:after="0"/>
              <w:rPr>
                <w:sz w:val="20"/>
                <w:szCs w:val="20"/>
                <w:color w:val="auto"/>
              </w:rPr>
            </w:pPr>
            <w:r>
              <w:rPr>
                <w:rFonts w:ascii="Arial" w:cs="Arial" w:eastAsia="Arial" w:hAnsi="Arial"/>
                <w:sz w:val="13"/>
                <w:szCs w:val="13"/>
                <w:b w:val="1"/>
                <w:bCs w:val="1"/>
                <w:color w:val="FFFFFF"/>
                <w:w w:val="96"/>
              </w:rPr>
              <w:t>Reflected in (a))</w:t>
            </w:r>
          </w:p>
        </w:tc>
        <w:tc>
          <w:tcPr>
            <w:tcW w:w="0" w:type="dxa"/>
            <w:vAlign w:val="bottom"/>
          </w:tcPr>
          <w:p>
            <w:pPr>
              <w:spacing w:after="0"/>
              <w:rPr>
                <w:sz w:val="1"/>
                <w:szCs w:val="1"/>
                <w:color w:val="auto"/>
              </w:rPr>
            </w:pPr>
          </w:p>
        </w:tc>
      </w:tr>
      <w:tr>
        <w:trPr>
          <w:trHeight w:val="275"/>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580" w:type="dxa"/>
            <w:vAlign w:val="bottom"/>
            <w:gridSpan w:val="2"/>
            <w:vMerge w:val="restart"/>
          </w:tcPr>
          <w:p>
            <w:pPr>
              <w:jc w:val="right"/>
              <w:ind w:right="237"/>
              <w:spacing w:after="0"/>
              <w:rPr>
                <w:sz w:val="20"/>
                <w:szCs w:val="20"/>
                <w:color w:val="auto"/>
              </w:rPr>
            </w:pPr>
            <w:r>
              <w:rPr>
                <w:rFonts w:ascii="Arial" w:cs="Arial" w:eastAsia="Arial" w:hAnsi="Arial"/>
                <w:sz w:val="14"/>
                <w:szCs w:val="14"/>
                <w:color w:val="0E2A35"/>
              </w:rPr>
              <w:t>6,500</w:t>
            </w:r>
            <w:r>
              <w:rPr>
                <w:rFonts w:ascii="Arial" w:cs="Arial" w:eastAsia="Arial" w:hAnsi="Arial"/>
                <w:sz w:val="23"/>
                <w:szCs w:val="23"/>
                <w:color w:val="0E2A35"/>
                <w:vertAlign w:val="superscript"/>
              </w:rPr>
              <w:t>(3)</w:t>
            </w:r>
          </w:p>
        </w:tc>
        <w:tc>
          <w:tcPr>
            <w:tcW w:w="17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- 2004 Plan</w:t>
            </w:r>
          </w:p>
        </w:tc>
        <w:tc>
          <w:tcPr>
            <w:tcW w:w="1580" w:type="dxa"/>
            <w:vAlign w:val="bottom"/>
            <w:tcBorders>
              <w:bottom w:val="single" w:sz="8" w:color="0E2A35"/>
            </w:tcBorders>
            <w:gridSpan w:val="2"/>
            <w:vMerge w:val="continue"/>
          </w:tcPr>
          <w:p>
            <w:pPr>
              <w:spacing w:after="0"/>
              <w:rPr>
                <w:sz w:val="23"/>
                <w:szCs w:val="23"/>
                <w:color w:val="auto"/>
              </w:rPr>
            </w:pPr>
          </w:p>
        </w:tc>
        <w:tc>
          <w:tcPr>
            <w:tcW w:w="1780" w:type="dxa"/>
            <w:vAlign w:val="bottom"/>
            <w:tcBorders>
              <w:bottom w:val="single" w:sz="8" w:color="0E2A35"/>
            </w:tcBorders>
          </w:tcPr>
          <w:p>
            <w:pPr>
              <w:ind w:left="880"/>
              <w:spacing w:after="0"/>
              <w:rPr>
                <w:sz w:val="20"/>
                <w:szCs w:val="20"/>
                <w:color w:val="auto"/>
              </w:rPr>
            </w:pPr>
            <w:r>
              <w:rPr>
                <w:rFonts w:ascii="Arial" w:cs="Arial" w:eastAsia="Arial" w:hAnsi="Arial"/>
                <w:sz w:val="14"/>
                <w:szCs w:val="14"/>
                <w:color w:val="0E2A35"/>
              </w:rPr>
              <w:t>—</w:t>
            </w:r>
          </w:p>
        </w:tc>
        <w:tc>
          <w:tcPr>
            <w:tcW w:w="2200" w:type="dxa"/>
            <w:vAlign w:val="bottom"/>
            <w:tcBorders>
              <w:bottom w:val="single" w:sz="8" w:color="0E2A35"/>
            </w:tcBorders>
            <w:gridSpan w:val="2"/>
          </w:tcPr>
          <w:p>
            <w:pPr>
              <w:ind w:left="142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8"/>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580" w:type="dxa"/>
            <w:vAlign w:val="bottom"/>
            <w:gridSpan w:val="2"/>
            <w:vMerge w:val="restart"/>
          </w:tcPr>
          <w:p>
            <w:pPr>
              <w:jc w:val="right"/>
              <w:ind w:right="197"/>
              <w:spacing w:after="0"/>
              <w:rPr>
                <w:sz w:val="20"/>
                <w:szCs w:val="20"/>
                <w:color w:val="auto"/>
              </w:rPr>
            </w:pPr>
            <w:r>
              <w:rPr>
                <w:rFonts w:ascii="Arial" w:cs="Arial" w:eastAsia="Arial" w:hAnsi="Arial"/>
                <w:sz w:val="14"/>
                <w:szCs w:val="14"/>
                <w:color w:val="0E2A35"/>
              </w:rPr>
              <w:t>363,311</w:t>
            </w:r>
            <w:r>
              <w:rPr>
                <w:rFonts w:ascii="Arial" w:cs="Arial" w:eastAsia="Arial" w:hAnsi="Arial"/>
                <w:sz w:val="23"/>
                <w:szCs w:val="23"/>
                <w:color w:val="0E2A35"/>
                <w:vertAlign w:val="superscript"/>
              </w:rPr>
              <w:t>(4)</w:t>
            </w:r>
          </w:p>
        </w:tc>
        <w:tc>
          <w:tcPr>
            <w:tcW w:w="17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- 2014 Plan</w:t>
            </w:r>
          </w:p>
        </w:tc>
        <w:tc>
          <w:tcPr>
            <w:tcW w:w="1580" w:type="dxa"/>
            <w:vAlign w:val="bottom"/>
            <w:tcBorders>
              <w:bottom w:val="single" w:sz="8" w:color="0E2A35"/>
            </w:tcBorders>
            <w:gridSpan w:val="2"/>
            <w:vMerge w:val="continue"/>
          </w:tcPr>
          <w:p>
            <w:pPr>
              <w:spacing w:after="0"/>
              <w:rPr>
                <w:sz w:val="23"/>
                <w:szCs w:val="23"/>
                <w:color w:val="auto"/>
              </w:rPr>
            </w:pPr>
          </w:p>
        </w:tc>
        <w:tc>
          <w:tcPr>
            <w:tcW w:w="1780" w:type="dxa"/>
            <w:vAlign w:val="bottom"/>
            <w:tcBorders>
              <w:bottom w:val="single" w:sz="8" w:color="0E2A35"/>
            </w:tcBorders>
          </w:tcPr>
          <w:p>
            <w:pPr>
              <w:jc w:val="center"/>
              <w:ind w:left="194"/>
              <w:spacing w:after="0"/>
              <w:rPr>
                <w:sz w:val="20"/>
                <w:szCs w:val="20"/>
                <w:color w:val="auto"/>
              </w:rPr>
            </w:pPr>
            <w:r>
              <w:rPr>
                <w:rFonts w:ascii="Arial" w:cs="Arial" w:eastAsia="Arial" w:hAnsi="Arial"/>
                <w:sz w:val="14"/>
                <w:szCs w:val="14"/>
                <w:color w:val="0E2A35"/>
              </w:rPr>
              <w:t>34.54</w:t>
            </w:r>
          </w:p>
        </w:tc>
        <w:tc>
          <w:tcPr>
            <w:tcW w:w="2200" w:type="dxa"/>
            <w:vAlign w:val="bottom"/>
            <w:tcBorders>
              <w:bottom w:val="single" w:sz="8" w:color="0E2A35"/>
            </w:tcBorders>
            <w:gridSpan w:val="2"/>
          </w:tcPr>
          <w:p>
            <w:pPr>
              <w:ind w:left="142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68"/>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580" w:type="dxa"/>
            <w:vAlign w:val="bottom"/>
            <w:gridSpan w:val="2"/>
            <w:vMerge w:val="restart"/>
          </w:tcPr>
          <w:p>
            <w:pPr>
              <w:jc w:val="right"/>
              <w:ind w:right="197"/>
              <w:spacing w:after="0"/>
              <w:rPr>
                <w:sz w:val="20"/>
                <w:szCs w:val="20"/>
                <w:color w:val="auto"/>
              </w:rPr>
            </w:pPr>
            <w:r>
              <w:rPr>
                <w:rFonts w:ascii="Arial" w:cs="Arial" w:eastAsia="Arial" w:hAnsi="Arial"/>
                <w:sz w:val="14"/>
                <w:szCs w:val="14"/>
                <w:color w:val="0E2A35"/>
              </w:rPr>
              <w:t>506,671</w:t>
            </w:r>
            <w:r>
              <w:rPr>
                <w:rFonts w:ascii="Arial" w:cs="Arial" w:eastAsia="Arial" w:hAnsi="Arial"/>
                <w:sz w:val="23"/>
                <w:szCs w:val="23"/>
                <w:color w:val="0E2A35"/>
                <w:vertAlign w:val="superscript"/>
              </w:rPr>
              <w:t>(5)</w:t>
            </w:r>
          </w:p>
        </w:tc>
        <w:tc>
          <w:tcPr>
            <w:tcW w:w="1780" w:type="dxa"/>
            <w:vAlign w:val="bottom"/>
          </w:tcPr>
          <w:p>
            <w:pPr>
              <w:spacing w:after="0"/>
              <w:rPr>
                <w:sz w:val="23"/>
                <w:szCs w:val="23"/>
                <w:color w:val="auto"/>
              </w:rPr>
            </w:pPr>
          </w:p>
        </w:tc>
        <w:tc>
          <w:tcPr>
            <w:tcW w:w="2100" w:type="dxa"/>
            <w:vAlign w:val="bottom"/>
            <w:vMerge w:val="restart"/>
          </w:tcPr>
          <w:p>
            <w:pPr>
              <w:ind w:left="940"/>
              <w:spacing w:after="0"/>
              <w:rPr>
                <w:sz w:val="20"/>
                <w:szCs w:val="20"/>
                <w:color w:val="auto"/>
              </w:rPr>
            </w:pPr>
            <w:r>
              <w:rPr>
                <w:rFonts w:ascii="Arial" w:cs="Arial" w:eastAsia="Arial" w:hAnsi="Arial"/>
                <w:sz w:val="14"/>
                <w:szCs w:val="14"/>
                <w:color w:val="0E2A35"/>
              </w:rPr>
              <w:t>4,002,279</w:t>
            </w:r>
            <w:r>
              <w:rPr>
                <w:rFonts w:ascii="Arial" w:cs="Arial" w:eastAsia="Arial" w:hAnsi="Arial"/>
                <w:sz w:val="23"/>
                <w:szCs w:val="23"/>
                <w:color w:val="0E2A35"/>
                <w:vertAlign w:val="superscript"/>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- 2019 Plan</w:t>
            </w:r>
          </w:p>
        </w:tc>
        <w:tc>
          <w:tcPr>
            <w:tcW w:w="1580" w:type="dxa"/>
            <w:vAlign w:val="bottom"/>
            <w:tcBorders>
              <w:bottom w:val="single" w:sz="8" w:color="0E2A35"/>
            </w:tcBorders>
            <w:gridSpan w:val="2"/>
            <w:vMerge w:val="continue"/>
          </w:tcPr>
          <w:p>
            <w:pPr>
              <w:spacing w:after="0"/>
              <w:rPr>
                <w:sz w:val="23"/>
                <w:szCs w:val="23"/>
                <w:color w:val="auto"/>
              </w:rPr>
            </w:pPr>
          </w:p>
        </w:tc>
        <w:tc>
          <w:tcPr>
            <w:tcW w:w="1780" w:type="dxa"/>
            <w:vAlign w:val="bottom"/>
            <w:tcBorders>
              <w:bottom w:val="single" w:sz="8" w:color="0E2A35"/>
            </w:tcBorders>
          </w:tcPr>
          <w:p>
            <w:pPr>
              <w:ind w:left="900"/>
              <w:spacing w:after="0"/>
              <w:rPr>
                <w:sz w:val="20"/>
                <w:szCs w:val="20"/>
                <w:color w:val="auto"/>
              </w:rPr>
            </w:pPr>
            <w:r>
              <w:rPr>
                <w:rFonts w:ascii="Arial" w:cs="Arial" w:eastAsia="Arial" w:hAnsi="Arial"/>
                <w:sz w:val="14"/>
                <w:szCs w:val="14"/>
                <w:color w:val="0E2A35"/>
              </w:rPr>
              <w:t>51.32</w:t>
            </w:r>
          </w:p>
        </w:tc>
        <w:tc>
          <w:tcPr>
            <w:tcW w:w="2100" w:type="dxa"/>
            <w:vAlign w:val="bottom"/>
            <w:tcBorders>
              <w:bottom w:val="single" w:sz="8" w:color="0E2A35"/>
            </w:tcBorders>
            <w:vMerge w:val="continue"/>
          </w:tcPr>
          <w:p>
            <w:pPr>
              <w:spacing w:after="0"/>
              <w:rPr>
                <w:sz w:val="23"/>
                <w:szCs w:val="23"/>
                <w:color w:val="auto"/>
              </w:rPr>
            </w:pPr>
          </w:p>
        </w:tc>
        <w:tc>
          <w:tcPr>
            <w:tcW w:w="100" w:type="dxa"/>
            <w:vAlign w:val="bottom"/>
            <w:tcBorders>
              <w:bottom w:val="single" w:sz="8" w:color="0E2A35"/>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approved by</w:t>
            </w:r>
          </w:p>
        </w:tc>
        <w:tc>
          <w:tcPr>
            <w:tcW w:w="140" w:type="dxa"/>
            <w:vAlign w:val="bottom"/>
          </w:tcPr>
          <w:p>
            <w:pPr>
              <w:spacing w:after="0"/>
              <w:rPr>
                <w:sz w:val="23"/>
                <w:szCs w:val="23"/>
                <w:color w:val="auto"/>
              </w:rPr>
            </w:pPr>
          </w:p>
        </w:tc>
        <w:tc>
          <w:tcPr>
            <w:tcW w:w="1440" w:type="dxa"/>
            <w:vAlign w:val="bottom"/>
            <w:vMerge w:val="restart"/>
          </w:tcPr>
          <w:p>
            <w:pPr>
              <w:jc w:val="right"/>
              <w:ind w:right="217"/>
              <w:spacing w:after="0"/>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(7)</w:t>
            </w:r>
          </w:p>
        </w:tc>
        <w:tc>
          <w:tcPr>
            <w:tcW w:w="1780" w:type="dxa"/>
            <w:vAlign w:val="bottom"/>
          </w:tcPr>
          <w:p>
            <w:pPr>
              <w:spacing w:after="0"/>
              <w:rPr>
                <w:sz w:val="23"/>
                <w:szCs w:val="23"/>
                <w:color w:val="auto"/>
              </w:rPr>
            </w:pPr>
          </w:p>
        </w:tc>
        <w:tc>
          <w:tcPr>
            <w:tcW w:w="2100" w:type="dxa"/>
            <w:vAlign w:val="bottom"/>
            <w:vMerge w:val="restart"/>
          </w:tcPr>
          <w:p>
            <w:pPr>
              <w:ind w:left="1060"/>
              <w:spacing w:after="0"/>
              <w:rPr>
                <w:sz w:val="20"/>
                <w:szCs w:val="20"/>
                <w:color w:val="auto"/>
              </w:rPr>
            </w:pPr>
            <w:r>
              <w:rPr>
                <w:rFonts w:ascii="Arial" w:cs="Arial" w:eastAsia="Arial" w:hAnsi="Arial"/>
                <w:sz w:val="14"/>
                <w:szCs w:val="14"/>
                <w:color w:val="0E2A35"/>
              </w:rPr>
              <w:t>104,511</w:t>
            </w:r>
            <w:r>
              <w:rPr>
                <w:rFonts w:ascii="Arial" w:cs="Arial" w:eastAsia="Arial" w:hAnsi="Arial"/>
                <w:sz w:val="23"/>
                <w:szCs w:val="23"/>
                <w:color w:val="0E2A35"/>
                <w:vertAlign w:val="superscript"/>
              </w:rPr>
              <w:t>(8)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 – ESPP</w:t>
            </w:r>
          </w:p>
        </w:tc>
        <w:tc>
          <w:tcPr>
            <w:tcW w:w="140" w:type="dxa"/>
            <w:vAlign w:val="bottom"/>
            <w:tcBorders>
              <w:bottom w:val="single" w:sz="8" w:color="0E2A35"/>
            </w:tcBorders>
          </w:tcPr>
          <w:p>
            <w:pPr>
              <w:spacing w:after="0"/>
              <w:rPr>
                <w:sz w:val="23"/>
                <w:szCs w:val="23"/>
                <w:color w:val="auto"/>
              </w:rPr>
            </w:pPr>
          </w:p>
        </w:tc>
        <w:tc>
          <w:tcPr>
            <w:tcW w:w="1440" w:type="dxa"/>
            <w:vAlign w:val="bottom"/>
            <w:tcBorders>
              <w:bottom w:val="single" w:sz="8" w:color="0E2A35"/>
            </w:tcBorders>
            <w:vMerge w:val="continue"/>
          </w:tcPr>
          <w:p>
            <w:pPr>
              <w:spacing w:after="0"/>
              <w:rPr>
                <w:sz w:val="23"/>
                <w:szCs w:val="23"/>
                <w:color w:val="auto"/>
              </w:rPr>
            </w:pPr>
          </w:p>
        </w:tc>
        <w:tc>
          <w:tcPr>
            <w:tcW w:w="1780" w:type="dxa"/>
            <w:vAlign w:val="bottom"/>
            <w:tcBorders>
              <w:bottom w:val="single" w:sz="8" w:color="0E2A35"/>
            </w:tcBorders>
          </w:tcPr>
          <w:p>
            <w:pPr>
              <w:ind w:left="880"/>
              <w:spacing w:after="0"/>
              <w:rPr>
                <w:sz w:val="20"/>
                <w:szCs w:val="20"/>
                <w:color w:val="auto"/>
              </w:rPr>
            </w:pPr>
            <w:r>
              <w:rPr>
                <w:rFonts w:ascii="Arial" w:cs="Arial" w:eastAsia="Arial" w:hAnsi="Arial"/>
                <w:sz w:val="14"/>
                <w:szCs w:val="14"/>
                <w:color w:val="0E2A35"/>
              </w:rPr>
              <w:t>—</w:t>
            </w:r>
          </w:p>
        </w:tc>
        <w:tc>
          <w:tcPr>
            <w:tcW w:w="2100" w:type="dxa"/>
            <w:vAlign w:val="bottom"/>
            <w:tcBorders>
              <w:bottom w:val="single" w:sz="8" w:color="0E2A35"/>
            </w:tcBorders>
            <w:vMerge w:val="continue"/>
          </w:tcPr>
          <w:p>
            <w:pPr>
              <w:spacing w:after="0"/>
              <w:rPr>
                <w:sz w:val="23"/>
                <w:szCs w:val="23"/>
                <w:color w:val="auto"/>
              </w:rPr>
            </w:pPr>
          </w:p>
        </w:tc>
        <w:tc>
          <w:tcPr>
            <w:tcW w:w="100" w:type="dxa"/>
            <w:vAlign w:val="bottom"/>
            <w:tcBorders>
              <w:bottom w:val="single" w:sz="8" w:color="0E2A35"/>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Pr>
          <w:p>
            <w:pPr>
              <w:ind w:left="140"/>
              <w:spacing w:after="0"/>
              <w:rPr>
                <w:sz w:val="20"/>
                <w:szCs w:val="20"/>
                <w:color w:val="auto"/>
              </w:rPr>
            </w:pPr>
            <w:r>
              <w:rPr>
                <w:rFonts w:ascii="Arial" w:cs="Arial" w:eastAsia="Arial" w:hAnsi="Arial"/>
                <w:sz w:val="14"/>
                <w:szCs w:val="14"/>
                <w:color w:val="0E2A35"/>
              </w:rPr>
              <w:t>Equity compensation plans not approved by</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20" w:type="dxa"/>
            <w:vAlign w:val="bottom"/>
            <w:tcBorders>
              <w:bottom w:val="single" w:sz="8" w:color="0E2A35"/>
            </w:tcBorders>
          </w:tcPr>
          <w:p>
            <w:pPr>
              <w:ind w:left="320"/>
              <w:spacing w:after="0"/>
              <w:rPr>
                <w:sz w:val="20"/>
                <w:szCs w:val="20"/>
                <w:color w:val="auto"/>
              </w:rPr>
            </w:pPr>
            <w:r>
              <w:rPr>
                <w:rFonts w:ascii="Arial" w:cs="Arial" w:eastAsia="Arial" w:hAnsi="Arial"/>
                <w:sz w:val="14"/>
                <w:szCs w:val="14"/>
                <w:color w:val="0E2A35"/>
              </w:rPr>
              <w:t>shareholders</w:t>
            </w:r>
            <w:r>
              <w:rPr>
                <w:rFonts w:ascii="Arial" w:cs="Arial" w:eastAsia="Arial" w:hAnsi="Arial"/>
                <w:sz w:val="23"/>
                <w:szCs w:val="23"/>
                <w:color w:val="0E2A35"/>
                <w:vertAlign w:val="superscript"/>
              </w:rPr>
              <w:t>(9)</w:t>
            </w:r>
          </w:p>
        </w:tc>
        <w:tc>
          <w:tcPr>
            <w:tcW w:w="1580" w:type="dxa"/>
            <w:vAlign w:val="bottom"/>
            <w:tcBorders>
              <w:bottom w:val="single" w:sz="8" w:color="0E2A35"/>
            </w:tcBorders>
            <w:gridSpan w:val="2"/>
          </w:tcPr>
          <w:p>
            <w:pPr>
              <w:jc w:val="right"/>
              <w:ind w:right="157"/>
              <w:spacing w:after="0"/>
              <w:rPr>
                <w:sz w:val="20"/>
                <w:szCs w:val="20"/>
                <w:color w:val="auto"/>
              </w:rPr>
            </w:pPr>
            <w:r>
              <w:rPr>
                <w:rFonts w:ascii="Arial" w:cs="Arial" w:eastAsia="Arial" w:hAnsi="Arial"/>
                <w:sz w:val="14"/>
                <w:szCs w:val="14"/>
                <w:color w:val="0E2A35"/>
              </w:rPr>
              <w:t>37,999</w:t>
            </w:r>
            <w:r>
              <w:rPr>
                <w:rFonts w:ascii="Arial" w:cs="Arial" w:eastAsia="Arial" w:hAnsi="Arial"/>
                <w:sz w:val="23"/>
                <w:szCs w:val="23"/>
                <w:color w:val="0E2A35"/>
                <w:vertAlign w:val="superscript"/>
              </w:rPr>
              <w:t>(10)</w:t>
            </w:r>
          </w:p>
        </w:tc>
        <w:tc>
          <w:tcPr>
            <w:tcW w:w="1780" w:type="dxa"/>
            <w:vAlign w:val="bottom"/>
            <w:tcBorders>
              <w:bottom w:val="single" w:sz="8" w:color="0E2A35"/>
            </w:tcBorders>
          </w:tcPr>
          <w:p>
            <w:pPr>
              <w:ind w:left="880"/>
              <w:spacing w:after="0"/>
              <w:rPr>
                <w:sz w:val="20"/>
                <w:szCs w:val="20"/>
                <w:color w:val="auto"/>
              </w:rPr>
            </w:pPr>
            <w:r>
              <w:rPr>
                <w:rFonts w:ascii="Arial" w:cs="Arial" w:eastAsia="Arial" w:hAnsi="Arial"/>
                <w:sz w:val="14"/>
                <w:szCs w:val="14"/>
                <w:color w:val="0E2A35"/>
              </w:rPr>
              <w:t>—</w:t>
            </w:r>
          </w:p>
        </w:tc>
        <w:tc>
          <w:tcPr>
            <w:tcW w:w="2200" w:type="dxa"/>
            <w:vAlign w:val="bottom"/>
            <w:tcBorders>
              <w:bottom w:val="single" w:sz="8" w:color="0E2A35"/>
            </w:tcBorders>
            <w:gridSpan w:val="2"/>
          </w:tcPr>
          <w:p>
            <w:pPr>
              <w:ind w:left="1420"/>
              <w:spacing w:after="0" w:line="284" w:lineRule="exact"/>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(11)</w:t>
            </w:r>
          </w:p>
        </w:tc>
        <w:tc>
          <w:tcPr>
            <w:tcW w:w="0" w:type="dxa"/>
            <w:vAlign w:val="bottom"/>
          </w:tcPr>
          <w:p>
            <w:pPr>
              <w:spacing w:after="0"/>
              <w:rPr>
                <w:sz w:val="1"/>
                <w:szCs w:val="1"/>
                <w:color w:val="auto"/>
              </w:rPr>
            </w:pPr>
          </w:p>
        </w:tc>
      </w:tr>
      <w:tr>
        <w:trPr>
          <w:trHeight w:val="278"/>
        </w:trPr>
        <w:tc>
          <w:tcPr>
            <w:tcW w:w="3720" w:type="dxa"/>
            <w:vAlign w:val="bottom"/>
          </w:tcPr>
          <w:p>
            <w:pPr>
              <w:ind w:left="140"/>
              <w:spacing w:after="0"/>
              <w:rPr>
                <w:sz w:val="20"/>
                <w:szCs w:val="20"/>
                <w:color w:val="auto"/>
              </w:rPr>
            </w:pPr>
            <w:r>
              <w:rPr>
                <w:rFonts w:ascii="Arial" w:cs="Arial" w:eastAsia="Arial" w:hAnsi="Arial"/>
                <w:sz w:val="14"/>
                <w:szCs w:val="14"/>
                <w:color w:val="0E2A35"/>
              </w:rPr>
              <w:t>Total</w:t>
            </w:r>
          </w:p>
        </w:tc>
        <w:tc>
          <w:tcPr>
            <w:tcW w:w="1580" w:type="dxa"/>
            <w:vAlign w:val="bottom"/>
            <w:gridSpan w:val="2"/>
          </w:tcPr>
          <w:p>
            <w:pPr>
              <w:jc w:val="right"/>
              <w:ind w:right="377"/>
              <w:spacing w:after="0"/>
              <w:rPr>
                <w:sz w:val="20"/>
                <w:szCs w:val="20"/>
                <w:color w:val="auto"/>
              </w:rPr>
            </w:pPr>
            <w:r>
              <w:rPr>
                <w:rFonts w:ascii="Arial" w:cs="Arial" w:eastAsia="Arial" w:hAnsi="Arial"/>
                <w:sz w:val="14"/>
                <w:szCs w:val="14"/>
                <w:color w:val="0E2A35"/>
              </w:rPr>
              <w:t>914,481</w:t>
            </w:r>
          </w:p>
        </w:tc>
        <w:tc>
          <w:tcPr>
            <w:tcW w:w="1780" w:type="dxa"/>
            <w:vAlign w:val="bottom"/>
          </w:tcPr>
          <w:p>
            <w:pPr>
              <w:spacing w:after="0"/>
              <w:rPr>
                <w:sz w:val="24"/>
                <w:szCs w:val="24"/>
                <w:color w:val="auto"/>
              </w:rPr>
            </w:pPr>
          </w:p>
        </w:tc>
        <w:tc>
          <w:tcPr>
            <w:tcW w:w="2100" w:type="dxa"/>
            <w:vAlign w:val="bottom"/>
          </w:tcPr>
          <w:p>
            <w:pPr>
              <w:ind w:left="940"/>
              <w:spacing w:after="0"/>
              <w:rPr>
                <w:sz w:val="20"/>
                <w:szCs w:val="20"/>
                <w:color w:val="auto"/>
              </w:rPr>
            </w:pPr>
            <w:r>
              <w:rPr>
                <w:rFonts w:ascii="Arial" w:cs="Arial" w:eastAsia="Arial" w:hAnsi="Arial"/>
                <w:sz w:val="14"/>
                <w:szCs w:val="14"/>
                <w:color w:val="0E2A35"/>
              </w:rPr>
              <w:t>4,035,636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720" w:type="dxa"/>
            <w:vAlign w:val="bottom"/>
            <w:tcBorders>
              <w:bottom w:val="single" w:sz="8" w:color="0E2A35"/>
            </w:tcBorders>
          </w:tcPr>
          <w:p>
            <w:pPr>
              <w:spacing w:after="0"/>
              <w:rPr>
                <w:sz w:val="3"/>
                <w:szCs w:val="3"/>
                <w:color w:val="auto"/>
              </w:rPr>
            </w:pPr>
          </w:p>
        </w:tc>
        <w:tc>
          <w:tcPr>
            <w:tcW w:w="140" w:type="dxa"/>
            <w:vAlign w:val="bottom"/>
            <w:tcBorders>
              <w:bottom w:val="single" w:sz="8" w:color="0E2A35"/>
            </w:tcBorders>
          </w:tcPr>
          <w:p>
            <w:pPr>
              <w:spacing w:after="0"/>
              <w:rPr>
                <w:sz w:val="3"/>
                <w:szCs w:val="3"/>
                <w:color w:val="auto"/>
              </w:rPr>
            </w:pPr>
          </w:p>
        </w:tc>
        <w:tc>
          <w:tcPr>
            <w:tcW w:w="1440" w:type="dxa"/>
            <w:vAlign w:val="bottom"/>
            <w:tcBorders>
              <w:bottom w:val="single" w:sz="8" w:color="0E2A35"/>
            </w:tcBorders>
          </w:tcPr>
          <w:p>
            <w:pPr>
              <w:spacing w:after="0"/>
              <w:rPr>
                <w:sz w:val="3"/>
                <w:szCs w:val="3"/>
                <w:color w:val="auto"/>
              </w:rPr>
            </w:pPr>
          </w:p>
        </w:tc>
        <w:tc>
          <w:tcPr>
            <w:tcW w:w="1780" w:type="dxa"/>
            <w:vAlign w:val="bottom"/>
            <w:tcBorders>
              <w:bottom w:val="single" w:sz="8" w:color="0E2A35"/>
            </w:tcBorders>
          </w:tcPr>
          <w:p>
            <w:pPr>
              <w:spacing w:after="0"/>
              <w:rPr>
                <w:sz w:val="3"/>
                <w:szCs w:val="3"/>
                <w:color w:val="auto"/>
              </w:rPr>
            </w:pPr>
          </w:p>
        </w:tc>
        <w:tc>
          <w:tcPr>
            <w:tcW w:w="2100" w:type="dxa"/>
            <w:vAlign w:val="bottom"/>
            <w:tcBorders>
              <w:bottom w:val="single" w:sz="8" w:color="0E2A35"/>
            </w:tcBorders>
          </w:tcPr>
          <w:p>
            <w:pPr>
              <w:spacing w:after="0"/>
              <w:rPr>
                <w:sz w:val="3"/>
                <w:szCs w:val="3"/>
                <w:color w:val="auto"/>
              </w:rPr>
            </w:pPr>
          </w:p>
        </w:tc>
        <w:tc>
          <w:tcPr>
            <w:tcW w:w="10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-2630805</wp:posOffset>
            </wp:positionV>
            <wp:extent cx="33775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82" w:lineRule="exact"/>
        <w:rPr>
          <w:sz w:val="20"/>
          <w:szCs w:val="20"/>
          <w:color w:val="auto"/>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Number of securities to be issued in the table are shown in whole numbers.</w:t>
      </w:r>
    </w:p>
    <w:p>
      <w:pPr>
        <w:spacing w:after="0" w:line="39" w:lineRule="exact"/>
        <w:rPr>
          <w:rFonts w:ascii="Arial" w:cs="Arial" w:eastAsia="Arial" w:hAnsi="Arial"/>
          <w:sz w:val="13"/>
          <w:szCs w:val="13"/>
          <w:color w:val="0E2A35"/>
        </w:rPr>
      </w:pPr>
    </w:p>
    <w:p>
      <w:pPr>
        <w:ind w:left="1220" w:right="960" w:hanging="360"/>
        <w:spacing w:after="0" w:line="230"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the weighted average exercise price of outstanding stock options only. Restricted share awards do not have an exercise price so weighted average is not applicable.</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unvested share awards granted under the 2004 Incentive Compensation Plan (2004 Plan). No new grants may be made under the 2004 Plan.</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2014 Plan. The 2014 Plan replaced the 2004 Plan effective January 1, 2014.</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2019 Plan, which replaced the 2014 Plan effective on December 11, 2018.</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shares available for grant of awards under the 2019 Plan as of August 28, 2021.</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unvested stock awards granted under the Winnebago Industries, Inc. Employee Stock Purchase Plan (ESPP).</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shares available for issuance under the ESPP as of August 28, 2021.</w:t>
      </w:r>
    </w:p>
    <w:p>
      <w:pPr>
        <w:spacing w:after="0" w:line="39" w:lineRule="exact"/>
        <w:rPr>
          <w:rFonts w:ascii="Arial" w:cs="Arial" w:eastAsia="Arial" w:hAnsi="Arial"/>
          <w:sz w:val="13"/>
          <w:szCs w:val="13"/>
          <w:color w:val="0E2A35"/>
        </w:rPr>
      </w:pPr>
    </w:p>
    <w:p>
      <w:pPr>
        <w:ind w:left="1220" w:right="1160" w:hanging="360"/>
        <w:spacing w:after="0" w:line="225"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Our sole equity compensation plan not previously submitted to our shareholders for approval is the Directors' Deferred Compensation Plan. The Board may terminate the Directors' Deferred Compensation Plan at any time. If not terminated earlier, the Directors' Deferred Compensation Plan will automatically terminate on June 30, 2023.</w:t>
      </w:r>
    </w:p>
    <w:p>
      <w:pPr>
        <w:spacing w:after="0" w:line="38" w:lineRule="exact"/>
        <w:rPr>
          <w:rFonts w:ascii="Arial" w:cs="Arial" w:eastAsia="Arial" w:hAnsi="Arial"/>
          <w:sz w:val="13"/>
          <w:szCs w:val="13"/>
          <w:color w:val="0E2A35"/>
        </w:rPr>
      </w:pPr>
    </w:p>
    <w:p>
      <w:pPr>
        <w:ind w:left="1220" w:right="1060" w:hanging="360"/>
        <w:spacing w:after="0" w:line="230"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Represents shares of common stock issued to a trust which underlie stock units, payable on a one-for-one basis, credited to stock unit accounts as of August 28, 2021 under the Directors' Deferred Compensation Plan.</w:t>
      </w:r>
    </w:p>
    <w:p>
      <w:pPr>
        <w:spacing w:after="0" w:line="37" w:lineRule="exact"/>
        <w:rPr>
          <w:rFonts w:ascii="Arial" w:cs="Arial" w:eastAsia="Arial" w:hAnsi="Arial"/>
          <w:sz w:val="13"/>
          <w:szCs w:val="13"/>
          <w:color w:val="0E2A35"/>
        </w:rPr>
      </w:pPr>
    </w:p>
    <w:p>
      <w:pPr>
        <w:ind w:left="1220" w:right="940" w:hanging="360"/>
        <w:spacing w:after="0" w:line="223" w:lineRule="auto"/>
        <w:tabs>
          <w:tab w:leader="none" w:pos="1220" w:val="left"/>
        </w:tabs>
        <w:numPr>
          <w:ilvl w:val="0"/>
          <w:numId w:val="58"/>
        </w:numPr>
        <w:rPr>
          <w:rFonts w:ascii="Arial" w:cs="Arial" w:eastAsia="Arial" w:hAnsi="Arial"/>
          <w:sz w:val="13"/>
          <w:szCs w:val="13"/>
          <w:color w:val="0E2A35"/>
        </w:rPr>
      </w:pPr>
      <w:r>
        <w:rPr>
          <w:rFonts w:ascii="Arial" w:cs="Arial" w:eastAsia="Arial" w:hAnsi="Arial"/>
          <w:sz w:val="13"/>
          <w:szCs w:val="13"/>
          <w:color w:val="0E2A35"/>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65</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0" w:name="page71"/>
    <w:bookmarkEnd w:id="7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900"/>
        <w:spacing w:after="0" w:line="266" w:lineRule="auto"/>
        <w:rPr>
          <w:sz w:val="20"/>
          <w:szCs w:val="20"/>
          <w:color w:val="auto"/>
        </w:rPr>
      </w:pPr>
      <w:r>
        <w:rPr>
          <w:rFonts w:ascii="Arial" w:cs="Arial" w:eastAsia="Arial" w:hAnsi="Arial"/>
          <w:sz w:val="32"/>
          <w:szCs w:val="32"/>
          <w:b w:val="1"/>
          <w:bCs w:val="1"/>
          <w:color w:val="0E2A35"/>
        </w:rPr>
        <w:t>Proposal 3 – Ratification of the Appointment of Independent Registered Public Accountant for the Fiscal Year Ending August 27, 2022</w:t>
      </w:r>
    </w:p>
    <w:p>
      <w:pPr>
        <w:spacing w:after="0" w:line="124"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Deloitte &amp; Touche LLP (Deloitte) was appointed by the Audit Committee as our independent registered public accountant for the fiscal year ending August 27, 2022.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2020 and fiscal 2021, and a description of our policy regarding the approval of independent registered public accountant provision of audit and non-audit services, see “Independent Registered Public Accountant’s Fees and Services” below.</w:t>
      </w:r>
    </w:p>
    <w:p>
      <w:pPr>
        <w:spacing w:after="0" w:line="168"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Although ratification by the shareholders is not required by law, the Board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76" w:lineRule="exact"/>
        <w:rPr>
          <w:sz w:val="20"/>
          <w:szCs w:val="20"/>
          <w:color w:val="auto"/>
        </w:rPr>
      </w:pPr>
    </w:p>
    <w:p>
      <w:pPr>
        <w:ind w:left="860" w:right="980"/>
        <w:spacing w:after="0" w:line="260" w:lineRule="auto"/>
        <w:rPr>
          <w:sz w:val="20"/>
          <w:szCs w:val="20"/>
          <w:color w:val="auto"/>
        </w:rPr>
      </w:pPr>
      <w:r>
        <w:rPr>
          <w:rFonts w:ascii="Arial" w:cs="Arial" w:eastAsia="Arial" w:hAnsi="Arial"/>
          <w:sz w:val="16"/>
          <w:szCs w:val="16"/>
          <w:color w:val="0E2A35"/>
        </w:rPr>
        <w:t>Passage of the proposal requires the affirmative vote of a majority of the shares entitled to vote on the proposal and represented in person or by proxy at the Annual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28575</wp:posOffset>
            </wp:positionV>
            <wp:extent cx="5074920" cy="737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74920" cy="737235"/>
                    </a:xfrm>
                    <a:prstGeom prst="rect">
                      <a:avLst/>
                    </a:prstGeom>
                    <a:noFill/>
                  </pic:spPr>
                </pic:pic>
              </a:graphicData>
            </a:graphic>
          </wp:anchor>
        </w:drawing>
      </w:r>
    </w:p>
    <w:p>
      <w:pPr>
        <w:spacing w:after="0" w:line="137"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FFFFFF"/>
        </w:rPr>
        <w:t>YOUR BOARD OF DIRECTORS UNANIMOUSLY RECOMMENDS THAT YOU</w:t>
      </w:r>
    </w:p>
    <w:p>
      <w:pPr>
        <w:spacing w:after="0" w:line="49" w:lineRule="exact"/>
        <w:rPr>
          <w:sz w:val="20"/>
          <w:szCs w:val="20"/>
          <w:color w:val="auto"/>
        </w:rPr>
      </w:pPr>
    </w:p>
    <w:p>
      <w:pPr>
        <w:ind w:left="2340" w:right="1960" w:hanging="616"/>
        <w:spacing w:after="0" w:line="181" w:lineRule="auto"/>
        <w:tabs>
          <w:tab w:leader="none" w:pos="2340" w:val="left"/>
        </w:tabs>
        <w:numPr>
          <w:ilvl w:val="0"/>
          <w:numId w:val="59"/>
        </w:numPr>
        <w:rPr>
          <w:rFonts w:ascii="MS PGothic" w:cs="MS PGothic" w:eastAsia="MS PGothic" w:hAnsi="MS PGothic"/>
          <w:sz w:val="48"/>
          <w:szCs w:val="48"/>
          <w:color w:val="FFFFFF"/>
        </w:rPr>
      </w:pPr>
      <w:r>
        <w:rPr>
          <w:rFonts w:ascii="Arial" w:cs="Arial" w:eastAsia="Arial" w:hAnsi="Arial"/>
          <w:sz w:val="19"/>
          <w:szCs w:val="19"/>
          <w:b w:val="1"/>
          <w:bCs w:val="1"/>
          <w:color w:val="FFFFFF"/>
        </w:rPr>
        <w:t>VOTE FOR THE RATIFICATION OF THE APPOINTMENT OF DELOITTE &amp; TOUCHE LLP AS OUR INDEPENDENT REGISTERED PUBLIC ACCOUNTANT FOR THE FISCAL YEAR ENDING AUGUST 27, 2022.</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66</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1" w:name="page72"/>
    <w:bookmarkEnd w:id="7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Report of the Audit Committee</w:t>
      </w:r>
    </w:p>
    <w:p>
      <w:pPr>
        <w:spacing w:after="0" w:line="224" w:lineRule="exact"/>
        <w:rPr>
          <w:sz w:val="20"/>
          <w:szCs w:val="20"/>
          <w:color w:val="auto"/>
        </w:rPr>
      </w:pPr>
    </w:p>
    <w:p>
      <w:pPr>
        <w:ind w:left="860" w:right="1140"/>
        <w:spacing w:after="0" w:line="253" w:lineRule="auto"/>
        <w:rPr>
          <w:sz w:val="20"/>
          <w:szCs w:val="20"/>
          <w:color w:val="auto"/>
        </w:rPr>
      </w:pPr>
      <w:r>
        <w:rPr>
          <w:rFonts w:ascii="Arial" w:cs="Arial" w:eastAsia="Arial" w:hAnsi="Arial"/>
          <w:sz w:val="16"/>
          <w:szCs w:val="16"/>
          <w:color w:val="0E2A35"/>
        </w:rPr>
        <w:t>The Audit Committee serves as the representative of the Board for general oversight of our financial accounting and reporting, systems of internal control and audit process, and monitoring compliance with laws, regulations, and standards of business conduct.</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Management is responsible for the financial statements and the reporting process, including the system of internal controls.</w:t>
      </w:r>
    </w:p>
    <w:p>
      <w:pPr>
        <w:spacing w:after="0" w:line="194" w:lineRule="exact"/>
        <w:rPr>
          <w:sz w:val="20"/>
          <w:szCs w:val="20"/>
          <w:color w:val="auto"/>
        </w:rPr>
      </w:pPr>
    </w:p>
    <w:p>
      <w:pPr>
        <w:ind w:left="860" w:right="1040"/>
        <w:spacing w:after="0" w:line="249" w:lineRule="auto"/>
        <w:rPr>
          <w:sz w:val="20"/>
          <w:szCs w:val="20"/>
          <w:color w:val="auto"/>
        </w:rPr>
      </w:pPr>
      <w:r>
        <w:rPr>
          <w:rFonts w:ascii="Arial" w:cs="Arial" w:eastAsia="Arial" w:hAnsi="Arial"/>
          <w:sz w:val="16"/>
          <w:szCs w:val="16"/>
          <w:color w:val="0E2A35"/>
        </w:rPr>
        <w:t>We retained PricewaterhouseCoopers LLP (PwC) to act as our internal audit function. In this role, PwC assisted management with completing its assessment of our internal controls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64" w:lineRule="exact"/>
        <w:rPr>
          <w:sz w:val="20"/>
          <w:szCs w:val="20"/>
          <w:color w:val="auto"/>
        </w:rPr>
      </w:pPr>
    </w:p>
    <w:p>
      <w:pPr>
        <w:ind w:left="860" w:right="900"/>
        <w:spacing w:after="0" w:line="253" w:lineRule="auto"/>
        <w:rPr>
          <w:sz w:val="20"/>
          <w:szCs w:val="20"/>
          <w:color w:val="auto"/>
        </w:rPr>
      </w:pPr>
      <w:r>
        <w:rPr>
          <w:rFonts w:ascii="Arial" w:cs="Arial" w:eastAsia="Arial" w:hAnsi="Arial"/>
          <w:sz w:val="16"/>
          <w:szCs w:val="16"/>
          <w:color w:val="0E2A35"/>
        </w:rPr>
        <w:t>The Audit Committee reviews the Company's financial reporting process on behalf of the Board. In fulfilling its responsibilities, the Audit Committee has reviewed and discussed the Company's audited financial statements to be included in the 2021 Form 10-K with management and the independent accountants. The Audit Committee reports as follows:</w:t>
      </w:r>
    </w:p>
    <w:p>
      <w:pPr>
        <w:spacing w:after="0" w:line="161" w:lineRule="exact"/>
        <w:rPr>
          <w:sz w:val="20"/>
          <w:szCs w:val="20"/>
          <w:color w:val="auto"/>
        </w:rPr>
      </w:pPr>
    </w:p>
    <w:p>
      <w:pPr>
        <w:ind w:left="1580" w:right="900" w:hanging="360"/>
        <w:spacing w:after="0" w:line="260" w:lineRule="auto"/>
        <w:tabs>
          <w:tab w:leader="none" w:pos="1580" w:val="left"/>
        </w:tabs>
        <w:numPr>
          <w:ilvl w:val="0"/>
          <w:numId w:val="60"/>
        </w:numPr>
        <w:rPr>
          <w:rFonts w:ascii="Arial" w:cs="Arial" w:eastAsia="Arial" w:hAnsi="Arial"/>
          <w:sz w:val="16"/>
          <w:szCs w:val="16"/>
          <w:color w:val="C7D265"/>
        </w:rPr>
      </w:pPr>
      <w:r>
        <w:rPr>
          <w:rFonts w:ascii="Arial" w:cs="Arial" w:eastAsia="Arial" w:hAnsi="Arial"/>
          <w:sz w:val="16"/>
          <w:szCs w:val="16"/>
          <w:color w:val="0E2A35"/>
        </w:rPr>
        <w:t>The Audit Committee has reviewed and discussed the Company’s audited financial statements for the fiscal year ended August 28, 2021 with the Company’s management.</w:t>
      </w:r>
    </w:p>
    <w:p>
      <w:pPr>
        <w:spacing w:after="0" w:line="168" w:lineRule="exact"/>
        <w:rPr>
          <w:rFonts w:ascii="Arial" w:cs="Arial" w:eastAsia="Arial" w:hAnsi="Arial"/>
          <w:sz w:val="16"/>
          <w:szCs w:val="16"/>
          <w:color w:val="C7D265"/>
        </w:rPr>
      </w:pPr>
    </w:p>
    <w:p>
      <w:pPr>
        <w:ind w:left="1580" w:right="1020" w:hanging="360"/>
        <w:spacing w:after="0" w:line="260" w:lineRule="auto"/>
        <w:tabs>
          <w:tab w:leader="none" w:pos="1580" w:val="left"/>
        </w:tabs>
        <w:numPr>
          <w:ilvl w:val="0"/>
          <w:numId w:val="60"/>
        </w:numPr>
        <w:rPr>
          <w:rFonts w:ascii="Arial" w:cs="Arial" w:eastAsia="Arial" w:hAnsi="Arial"/>
          <w:sz w:val="16"/>
          <w:szCs w:val="16"/>
          <w:color w:val="C7D265"/>
        </w:rPr>
      </w:pPr>
      <w:r>
        <w:rPr>
          <w:rFonts w:ascii="Arial" w:cs="Arial" w:eastAsia="Arial" w:hAnsi="Arial"/>
          <w:sz w:val="16"/>
          <w:szCs w:val="16"/>
          <w:color w:val="0E2A35"/>
        </w:rPr>
        <w:t>The Audit Committee has discussed with Deloitte the matters required to be discussed by the applicable requirements of the PCAOB and the SEC.</w:t>
      </w:r>
    </w:p>
    <w:p>
      <w:pPr>
        <w:spacing w:after="0" w:line="154" w:lineRule="exact"/>
        <w:rPr>
          <w:rFonts w:ascii="Arial" w:cs="Arial" w:eastAsia="Arial" w:hAnsi="Arial"/>
          <w:sz w:val="16"/>
          <w:szCs w:val="16"/>
          <w:color w:val="C7D265"/>
        </w:rPr>
      </w:pPr>
    </w:p>
    <w:p>
      <w:pPr>
        <w:ind w:left="1580" w:right="1000" w:hanging="360"/>
        <w:spacing w:after="0" w:line="253" w:lineRule="auto"/>
        <w:tabs>
          <w:tab w:leader="none" w:pos="1580" w:val="left"/>
        </w:tabs>
        <w:numPr>
          <w:ilvl w:val="0"/>
          <w:numId w:val="60"/>
        </w:numPr>
        <w:rPr>
          <w:rFonts w:ascii="Arial" w:cs="Arial" w:eastAsia="Arial" w:hAnsi="Arial"/>
          <w:sz w:val="16"/>
          <w:szCs w:val="16"/>
          <w:color w:val="C7D265"/>
        </w:rPr>
      </w:pPr>
      <w:r>
        <w:rPr>
          <w:rFonts w:ascii="Arial" w:cs="Arial" w:eastAsia="Arial" w:hAnsi="Arial"/>
          <w:sz w:val="16"/>
          <w:szCs w:val="16"/>
          <w:color w:val="0E2A35"/>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61" w:lineRule="exact"/>
        <w:rPr>
          <w:sz w:val="20"/>
          <w:szCs w:val="20"/>
          <w:color w:val="auto"/>
        </w:rPr>
      </w:pPr>
    </w:p>
    <w:p>
      <w:pPr>
        <w:ind w:left="860" w:right="1060"/>
        <w:spacing w:after="0" w:line="260" w:lineRule="auto"/>
        <w:rPr>
          <w:sz w:val="20"/>
          <w:szCs w:val="20"/>
          <w:color w:val="auto"/>
        </w:rPr>
      </w:pPr>
      <w:r>
        <w:rPr>
          <w:rFonts w:ascii="Arial" w:cs="Arial" w:eastAsia="Arial" w:hAnsi="Arial"/>
          <w:sz w:val="16"/>
          <w:szCs w:val="16"/>
          <w:color w:val="0E2A35"/>
        </w:rPr>
        <w:t>Based on the review and discussion referred to in the bullet points above, the Audit Committee recommended to the Board that the audited financial statements be included in our 2021 Form 10-K, for filing with the SEC.</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Audit Committee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Richard D. Moss, Chair</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Maria F. Blase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Kevin E. Bryant</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William C. Fisher</w:t>
      </w:r>
    </w:p>
    <w:p>
      <w:pPr>
        <w:spacing w:after="0" w:line="165" w:lineRule="exact"/>
        <w:rPr>
          <w:sz w:val="20"/>
          <w:szCs w:val="20"/>
          <w:color w:val="auto"/>
        </w:rPr>
      </w:pPr>
    </w:p>
    <w:p>
      <w:pPr>
        <w:jc w:val="both"/>
        <w:ind w:left="860" w:right="1480"/>
        <w:spacing w:after="0" w:line="263" w:lineRule="auto"/>
        <w:rPr>
          <w:sz w:val="20"/>
          <w:szCs w:val="20"/>
          <w:color w:val="auto"/>
        </w:rPr>
      </w:pPr>
      <w:r>
        <w:rPr>
          <w:rFonts w:ascii="Arial" w:cs="Arial" w:eastAsia="Arial" w:hAnsi="Arial"/>
          <w:sz w:val="16"/>
          <w:szCs w:val="16"/>
          <w:i w:val="1"/>
          <w:iCs w:val="1"/>
          <w:color w:val="0E2A35"/>
        </w:rPr>
        <w:t>The foregoing report of our Audit Committee will not be deemed to be incorporated by reference in any previous or future documents filed by the Company with the SEC under the Securities Act or the Exchange Act, except to the extent that we incorporate the report by reference in any such document.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67</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2" w:name="page73"/>
    <w:bookmarkEnd w:id="7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1780"/>
        <w:spacing w:after="0" w:line="286" w:lineRule="auto"/>
        <w:rPr>
          <w:sz w:val="20"/>
          <w:szCs w:val="20"/>
          <w:color w:val="auto"/>
        </w:rPr>
      </w:pPr>
      <w:r>
        <w:rPr>
          <w:rFonts w:ascii="Arial" w:cs="Arial" w:eastAsia="Arial" w:hAnsi="Arial"/>
          <w:sz w:val="32"/>
          <w:szCs w:val="32"/>
          <w:b w:val="1"/>
          <w:bCs w:val="1"/>
          <w:color w:val="0E2A35"/>
        </w:rPr>
        <w:t>Independent Registered Public Accountant’s Fees and Services</w:t>
      </w:r>
    </w:p>
    <w:p>
      <w:pPr>
        <w:spacing w:after="0" w:line="200" w:lineRule="exact"/>
        <w:rPr>
          <w:sz w:val="20"/>
          <w:szCs w:val="20"/>
          <w:color w:val="auto"/>
        </w:rPr>
      </w:pPr>
    </w:p>
    <w:p>
      <w:pPr>
        <w:spacing w:after="0" w:line="365" w:lineRule="exact"/>
        <w:rPr>
          <w:sz w:val="20"/>
          <w:szCs w:val="20"/>
          <w:color w:val="auto"/>
        </w:rPr>
      </w:pPr>
    </w:p>
    <w:p>
      <w:pPr>
        <w:ind w:left="860" w:right="1100"/>
        <w:spacing w:after="0" w:line="253" w:lineRule="auto"/>
        <w:rPr>
          <w:sz w:val="20"/>
          <w:szCs w:val="20"/>
          <w:color w:val="auto"/>
        </w:rPr>
      </w:pPr>
      <w:r>
        <w:rPr>
          <w:rFonts w:ascii="Arial" w:cs="Arial" w:eastAsia="Arial" w:hAnsi="Arial"/>
          <w:sz w:val="16"/>
          <w:szCs w:val="16"/>
          <w:color w:val="0E2A35"/>
        </w:rPr>
        <w:t>The following table presents fees for professional audit services rendered by Deloitte for the audit of our annual financial statements for fiscal years ended August 28, 2021 and August 29, 2020, and fees billed for other services rendered by Deloitte during those periods.</w:t>
      </w:r>
    </w:p>
    <w:p>
      <w:pPr>
        <w:spacing w:after="0" w:line="51"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320" w:type="dxa"/>
            <w:vAlign w:val="bottom"/>
            <w:shd w:val="clear" w:color="auto" w:fill="0E2A35"/>
          </w:tcPr>
          <w:p>
            <w:pPr>
              <w:spacing w:after="0"/>
              <w:rPr>
                <w:sz w:val="19"/>
                <w:szCs w:val="19"/>
                <w:color w:val="auto"/>
              </w:rPr>
            </w:pPr>
          </w:p>
        </w:tc>
        <w:tc>
          <w:tcPr>
            <w:tcW w:w="3820" w:type="dxa"/>
            <w:vAlign w:val="bottom"/>
            <w:shd w:val="clear" w:color="auto" w:fill="0E2A35"/>
          </w:tcPr>
          <w:p>
            <w:pPr>
              <w:jc w:val="right"/>
              <w:ind w:right="291"/>
              <w:spacing w:after="0"/>
              <w:rPr>
                <w:sz w:val="20"/>
                <w:szCs w:val="20"/>
                <w:color w:val="auto"/>
              </w:rPr>
            </w:pPr>
            <w:r>
              <w:rPr>
                <w:rFonts w:ascii="Arial" w:cs="Arial" w:eastAsia="Arial" w:hAnsi="Arial"/>
                <w:sz w:val="13"/>
                <w:szCs w:val="13"/>
                <w:b w:val="1"/>
                <w:bCs w:val="1"/>
                <w:color w:val="FFFFFF"/>
              </w:rPr>
              <w:t>Fiscal 2021</w:t>
            </w:r>
          </w:p>
        </w:tc>
        <w:tc>
          <w:tcPr>
            <w:tcW w:w="1140" w:type="dxa"/>
            <w:vAlign w:val="bottom"/>
            <w:shd w:val="clear" w:color="auto" w:fill="0E2A35"/>
          </w:tcPr>
          <w:p>
            <w:pPr>
              <w:jc w:val="right"/>
              <w:ind w:right="31"/>
              <w:spacing w:after="0"/>
              <w:rPr>
                <w:sz w:val="20"/>
                <w:szCs w:val="20"/>
                <w:color w:val="auto"/>
              </w:rPr>
            </w:pPr>
            <w:r>
              <w:rPr>
                <w:rFonts w:ascii="Arial" w:cs="Arial" w:eastAsia="Arial" w:hAnsi="Arial"/>
                <w:sz w:val="13"/>
                <w:szCs w:val="13"/>
                <w:b w:val="1"/>
                <w:bCs w:val="1"/>
                <w:color w:val="FFFFFF"/>
              </w:rPr>
              <w:t>Fiscal 2020</w:t>
            </w:r>
          </w:p>
        </w:tc>
      </w:tr>
      <w:tr>
        <w:trPr>
          <w:trHeight w:val="168"/>
        </w:trPr>
        <w:tc>
          <w:tcPr>
            <w:tcW w:w="4320" w:type="dxa"/>
            <w:vAlign w:val="bottom"/>
            <w:shd w:val="clear" w:color="auto" w:fill="0E2A35"/>
          </w:tcPr>
          <w:p>
            <w:pPr>
              <w:spacing w:after="0"/>
              <w:rPr>
                <w:sz w:val="14"/>
                <w:szCs w:val="14"/>
                <w:color w:val="auto"/>
              </w:rPr>
            </w:pPr>
          </w:p>
        </w:tc>
        <w:tc>
          <w:tcPr>
            <w:tcW w:w="3820" w:type="dxa"/>
            <w:vAlign w:val="bottom"/>
            <w:shd w:val="clear" w:color="auto" w:fill="0E2A35"/>
          </w:tcPr>
          <w:p>
            <w:pPr>
              <w:jc w:val="right"/>
              <w:ind w:right="551"/>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E2A35"/>
          </w:tcPr>
          <w:p>
            <w:pPr>
              <w:jc w:val="right"/>
              <w:ind w:right="291"/>
              <w:spacing w:after="0"/>
              <w:rPr>
                <w:sz w:val="20"/>
                <w:szCs w:val="20"/>
                <w:color w:val="auto"/>
              </w:rPr>
            </w:pPr>
            <w:r>
              <w:rPr>
                <w:rFonts w:ascii="Arial" w:cs="Arial" w:eastAsia="Arial" w:hAnsi="Arial"/>
                <w:sz w:val="13"/>
                <w:szCs w:val="13"/>
                <w:b w:val="1"/>
                <w:bCs w:val="1"/>
                <w:color w:val="FFFFFF"/>
              </w:rPr>
              <w:t>($)</w:t>
            </w:r>
          </w:p>
        </w:tc>
      </w:tr>
      <w:tr>
        <w:trPr>
          <w:trHeight w:val="97"/>
        </w:trPr>
        <w:tc>
          <w:tcPr>
            <w:tcW w:w="4320" w:type="dxa"/>
            <w:vAlign w:val="bottom"/>
            <w:shd w:val="clear" w:color="auto" w:fill="0E2A35"/>
          </w:tcPr>
          <w:p>
            <w:pPr>
              <w:spacing w:after="0"/>
              <w:rPr>
                <w:sz w:val="8"/>
                <w:szCs w:val="8"/>
                <w:color w:val="auto"/>
              </w:rPr>
            </w:pPr>
          </w:p>
        </w:tc>
        <w:tc>
          <w:tcPr>
            <w:tcW w:w="3820" w:type="dxa"/>
            <w:vAlign w:val="bottom"/>
            <w:shd w:val="clear" w:color="auto" w:fill="0E2A35"/>
          </w:tcPr>
          <w:p>
            <w:pPr>
              <w:spacing w:after="0"/>
              <w:rPr>
                <w:sz w:val="8"/>
                <w:szCs w:val="8"/>
                <w:color w:val="auto"/>
              </w:rPr>
            </w:pPr>
          </w:p>
        </w:tc>
        <w:tc>
          <w:tcPr>
            <w:tcW w:w="1140" w:type="dxa"/>
            <w:vAlign w:val="bottom"/>
            <w:shd w:val="clear" w:color="auto" w:fill="0E2A35"/>
          </w:tcPr>
          <w:p>
            <w:pPr>
              <w:spacing w:after="0"/>
              <w:rPr>
                <w:sz w:val="8"/>
                <w:szCs w:val="8"/>
                <w:color w:val="auto"/>
              </w:rPr>
            </w:pPr>
          </w:p>
        </w:tc>
      </w:tr>
      <w:tr>
        <w:trPr>
          <w:trHeight w:val="378"/>
        </w:trPr>
        <w:tc>
          <w:tcPr>
            <w:tcW w:w="432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Audit Fees</w:t>
            </w:r>
            <w:r>
              <w:rPr>
                <w:rFonts w:ascii="Arial" w:cs="Arial" w:eastAsia="Arial" w:hAnsi="Arial"/>
                <w:sz w:val="23"/>
                <w:szCs w:val="23"/>
                <w:color w:val="0E2A35"/>
                <w:vertAlign w:val="superscript"/>
              </w:rPr>
              <w:t>(1)</w:t>
            </w:r>
          </w:p>
        </w:tc>
        <w:tc>
          <w:tcPr>
            <w:tcW w:w="3820" w:type="dxa"/>
            <w:vAlign w:val="bottom"/>
            <w:tcBorders>
              <w:bottom w:val="single" w:sz="8" w:color="0E2A35"/>
            </w:tcBorders>
          </w:tcPr>
          <w:p>
            <w:pPr>
              <w:jc w:val="right"/>
              <w:ind w:right="291"/>
              <w:spacing w:after="0"/>
              <w:rPr>
                <w:sz w:val="20"/>
                <w:szCs w:val="20"/>
                <w:color w:val="auto"/>
              </w:rPr>
            </w:pPr>
            <w:r>
              <w:rPr>
                <w:rFonts w:ascii="Arial" w:cs="Arial" w:eastAsia="Arial" w:hAnsi="Arial"/>
                <w:sz w:val="14"/>
                <w:szCs w:val="14"/>
                <w:color w:val="0E2A35"/>
              </w:rPr>
              <w:t>1,528,000</w:t>
            </w:r>
          </w:p>
        </w:tc>
        <w:tc>
          <w:tcPr>
            <w:tcW w:w="114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1,745,000</w:t>
            </w:r>
          </w:p>
        </w:tc>
      </w:tr>
      <w:tr>
        <w:trPr>
          <w:trHeight w:val="371"/>
        </w:trPr>
        <w:tc>
          <w:tcPr>
            <w:tcW w:w="432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Audit-Related Fees</w:t>
            </w:r>
            <w:r>
              <w:rPr>
                <w:rFonts w:ascii="Arial" w:cs="Arial" w:eastAsia="Arial" w:hAnsi="Arial"/>
                <w:sz w:val="23"/>
                <w:szCs w:val="23"/>
                <w:color w:val="0E2A35"/>
                <w:vertAlign w:val="superscript"/>
              </w:rPr>
              <w:t>(2)</w:t>
            </w:r>
          </w:p>
        </w:tc>
        <w:tc>
          <w:tcPr>
            <w:tcW w:w="3820" w:type="dxa"/>
            <w:vAlign w:val="bottom"/>
            <w:tcBorders>
              <w:bottom w:val="single" w:sz="8" w:color="0E2A35"/>
            </w:tcBorders>
          </w:tcPr>
          <w:p>
            <w:pPr>
              <w:jc w:val="right"/>
              <w:ind w:right="291"/>
              <w:spacing w:after="0"/>
              <w:rPr>
                <w:sz w:val="20"/>
                <w:szCs w:val="20"/>
                <w:color w:val="auto"/>
              </w:rPr>
            </w:pPr>
            <w:r>
              <w:rPr>
                <w:rFonts w:ascii="Arial" w:cs="Arial" w:eastAsia="Arial" w:hAnsi="Arial"/>
                <w:sz w:val="14"/>
                <w:szCs w:val="14"/>
                <w:color w:val="0E2A35"/>
              </w:rPr>
              <w:t>34,000</w:t>
            </w:r>
          </w:p>
        </w:tc>
        <w:tc>
          <w:tcPr>
            <w:tcW w:w="114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30,000</w:t>
            </w:r>
          </w:p>
        </w:tc>
      </w:tr>
      <w:tr>
        <w:trPr>
          <w:trHeight w:val="372"/>
        </w:trPr>
        <w:tc>
          <w:tcPr>
            <w:tcW w:w="432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Tax Fees</w:t>
            </w:r>
            <w:r>
              <w:rPr>
                <w:rFonts w:ascii="Arial" w:cs="Arial" w:eastAsia="Arial" w:hAnsi="Arial"/>
                <w:sz w:val="23"/>
                <w:szCs w:val="23"/>
                <w:color w:val="0E2A35"/>
                <w:vertAlign w:val="superscript"/>
              </w:rPr>
              <w:t>(3)</w:t>
            </w:r>
          </w:p>
        </w:tc>
        <w:tc>
          <w:tcPr>
            <w:tcW w:w="3820" w:type="dxa"/>
            <w:vAlign w:val="bottom"/>
            <w:tcBorders>
              <w:bottom w:val="single" w:sz="8" w:color="0E2A35"/>
            </w:tcBorders>
          </w:tcPr>
          <w:p>
            <w:pPr>
              <w:spacing w:after="0"/>
              <w:rPr>
                <w:sz w:val="24"/>
                <w:szCs w:val="24"/>
                <w:color w:val="auto"/>
              </w:rPr>
            </w:pPr>
          </w:p>
        </w:tc>
        <w:tc>
          <w:tcPr>
            <w:tcW w:w="1140" w:type="dxa"/>
            <w:vAlign w:val="bottom"/>
            <w:tcBorders>
              <w:bottom w:val="single" w:sz="8" w:color="0E2A35"/>
            </w:tcBorders>
          </w:tcPr>
          <w:p>
            <w:pPr>
              <w:jc w:val="right"/>
              <w:ind w:right="11"/>
              <w:spacing w:after="0"/>
              <w:rPr>
                <w:sz w:val="20"/>
                <w:szCs w:val="20"/>
                <w:color w:val="auto"/>
              </w:rPr>
            </w:pPr>
            <w:r>
              <w:rPr>
                <w:rFonts w:ascii="Arial" w:cs="Arial" w:eastAsia="Arial" w:hAnsi="Arial"/>
                <w:sz w:val="14"/>
                <w:szCs w:val="14"/>
                <w:color w:val="0E2A35"/>
              </w:rPr>
              <w:t>22,500</w:t>
            </w:r>
          </w:p>
        </w:tc>
      </w:tr>
      <w:tr>
        <w:trPr>
          <w:trHeight w:val="278"/>
        </w:trPr>
        <w:tc>
          <w:tcPr>
            <w:tcW w:w="4320" w:type="dxa"/>
            <w:vAlign w:val="bottom"/>
          </w:tcPr>
          <w:p>
            <w:pPr>
              <w:ind w:left="160"/>
              <w:spacing w:after="0"/>
              <w:rPr>
                <w:sz w:val="20"/>
                <w:szCs w:val="20"/>
                <w:color w:val="auto"/>
              </w:rPr>
            </w:pPr>
            <w:r>
              <w:rPr>
                <w:rFonts w:ascii="Arial" w:cs="Arial" w:eastAsia="Arial" w:hAnsi="Arial"/>
                <w:sz w:val="14"/>
                <w:szCs w:val="14"/>
                <w:color w:val="0E2A35"/>
              </w:rPr>
              <w:t>All Other Fees</w:t>
            </w:r>
          </w:p>
        </w:tc>
        <w:tc>
          <w:tcPr>
            <w:tcW w:w="3820" w:type="dxa"/>
            <w:vAlign w:val="bottom"/>
          </w:tcPr>
          <w:p>
            <w:pPr>
              <w:jc w:val="right"/>
              <w:ind w:right="291"/>
              <w:spacing w:after="0"/>
              <w:rPr>
                <w:sz w:val="20"/>
                <w:szCs w:val="20"/>
                <w:color w:val="auto"/>
              </w:rPr>
            </w:pPr>
            <w:r>
              <w:rPr>
                <w:rFonts w:ascii="Arial" w:cs="Arial" w:eastAsia="Arial" w:hAnsi="Arial"/>
                <w:sz w:val="14"/>
                <w:szCs w:val="14"/>
                <w:color w:val="0E2A35"/>
              </w:rPr>
              <w:t>—</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w:t>
            </w:r>
          </w:p>
        </w:tc>
      </w:tr>
      <w:tr>
        <w:trPr>
          <w:trHeight w:val="93"/>
        </w:trPr>
        <w:tc>
          <w:tcPr>
            <w:tcW w:w="4320" w:type="dxa"/>
            <w:vAlign w:val="bottom"/>
            <w:tcBorders>
              <w:bottom w:val="single" w:sz="8" w:color="0E2A35"/>
            </w:tcBorders>
          </w:tcPr>
          <w:p>
            <w:pPr>
              <w:spacing w:after="0"/>
              <w:rPr>
                <w:sz w:val="8"/>
                <w:szCs w:val="8"/>
                <w:color w:val="auto"/>
              </w:rPr>
            </w:pPr>
          </w:p>
        </w:tc>
        <w:tc>
          <w:tcPr>
            <w:tcW w:w="38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r>
      <w:tr>
        <w:trPr>
          <w:trHeight w:val="278"/>
        </w:trPr>
        <w:tc>
          <w:tcPr>
            <w:tcW w:w="4320" w:type="dxa"/>
            <w:vAlign w:val="bottom"/>
          </w:tcPr>
          <w:p>
            <w:pPr>
              <w:ind w:left="160"/>
              <w:spacing w:after="0"/>
              <w:rPr>
                <w:sz w:val="20"/>
                <w:szCs w:val="20"/>
                <w:color w:val="auto"/>
              </w:rPr>
            </w:pPr>
            <w:r>
              <w:rPr>
                <w:rFonts w:ascii="Arial" w:cs="Arial" w:eastAsia="Arial" w:hAnsi="Arial"/>
                <w:sz w:val="14"/>
                <w:szCs w:val="14"/>
                <w:color w:val="0E2A35"/>
              </w:rPr>
              <w:t>Total</w:t>
            </w:r>
          </w:p>
        </w:tc>
        <w:tc>
          <w:tcPr>
            <w:tcW w:w="3820" w:type="dxa"/>
            <w:vAlign w:val="bottom"/>
          </w:tcPr>
          <w:p>
            <w:pPr>
              <w:jc w:val="right"/>
              <w:ind w:right="291"/>
              <w:spacing w:after="0"/>
              <w:rPr>
                <w:sz w:val="20"/>
                <w:szCs w:val="20"/>
                <w:color w:val="auto"/>
              </w:rPr>
            </w:pPr>
            <w:r>
              <w:rPr>
                <w:rFonts w:ascii="Arial" w:cs="Arial" w:eastAsia="Arial" w:hAnsi="Arial"/>
                <w:sz w:val="14"/>
                <w:szCs w:val="14"/>
                <w:color w:val="0E2A35"/>
              </w:rPr>
              <w:t>1,562,000</w:t>
            </w:r>
          </w:p>
        </w:tc>
        <w:tc>
          <w:tcPr>
            <w:tcW w:w="1140" w:type="dxa"/>
            <w:vAlign w:val="bottom"/>
          </w:tcPr>
          <w:p>
            <w:pPr>
              <w:jc w:val="right"/>
              <w:ind w:right="11"/>
              <w:spacing w:after="0"/>
              <w:rPr>
                <w:sz w:val="20"/>
                <w:szCs w:val="20"/>
                <w:color w:val="auto"/>
              </w:rPr>
            </w:pPr>
            <w:r>
              <w:rPr>
                <w:rFonts w:ascii="Arial" w:cs="Arial" w:eastAsia="Arial" w:hAnsi="Arial"/>
                <w:sz w:val="14"/>
                <w:szCs w:val="14"/>
                <w:color w:val="0E2A35"/>
              </w:rPr>
              <w:t>1,797,500</w:t>
            </w:r>
          </w:p>
        </w:tc>
      </w:tr>
      <w:tr>
        <w:trPr>
          <w:trHeight w:val="39"/>
        </w:trPr>
        <w:tc>
          <w:tcPr>
            <w:tcW w:w="4320" w:type="dxa"/>
            <w:vAlign w:val="bottom"/>
            <w:tcBorders>
              <w:bottom w:val="single" w:sz="8" w:color="0E2A35"/>
            </w:tcBorders>
          </w:tcPr>
          <w:p>
            <w:pPr>
              <w:spacing w:after="0"/>
              <w:rPr>
                <w:sz w:val="3"/>
                <w:szCs w:val="3"/>
                <w:color w:val="auto"/>
              </w:rPr>
            </w:pPr>
          </w:p>
        </w:tc>
        <w:tc>
          <w:tcPr>
            <w:tcW w:w="382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right="1240" w:hanging="360"/>
        <w:spacing w:after="0" w:line="230" w:lineRule="auto"/>
        <w:tabs>
          <w:tab w:leader="none" w:pos="122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37" w:lineRule="exact"/>
        <w:rPr>
          <w:rFonts w:ascii="Arial" w:cs="Arial" w:eastAsia="Arial" w:hAnsi="Arial"/>
          <w:sz w:val="13"/>
          <w:szCs w:val="13"/>
          <w:color w:val="0E2A35"/>
        </w:rPr>
      </w:pPr>
    </w:p>
    <w:p>
      <w:pPr>
        <w:ind w:left="1220" w:hanging="360"/>
        <w:spacing w:after="0"/>
        <w:tabs>
          <w:tab w:leader="none" w:pos="122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benefit plan and due diligence services.</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Represents fees for professional services related to tax compliance and tax planning.</w:t>
      </w:r>
    </w:p>
    <w:p>
      <w:pPr>
        <w:spacing w:after="0" w:line="169" w:lineRule="exact"/>
        <w:rPr>
          <w:sz w:val="20"/>
          <w:szCs w:val="20"/>
          <w:color w:val="auto"/>
        </w:rPr>
      </w:pPr>
    </w:p>
    <w:p>
      <w:pPr>
        <w:jc w:val="both"/>
        <w:ind w:left="860" w:right="1060"/>
        <w:spacing w:after="0" w:line="253" w:lineRule="auto"/>
        <w:rPr>
          <w:sz w:val="20"/>
          <w:szCs w:val="20"/>
          <w:color w:val="auto"/>
        </w:rPr>
      </w:pPr>
      <w:r>
        <w:rPr>
          <w:rFonts w:ascii="Arial" w:cs="Arial" w:eastAsia="Arial" w:hAnsi="Arial"/>
          <w:sz w:val="16"/>
          <w:szCs w:val="16"/>
          <w:color w:val="0E2A35"/>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67" w:lineRule="exact"/>
        <w:rPr>
          <w:sz w:val="20"/>
          <w:szCs w:val="20"/>
          <w:color w:val="auto"/>
        </w:rPr>
      </w:pPr>
    </w:p>
    <w:p>
      <w:pPr>
        <w:ind w:left="860" w:right="960"/>
        <w:spacing w:after="0" w:line="261" w:lineRule="auto"/>
        <w:rPr>
          <w:sz w:val="20"/>
          <w:szCs w:val="20"/>
          <w:color w:val="auto"/>
        </w:rPr>
      </w:pPr>
      <w:r>
        <w:rPr>
          <w:rFonts w:ascii="Arial" w:cs="Arial" w:eastAsia="Arial" w:hAnsi="Arial"/>
          <w:sz w:val="22"/>
          <w:szCs w:val="22"/>
          <w:b w:val="1"/>
          <w:bCs w:val="1"/>
          <w:color w:val="284752"/>
        </w:rPr>
        <w:t>Policy Regarding the Approval of Independent Registered Public Accountant Provision of Audit and Nonaudit Services</w:t>
      </w:r>
    </w:p>
    <w:p>
      <w:pPr>
        <w:spacing w:after="0" w:line="159" w:lineRule="exact"/>
        <w:rPr>
          <w:sz w:val="20"/>
          <w:szCs w:val="20"/>
          <w:color w:val="auto"/>
        </w:rPr>
      </w:pPr>
    </w:p>
    <w:p>
      <w:pPr>
        <w:ind w:left="860" w:right="980"/>
        <w:spacing w:after="0" w:line="250" w:lineRule="auto"/>
        <w:rPr>
          <w:sz w:val="20"/>
          <w:szCs w:val="20"/>
          <w:color w:val="auto"/>
        </w:rPr>
      </w:pPr>
      <w:r>
        <w:rPr>
          <w:rFonts w:ascii="Arial" w:cs="Arial" w:eastAsia="Arial" w:hAnsi="Arial"/>
          <w:sz w:val="16"/>
          <w:szCs w:val="16"/>
          <w:color w:val="0E2A35"/>
        </w:rPr>
        <w:t>The Audit Committee charter requires the committee to pre-approve the audit and non-audit fees and services that may be provided by Deloitte, our independent registered public accountant, to us. The Audit Committee consults with management but does not delegate these responsibilities, except that pre-approvals of nonaudit services may be delegated to a single member of the committee, who then informs the entire committee of the engagement of such services. The Audit Committee pre-approved under that policy all of the audit and non-audit fees and services provided by Deloitte for fiscal 2021 and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68</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3" w:name="page74"/>
    <w:bookmarkEnd w:id="7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2200"/>
        <w:spacing w:after="0" w:line="286" w:lineRule="auto"/>
        <w:rPr>
          <w:sz w:val="20"/>
          <w:szCs w:val="20"/>
          <w:color w:val="auto"/>
        </w:rPr>
      </w:pPr>
      <w:r>
        <w:rPr>
          <w:rFonts w:ascii="Arial" w:cs="Arial" w:eastAsia="Arial" w:hAnsi="Arial"/>
          <w:sz w:val="32"/>
          <w:szCs w:val="32"/>
          <w:b w:val="1"/>
          <w:bCs w:val="1"/>
          <w:color w:val="0E2A35"/>
        </w:rPr>
        <w:t>Proposal 4 – Approval of the Reincorporation of the Company from Iowa to Minnesota</w:t>
      </w:r>
    </w:p>
    <w:p>
      <w:pPr>
        <w:spacing w:after="0" w:line="93" w:lineRule="exact"/>
        <w:rPr>
          <w:sz w:val="20"/>
          <w:szCs w:val="20"/>
          <w:color w:val="auto"/>
        </w:rPr>
      </w:pPr>
    </w:p>
    <w:p>
      <w:pPr>
        <w:ind w:left="860" w:right="1620"/>
        <w:spacing w:after="0" w:line="260" w:lineRule="auto"/>
        <w:rPr>
          <w:sz w:val="20"/>
          <w:szCs w:val="20"/>
          <w:color w:val="auto"/>
        </w:rPr>
      </w:pPr>
      <w:r>
        <w:rPr>
          <w:rFonts w:ascii="Arial" w:cs="Arial" w:eastAsia="Arial" w:hAnsi="Arial"/>
          <w:sz w:val="16"/>
          <w:szCs w:val="16"/>
          <w:color w:val="0E2A35"/>
        </w:rPr>
        <w:t>On October 13, 2021, the Board approved a proposal to change the state of incorporation of the Company from Iowa to Minnesota (the Reincorporation), subject to the approval of the Company’s shareholders.</w:t>
      </w:r>
    </w:p>
    <w:p>
      <w:pPr>
        <w:spacing w:after="0" w:line="2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Summary</w:t>
      </w:r>
    </w:p>
    <w:p>
      <w:pPr>
        <w:spacing w:after="0" w:line="26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Assuming that shareholder approval of the Reincorporation is obtained and the Reincorporation becomes effective:</w:t>
      </w:r>
    </w:p>
    <w:p>
      <w:pPr>
        <w:spacing w:after="0" w:line="181" w:lineRule="exact"/>
        <w:rPr>
          <w:sz w:val="20"/>
          <w:szCs w:val="20"/>
          <w:color w:val="auto"/>
        </w:rPr>
      </w:pPr>
    </w:p>
    <w:p>
      <w:pPr>
        <w:jc w:val="both"/>
        <w:ind w:left="1580" w:right="960" w:hanging="360"/>
        <w:spacing w:after="0" w:line="251"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the affairs of the Company will cease to be governed by the Iowa Business Corporation Act (the IBCA), the Company’s existing Articles of Incorporation (the Iowa Articles), and the Company’s existing By-Laws (the Iowa By-Laws), and the affairs of the Company will become subject to the Minnesota Business Corporation Act (the MBCA), the new Articles of Incorporation and the new Bylaws, as more fully described below;</w:t>
      </w:r>
    </w:p>
    <w:p>
      <w:pPr>
        <w:spacing w:after="0" w:line="161" w:lineRule="exact"/>
        <w:rPr>
          <w:rFonts w:ascii="Arial" w:cs="Arial" w:eastAsia="Arial" w:hAnsi="Arial"/>
          <w:sz w:val="16"/>
          <w:szCs w:val="16"/>
          <w:color w:val="C7D265"/>
        </w:rPr>
      </w:pPr>
    </w:p>
    <w:p>
      <w:pPr>
        <w:ind w:left="1580" w:right="920" w:hanging="360"/>
        <w:spacing w:after="0" w:line="251"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the resulting Minnesota corporation (the Minnesota Company) will be for all purposes the same entity as the Company and, specifically, (i) all property owned by, and every contract right possessed by, the Company will be the property and contract rights of the Minnesota Company, and (ii) all debts, obligations and other liabilities of the Company will be the debts, obligations, and other liabilities of the Minnesota Company;</w:t>
      </w:r>
    </w:p>
    <w:p>
      <w:pPr>
        <w:spacing w:after="0" w:line="175" w:lineRule="exact"/>
        <w:rPr>
          <w:rFonts w:ascii="Arial" w:cs="Arial" w:eastAsia="Arial" w:hAnsi="Arial"/>
          <w:sz w:val="16"/>
          <w:szCs w:val="16"/>
          <w:color w:val="C7D265"/>
        </w:rPr>
      </w:pPr>
    </w:p>
    <w:p>
      <w:pPr>
        <w:ind w:left="1580" w:right="920" w:hanging="360"/>
        <w:spacing w:after="0" w:line="251"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each outstanding share of the Company’s common stock will be reclassified into shares of the Minnesota Company’s common stock, and each outstanding option, warrant or other right to acquire shares of the Company’s common stock will continue to be an outstanding option, warrant or other right to acquire shares of the Minnesota Company’s common stock on the same terms;</w:t>
      </w:r>
    </w:p>
    <w:p>
      <w:pPr>
        <w:spacing w:after="0" w:line="161" w:lineRule="exact"/>
        <w:rPr>
          <w:rFonts w:ascii="Arial" w:cs="Arial" w:eastAsia="Arial" w:hAnsi="Arial"/>
          <w:sz w:val="16"/>
          <w:szCs w:val="16"/>
          <w:color w:val="C7D265"/>
        </w:rPr>
      </w:pPr>
    </w:p>
    <w:p>
      <w:pPr>
        <w:jc w:val="both"/>
        <w:ind w:left="1580" w:right="1100" w:hanging="360"/>
        <w:spacing w:after="0" w:line="253" w:lineRule="auto"/>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each employee benefit plan, incentive compensation plan or other similar plan of the Company will continue to be an employee benefit plan, incentive compensation plan or other similar plan of the Minnesota Company without change; and</w:t>
      </w:r>
    </w:p>
    <w:p>
      <w:pPr>
        <w:spacing w:after="0" w:line="160" w:lineRule="exact"/>
        <w:rPr>
          <w:rFonts w:ascii="Arial" w:cs="Arial" w:eastAsia="Arial" w:hAnsi="Arial"/>
          <w:sz w:val="16"/>
          <w:szCs w:val="16"/>
          <w:color w:val="C7D265"/>
        </w:rPr>
      </w:pPr>
    </w:p>
    <w:p>
      <w:pPr>
        <w:ind w:left="1580" w:hanging="360"/>
        <w:spacing w:after="0"/>
        <w:tabs>
          <w:tab w:leader="none" w:pos="1580" w:val="left"/>
        </w:tabs>
        <w:numPr>
          <w:ilvl w:val="0"/>
          <w:numId w:val="62"/>
        </w:numPr>
        <w:rPr>
          <w:rFonts w:ascii="Arial" w:cs="Arial" w:eastAsia="Arial" w:hAnsi="Arial"/>
          <w:sz w:val="16"/>
          <w:szCs w:val="16"/>
          <w:color w:val="C7D265"/>
        </w:rPr>
      </w:pPr>
      <w:r>
        <w:rPr>
          <w:rFonts w:ascii="Arial" w:cs="Arial" w:eastAsia="Arial" w:hAnsi="Arial"/>
          <w:sz w:val="16"/>
          <w:szCs w:val="16"/>
          <w:color w:val="0E2A35"/>
        </w:rPr>
        <w:t>each director and officer of the Company will continue to hold his or her respective office with the Minnesota Company.</w:t>
      </w:r>
    </w:p>
    <w:p>
      <w:pPr>
        <w:spacing w:after="0" w:line="194"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We intend to effect the Reincorporation by a domestication under Iowa law and a conversion under Minnesota law. We will effect the Reincorporation by filing Articles of Conversion, substantially in the form attached hereto as Appendix A (the Articles of Conversion), and the proposed Articles of Incorporation of the Minnesota Company, substantially in the form attached hereto as Appendix B (the Minnesota Articles of Incorporation), with the Minnesota Secretary of State and by filing Articles of Domestication (the Articles of Domestication), substantially in the form attached hereto as Appendix C, with the Iowa Secretary of State. In order to file the Articles of Domestication, shareholders must approve the Plan of Reincorporation attached hereto as Appendix D. The Minnesota Company would also adopt the proposed bylaws, in substantially the form attached hereto as Appendix E (the Minnesota Bylaws).</w:t>
      </w:r>
    </w:p>
    <w:p>
      <w:pPr>
        <w:spacing w:after="0" w:line="167" w:lineRule="exact"/>
        <w:rPr>
          <w:sz w:val="20"/>
          <w:szCs w:val="20"/>
          <w:color w:val="auto"/>
        </w:rPr>
      </w:pPr>
    </w:p>
    <w:p>
      <w:pPr>
        <w:ind w:left="860" w:right="920"/>
        <w:spacing w:after="0" w:line="250" w:lineRule="auto"/>
        <w:rPr>
          <w:sz w:val="20"/>
          <w:szCs w:val="20"/>
          <w:color w:val="auto"/>
        </w:rPr>
      </w:pPr>
      <w:r>
        <w:rPr>
          <w:rFonts w:ascii="Arial" w:cs="Arial" w:eastAsia="Arial" w:hAnsi="Arial"/>
          <w:sz w:val="16"/>
          <w:szCs w:val="16"/>
          <w:color w:val="0E2A35"/>
        </w:rPr>
        <w:t>The approval by our shareholders of this Reincorporation will constitute approval of the Plan of Reincorporation, the Minnesota Articles of Incorporation and the Minnesota Bylaws. The Company expects to file the Articles of Domestication with the Iowa Secretary of State and the Articles of Conversion and the Minnesota Articles of Incorporation with the Minnesota Secretary of State following approval of the Reincorporation by our shareholders. As indicated in the Articles of Domestication and the Articles of Conversion, the Reincorporation is proposed to become effective January 1, 2022 if approved by our shareholders.</w:t>
      </w:r>
    </w:p>
    <w:p>
      <w:pPr>
        <w:spacing w:after="0" w:line="162"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The Reincorporation will not affect the trading of the shares of the Company’s common stock, which will continue to trade on the New York Stock Exchange under the symbol “WGO” without interruption and with the same CUSIP number. The Minnesota Company will continue to file periodic reports and other documents as and to the extent required by the rules of the SEC. Shareholders who own shares of the Company’s common stock that are freely tradeable prior to the Reincorporation will continue to have freely tradeable shares in the Minnesota Company after the Reincorporation, and shareholders holding restricted shares of the Company’s common stock prior to the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69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-264795</wp:posOffset>
            </wp:positionV>
            <wp:extent cx="1465580" cy="93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4" w:name="page75"/>
    <w:bookmarkEnd w:id="7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Reincorporation will continue to hold their shares in the Minnesota Company after the Reincorporation subject to the same restrictions on transfer to which their shares are presently subject. In summary, the Reincorporation will not change the respective positions under federal securities laws of the Company or our shareholders.</w:t>
      </w:r>
    </w:p>
    <w:p>
      <w:pPr>
        <w:spacing w:after="0" w:line="282" w:lineRule="exact"/>
        <w:rPr>
          <w:sz w:val="20"/>
          <w:szCs w:val="20"/>
          <w:color w:val="auto"/>
        </w:rPr>
      </w:pPr>
    </w:p>
    <w:p>
      <w:pPr>
        <w:ind w:left="860" w:right="1020"/>
        <w:spacing w:after="0" w:line="260" w:lineRule="auto"/>
        <w:rPr>
          <w:sz w:val="20"/>
          <w:szCs w:val="20"/>
          <w:color w:val="auto"/>
        </w:rPr>
      </w:pPr>
      <w:r>
        <w:rPr>
          <w:rFonts w:ascii="Arial" w:cs="Arial" w:eastAsia="Arial" w:hAnsi="Arial"/>
          <w:sz w:val="16"/>
          <w:szCs w:val="16"/>
          <w:color w:val="0E2A35"/>
        </w:rPr>
        <w:t>The Company is not required to obtain any regulatory approvals in advance of the Reincorporation, and the Reincorporation will not have any material accounting, financial or tax impacts on the Company.</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Reasons for Reincorporation</w:t>
      </w:r>
    </w:p>
    <w:p>
      <w:pPr>
        <w:spacing w:after="0" w:line="213"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Our Board believes that the choice of state domicile is important because state corporate law governs the internal affairs of a corporation. Management and boards of directors of corporations look to state corporate law and judicial interpretations of state law to guide their decision-making on many key issues, including appropriate governance policies and procedures, satisfaction of fiduciary obligations to shareholders, compliance with financial and legal requirements in the corporation’s business operations, and consideration of key strategic transactions for the corporation, including financings, mergers, acquisitions, and divestitures.</w:t>
      </w:r>
    </w:p>
    <w:p>
      <w:pPr>
        <w:spacing w:after="0" w:line="162"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color w:val="0E2A35"/>
        </w:rPr>
        <w:t>Our Board considered several factors in reaching this decision, most significantly that very few public companies are incorporated in Iowa and that other states have been more active in evolving and interpreting their state corporate laws. In determining the state into which the Company should reincorporate, the Board considered both Delaware and Minnesota and recommends reincorporating in Minnesota.</w:t>
      </w:r>
    </w:p>
    <w:p>
      <w:pPr>
        <w:spacing w:after="0" w:line="162" w:lineRule="exact"/>
        <w:rPr>
          <w:sz w:val="20"/>
          <w:szCs w:val="20"/>
          <w:color w:val="auto"/>
        </w:rPr>
      </w:pPr>
    </w:p>
    <w:p>
      <w:pPr>
        <w:ind w:left="860" w:right="920"/>
        <w:spacing w:after="0" w:line="247" w:lineRule="auto"/>
        <w:rPr>
          <w:sz w:val="20"/>
          <w:szCs w:val="20"/>
          <w:color w:val="auto"/>
        </w:rPr>
      </w:pPr>
      <w:r>
        <w:rPr>
          <w:rFonts w:ascii="Arial" w:cs="Arial" w:eastAsia="Arial" w:hAnsi="Arial"/>
          <w:sz w:val="16"/>
          <w:szCs w:val="16"/>
          <w:color w:val="0E2A35"/>
        </w:rPr>
        <w:t>As previously announced, the Company is moving its corporate headquarters to Minnesota. The Board believes that its management, directors and future officer and director candidates are more familiar with Minnesota law than Iowa law because more large public companies are incorporated in Minnesota than Iowa. As a result, there is also more case law construing Minnesota law than Iowa law, which generally serves to enhance relative clarity and predictability of many areas of corporate law. The Board believes that the Company will be able to more efficiently obtain professional advice by conforming its state of incorporation to the location of its principal executive offices. In addition, Minnesota law contains several provisions that are similar to those currently applicable to the Company under Iowa law, including rights of certain shareholders to call special meetings and authority for the Board to consider interests of customers, employees and other constituents in certain Board decisions. As a result, although there are differences between the rights of shareholders under the laws of Iowa and Minnesota, the Board believes that the rights afforded to shareholders of a Minnesota corporation are generally equivalent to those afforded to shareholders of the current Iowa corporation. Furthermore, Minnesota does not charge franchise taxes like Delaware does.</w:t>
      </w:r>
    </w:p>
    <w:p>
      <w:pPr>
        <w:spacing w:after="0" w:line="185" w:lineRule="exact"/>
        <w:rPr>
          <w:sz w:val="20"/>
          <w:szCs w:val="20"/>
          <w:color w:val="auto"/>
        </w:rPr>
      </w:pPr>
    </w:p>
    <w:p>
      <w:pPr>
        <w:ind w:left="860" w:right="880"/>
        <w:spacing w:after="0" w:line="260" w:lineRule="auto"/>
        <w:rPr>
          <w:sz w:val="20"/>
          <w:szCs w:val="20"/>
          <w:color w:val="auto"/>
        </w:rPr>
      </w:pPr>
      <w:r>
        <w:rPr>
          <w:rFonts w:ascii="Arial" w:cs="Arial" w:eastAsia="Arial" w:hAnsi="Arial"/>
          <w:sz w:val="16"/>
          <w:szCs w:val="16"/>
          <w:color w:val="0E2A35"/>
        </w:rPr>
        <w:t>After careful consideration of these factors, the Board believes that it is in the best interests of the Company and our shareholders to effectuate the Reincorporation.</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Changes as a Result of Reincorporation</w:t>
      </w:r>
    </w:p>
    <w:p>
      <w:pPr>
        <w:spacing w:after="0" w:line="213" w:lineRule="exact"/>
        <w:rPr>
          <w:sz w:val="20"/>
          <w:szCs w:val="20"/>
          <w:color w:val="auto"/>
        </w:rPr>
      </w:pPr>
    </w:p>
    <w:p>
      <w:pPr>
        <w:ind w:left="860" w:right="1000"/>
        <w:spacing w:after="0" w:line="247" w:lineRule="auto"/>
        <w:rPr>
          <w:sz w:val="20"/>
          <w:szCs w:val="20"/>
          <w:color w:val="auto"/>
        </w:rPr>
      </w:pPr>
      <w:r>
        <w:rPr>
          <w:rFonts w:ascii="Arial" w:cs="Arial" w:eastAsia="Arial" w:hAnsi="Arial"/>
          <w:sz w:val="16"/>
          <w:szCs w:val="16"/>
          <w:color w:val="0E2A35"/>
        </w:rPr>
        <w:t>If this Reincorporation proposal is approved, the Reincorporation will effect a change in the legal domicile of the Company and other changes of a legal nature, the most significant of which are described below in the section entitled “Comparison of the Company’s Shareholders’ Rights Before and After the Reincorporation.” The Reincorporation is not expected to affect any of the Company’s material contracts with any third parties, and the Company’s rights and obligations under such material contractual arrangements will continue as rights and obligations of the Minnesota Company. The Reincorporation itself will not result in any change in headquarters, business, jobs, management, location of any of the Company’s offices or facilities, number of employees, assets, liabilities or net worth (other than as a result of the costs incident to the Reincorporation) of the Company, although the Company separately announced that it is moving its headquarters and principal executive offices from Iowa to Minnesota effective December 1, 2021. Further, the directors and officers of the Company will continue to hold their respective offices with the Minnesota Company, and the subsidiaries of the Company immediately prior to the Reincorporation will be the subsidiaries of the Minnesota Company immediately after the Reincorporation.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70</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5" w:name="page76"/>
    <w:bookmarkEnd w:id="7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The Plan of Reincorporation</w:t>
      </w:r>
    </w:p>
    <w:p>
      <w:pPr>
        <w:spacing w:after="0" w:line="213"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The Reincorporation will be effected pursuant to the Plan of Reincorporation. The Plan of Reincorporation provides that the Company will domesticate and convert into a Minnesota corporation and will be subject to the provisions of the MBCA. By virtue of the Reincorporation, (i) all property owned by, and every contract right possessed by the Company will be the property and contract rights of the Minnesota Company, and (ii) all debts, obligations and other liabilities of the Company will be the debts, obligations, and other liabilities of the Minnesota Company.</w:t>
      </w:r>
    </w:p>
    <w:p>
      <w:pPr>
        <w:spacing w:after="0" w:line="162" w:lineRule="exact"/>
        <w:rPr>
          <w:sz w:val="20"/>
          <w:szCs w:val="20"/>
          <w:color w:val="auto"/>
        </w:rPr>
      </w:pPr>
    </w:p>
    <w:p>
      <w:pPr>
        <w:ind w:left="860" w:right="940"/>
        <w:spacing w:after="0" w:line="249" w:lineRule="auto"/>
        <w:rPr>
          <w:sz w:val="20"/>
          <w:szCs w:val="20"/>
          <w:color w:val="auto"/>
        </w:rPr>
      </w:pPr>
      <w:r>
        <w:rPr>
          <w:rFonts w:ascii="Arial" w:cs="Arial" w:eastAsia="Arial" w:hAnsi="Arial"/>
          <w:sz w:val="16"/>
          <w:szCs w:val="16"/>
          <w:color w:val="0E2A35"/>
        </w:rPr>
        <w:t>If this Reincorporation proposal is approved, it is anticipated that our Board will cause the Reincorporation to be effected as soon as practicable thereafter. However, the Reincorporation may be delayed by our Board or the Plan of Reincorporation may be terminated and abandoned by action of our Board at any time prior to the effective time of the Reincorporation, whether before or after the approval by the Company’s shareholders, if our Board determines for any reason that such delay or termination would be in the best interests of the Company and its shareholders. If this Reincorporation proposal is approved by our shareholders, we expect that the Reincorporation would be effective on the date specified in the Articles of Conversion, which is January 1, 2022.</w:t>
      </w:r>
    </w:p>
    <w:p>
      <w:pPr>
        <w:spacing w:after="0" w:line="353" w:lineRule="exact"/>
        <w:rPr>
          <w:sz w:val="20"/>
          <w:szCs w:val="20"/>
          <w:color w:val="auto"/>
        </w:rPr>
      </w:pPr>
    </w:p>
    <w:p>
      <w:pPr>
        <w:ind w:left="860" w:right="1020"/>
        <w:spacing w:after="0" w:line="250" w:lineRule="auto"/>
        <w:rPr>
          <w:sz w:val="20"/>
          <w:szCs w:val="20"/>
          <w:color w:val="auto"/>
        </w:rPr>
      </w:pPr>
      <w:r>
        <w:rPr>
          <w:rFonts w:ascii="Arial" w:cs="Arial" w:eastAsia="Arial" w:hAnsi="Arial"/>
          <w:sz w:val="16"/>
          <w:szCs w:val="16"/>
          <w:color w:val="0E2A35"/>
        </w:rPr>
        <w:t>The Company’s shareholders will not be required to exchange their Company stock certificates for new Minnesota Company stock certificates. Following the effective time of the Reincorporation, any Company stock certificates submitted to the Company for transfer, whether pursuant to a sale or otherwise, will automatically be exchanged for the Minnesota Company stock certificates. The Company’s shareholders should not destroy any stock certificate(s) and should not submit any certificate(s) to the Company unless and until requested to do so.</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Effect of Not Obtaining the Required Vote for Approval</w:t>
      </w:r>
    </w:p>
    <w:p>
      <w:pPr>
        <w:spacing w:after="0" w:line="213" w:lineRule="exact"/>
        <w:rPr>
          <w:sz w:val="20"/>
          <w:szCs w:val="20"/>
          <w:color w:val="auto"/>
        </w:rPr>
      </w:pPr>
    </w:p>
    <w:p>
      <w:pPr>
        <w:ind w:left="860" w:right="960"/>
        <w:spacing w:after="0" w:line="253" w:lineRule="auto"/>
        <w:rPr>
          <w:sz w:val="20"/>
          <w:szCs w:val="20"/>
          <w:color w:val="auto"/>
        </w:rPr>
      </w:pPr>
      <w:r>
        <w:rPr>
          <w:rFonts w:ascii="Arial" w:cs="Arial" w:eastAsia="Arial" w:hAnsi="Arial"/>
          <w:sz w:val="16"/>
          <w:szCs w:val="16"/>
          <w:color w:val="0E2A35"/>
        </w:rPr>
        <w:t>If we fail to obtain the requisite vote of shareholders for approval of this Reincorporation proposal, the Reincorporation will not be consummated and the Company will continue to be incorporated in Iowa and governed by the IBCA, the Iowa Articles, and the Iowa By-Laws, although the Company’s headquarters and principal executive offices will be in Minnesota.</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Anti-Takeover Implications</w:t>
      </w:r>
    </w:p>
    <w:p>
      <w:pPr>
        <w:spacing w:after="0" w:line="200"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Minnesota, like many other states, permits a corporation to include in its articles of incorporation or bylaws or to otherwise adopt measures designed to reduce its vulnerability to unsolicited takeover attempts. Except as occurring under the MBCA, the Reincorporation proposal does not effect any substantive changes to the Company’s other anti-takeover provisions. With respect to the statutory anti-takeover provisions, there are slight differences between the business combination statutes of the IBCA and the MBCA, as described in more detail below. The Minnesota Articles of Incorporation provide that the Minnesota Company will opt-out of the MBCA’s control share acquisition statute to align with the IBCA, which does not include a similar statutory provision.</w:t>
      </w:r>
    </w:p>
    <w:p>
      <w:pPr>
        <w:spacing w:after="0" w:line="164"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color w:val="0E2A35"/>
        </w:rPr>
        <w:t>The Board is not proposing the Reincorporation to prevent a change in control and is not aware of any present attempt by any person to acquire control of the Company or to obtain representation on the Board. The Board has no current plans to implement any defensive strategies to enhance the ability of the Board to negotiate with an unsolicited bidder.</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Comparison of the Company’s Shareholders’ Rights Before and After the Reincorporation</w:t>
      </w:r>
    </w:p>
    <w:p>
      <w:pPr>
        <w:spacing w:after="0" w:line="213" w:lineRule="exact"/>
        <w:rPr>
          <w:sz w:val="20"/>
          <w:szCs w:val="20"/>
          <w:color w:val="auto"/>
        </w:rPr>
      </w:pPr>
    </w:p>
    <w:p>
      <w:pPr>
        <w:ind w:left="860" w:right="940"/>
        <w:spacing w:after="0" w:line="248" w:lineRule="auto"/>
        <w:rPr>
          <w:sz w:val="20"/>
          <w:szCs w:val="20"/>
          <w:color w:val="auto"/>
        </w:rPr>
      </w:pPr>
      <w:r>
        <w:rPr>
          <w:rFonts w:ascii="Arial" w:cs="Arial" w:eastAsia="Arial" w:hAnsi="Arial"/>
          <w:sz w:val="16"/>
          <w:szCs w:val="16"/>
          <w:color w:val="0E2A35"/>
        </w:rPr>
        <w:t>Because of differences between the IBCA and the MBCA, as well as differences between the Company’s governing documents before and after the Reincorporation, the Reincorporation will effect certain changes in the rights of the Company’s shareholders. Summarized below are significant provisions of the IBCA and MBCA, along with the differences between the rights of the shareholders of the Company immediately before and immediately after the Reincorporation that will be the result of the differences between the IBCA and the MBCA and the differences between the Iowa Articles and Iowa By-Laws, on the one hand, and the Minnesota Articles and the Minnesota Bylaws, on the other hand. The provisions of the IBCA summarized below reflect amendments to the IBCA that become effective January 1, 2022 and therefore would reflect the provisions applicable to the Company if it remains an Iowa corporation, instead of becoming a Minnesota corporation, on January 1, 2022. The summary is not an exhaustive list of all differences or a complete description of the differences described and is qualified in its entirety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71</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6" w:name="page77"/>
    <w:bookmarkEnd w:id="7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by reference to the IBCA, the MBCA, the Iowa Articles, the Iowa By-Laws, the Minnesota Articles and the Minnesota Bylaws. Copies of the Iowa Articles and Iowa By-Laws have been filed or incorporated by reference as exhibits to certain of our filings with the SEC. The Minnesota Articles and the Minnesota Bylaws are attached as appendices to this proxy statement.</w:t>
      </w:r>
    </w:p>
    <w:p>
      <w:pPr>
        <w:spacing w:after="0" w:line="282" w:lineRule="exact"/>
        <w:rPr>
          <w:sz w:val="20"/>
          <w:szCs w:val="20"/>
          <w:color w:val="auto"/>
        </w:rPr>
      </w:pPr>
    </w:p>
    <w:p>
      <w:pPr>
        <w:ind w:left="860" w:right="1040"/>
        <w:spacing w:after="0" w:line="260" w:lineRule="auto"/>
        <w:rPr>
          <w:sz w:val="20"/>
          <w:szCs w:val="20"/>
          <w:color w:val="auto"/>
        </w:rPr>
      </w:pPr>
      <w:r>
        <w:rPr>
          <w:rFonts w:ascii="Arial" w:cs="Arial" w:eastAsia="Arial" w:hAnsi="Arial"/>
          <w:sz w:val="16"/>
          <w:szCs w:val="16"/>
          <w:color w:val="0E2A35"/>
        </w:rPr>
        <w:t>The following is a summary of material parts of the IBCA and the MBCA, in effect as of the date of this proxy statement, and the Company’s governing documents before and after the Reincorporation.</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254"/>
        </w:trPr>
        <w:tc>
          <w:tcPr>
            <w:tcW w:w="162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Provision</w:t>
            </w:r>
          </w:p>
        </w:tc>
        <w:tc>
          <w:tcPr>
            <w:tcW w:w="3800" w:type="dxa"/>
            <w:vAlign w:val="bottom"/>
            <w:shd w:val="clear" w:color="auto" w:fill="0E2A35"/>
          </w:tcPr>
          <w:p>
            <w:pPr>
              <w:ind w:left="1220"/>
              <w:spacing w:after="0"/>
              <w:rPr>
                <w:sz w:val="20"/>
                <w:szCs w:val="20"/>
                <w:color w:val="auto"/>
              </w:rPr>
            </w:pPr>
            <w:r>
              <w:rPr>
                <w:rFonts w:ascii="Arial" w:cs="Arial" w:eastAsia="Arial" w:hAnsi="Arial"/>
                <w:sz w:val="13"/>
                <w:szCs w:val="13"/>
                <w:b w:val="1"/>
                <w:bCs w:val="1"/>
                <w:color w:val="FFFFFF"/>
              </w:rPr>
              <w:t>Current Provisions (Iowa)</w:t>
            </w:r>
          </w:p>
        </w:tc>
        <w:tc>
          <w:tcPr>
            <w:tcW w:w="3860" w:type="dxa"/>
            <w:vAlign w:val="bottom"/>
            <w:shd w:val="clear" w:color="auto" w:fill="0E2A35"/>
          </w:tcPr>
          <w:p>
            <w:pPr>
              <w:ind w:left="440"/>
              <w:spacing w:after="0"/>
              <w:rPr>
                <w:sz w:val="20"/>
                <w:szCs w:val="20"/>
                <w:color w:val="auto"/>
              </w:rPr>
            </w:pPr>
            <w:r>
              <w:rPr>
                <w:rFonts w:ascii="Arial" w:cs="Arial" w:eastAsia="Arial" w:hAnsi="Arial"/>
                <w:sz w:val="13"/>
                <w:szCs w:val="13"/>
                <w:b w:val="1"/>
                <w:bCs w:val="1"/>
                <w:color w:val="FFFFFF"/>
              </w:rPr>
              <w:t>Proposed Change for Reincorporation (Minnesota)</w:t>
            </w:r>
          </w:p>
        </w:tc>
      </w:tr>
      <w:tr>
        <w:trPr>
          <w:trHeight w:val="97"/>
        </w:trPr>
        <w:tc>
          <w:tcPr>
            <w:tcW w:w="1620" w:type="dxa"/>
            <w:vAlign w:val="bottom"/>
            <w:shd w:val="clear" w:color="auto" w:fill="0E2A35"/>
          </w:tcPr>
          <w:p>
            <w:pPr>
              <w:spacing w:after="0"/>
              <w:rPr>
                <w:sz w:val="8"/>
                <w:szCs w:val="8"/>
                <w:color w:val="auto"/>
              </w:rPr>
            </w:pPr>
          </w:p>
        </w:tc>
        <w:tc>
          <w:tcPr>
            <w:tcW w:w="3800" w:type="dxa"/>
            <w:vAlign w:val="bottom"/>
            <w:shd w:val="clear" w:color="auto" w:fill="0E2A35"/>
          </w:tcPr>
          <w:p>
            <w:pPr>
              <w:spacing w:after="0"/>
              <w:rPr>
                <w:sz w:val="8"/>
                <w:szCs w:val="8"/>
                <w:color w:val="auto"/>
              </w:rPr>
            </w:pPr>
          </w:p>
        </w:tc>
        <w:tc>
          <w:tcPr>
            <w:tcW w:w="3860" w:type="dxa"/>
            <w:vAlign w:val="bottom"/>
            <w:shd w:val="clear" w:color="auto" w:fill="0E2A35"/>
          </w:tcPr>
          <w:p>
            <w:pPr>
              <w:spacing w:after="0"/>
              <w:rPr>
                <w:sz w:val="8"/>
                <w:szCs w:val="8"/>
                <w:color w:val="auto"/>
              </w:rPr>
            </w:pPr>
          </w:p>
        </w:tc>
      </w:tr>
      <w:tr>
        <w:trPr>
          <w:trHeight w:val="275"/>
        </w:trPr>
        <w:tc>
          <w:tcPr>
            <w:tcW w:w="1620" w:type="dxa"/>
            <w:vAlign w:val="bottom"/>
          </w:tcPr>
          <w:p>
            <w:pPr>
              <w:ind w:left="140"/>
              <w:spacing w:after="0"/>
              <w:rPr>
                <w:sz w:val="20"/>
                <w:szCs w:val="20"/>
                <w:color w:val="auto"/>
              </w:rPr>
            </w:pPr>
            <w:r>
              <w:rPr>
                <w:rFonts w:ascii="Arial" w:cs="Arial" w:eastAsia="Arial" w:hAnsi="Arial"/>
                <w:sz w:val="14"/>
                <w:szCs w:val="14"/>
                <w:b w:val="1"/>
                <w:bCs w:val="1"/>
                <w:color w:val="0E2A35"/>
              </w:rPr>
              <w:t>Authorized Shares</w:t>
            </w:r>
          </w:p>
        </w:tc>
        <w:tc>
          <w:tcPr>
            <w:tcW w:w="3800" w:type="dxa"/>
            <w:vAlign w:val="bottom"/>
          </w:tcPr>
          <w:p>
            <w:pPr>
              <w:ind w:left="180"/>
              <w:spacing w:after="0"/>
              <w:rPr>
                <w:sz w:val="20"/>
                <w:szCs w:val="20"/>
                <w:color w:val="auto"/>
              </w:rPr>
            </w:pPr>
            <w:r>
              <w:rPr>
                <w:rFonts w:ascii="Arial" w:cs="Arial" w:eastAsia="Arial" w:hAnsi="Arial"/>
                <w:sz w:val="14"/>
                <w:szCs w:val="14"/>
                <w:color w:val="0E2A35"/>
              </w:rPr>
              <w:t>120 million shares of common stock, $.50 par value,</w:t>
            </w:r>
          </w:p>
        </w:tc>
        <w:tc>
          <w:tcPr>
            <w:tcW w:w="3860" w:type="dxa"/>
            <w:vAlign w:val="bottom"/>
          </w:tcPr>
          <w:p>
            <w:pPr>
              <w:ind w:left="160"/>
              <w:spacing w:after="0"/>
              <w:rPr>
                <w:sz w:val="20"/>
                <w:szCs w:val="20"/>
                <w:color w:val="auto"/>
              </w:rPr>
            </w:pPr>
            <w:r>
              <w:rPr>
                <w:rFonts w:ascii="Arial" w:cs="Arial" w:eastAsia="Arial" w:hAnsi="Arial"/>
                <w:sz w:val="14"/>
                <w:szCs w:val="14"/>
                <w:color w:val="0E2A35"/>
              </w:rPr>
              <w:t>No change.</w:t>
            </w:r>
          </w:p>
        </w:tc>
      </w:tr>
      <w:tr>
        <w:trPr>
          <w:trHeight w:val="162"/>
        </w:trPr>
        <w:tc>
          <w:tcPr>
            <w:tcW w:w="1620" w:type="dxa"/>
            <w:vAlign w:val="bottom"/>
          </w:tcPr>
          <w:p>
            <w:pPr>
              <w:spacing w:after="0"/>
              <w:rPr>
                <w:sz w:val="14"/>
                <w:szCs w:val="14"/>
                <w:color w:val="auto"/>
              </w:rPr>
            </w:pPr>
          </w:p>
        </w:tc>
        <w:tc>
          <w:tcPr>
            <w:tcW w:w="3800" w:type="dxa"/>
            <w:vAlign w:val="bottom"/>
          </w:tcPr>
          <w:p>
            <w:pPr>
              <w:ind w:left="180"/>
              <w:spacing w:after="0"/>
              <w:rPr>
                <w:sz w:val="20"/>
                <w:szCs w:val="20"/>
                <w:color w:val="auto"/>
              </w:rPr>
            </w:pPr>
            <w:r>
              <w:rPr>
                <w:rFonts w:ascii="Arial" w:cs="Arial" w:eastAsia="Arial" w:hAnsi="Arial"/>
                <w:sz w:val="14"/>
                <w:szCs w:val="14"/>
                <w:color w:val="0E2A35"/>
              </w:rPr>
              <w:t>and 10 million shares of “blank check” preferred stock,</w:t>
            </w:r>
          </w:p>
        </w:tc>
        <w:tc>
          <w:tcPr>
            <w:tcW w:w="3860" w:type="dxa"/>
            <w:vAlign w:val="bottom"/>
          </w:tcPr>
          <w:p>
            <w:pPr>
              <w:spacing w:after="0"/>
              <w:rPr>
                <w:sz w:val="14"/>
                <w:szCs w:val="14"/>
                <w:color w:val="auto"/>
              </w:rPr>
            </w:pPr>
          </w:p>
        </w:tc>
      </w:tr>
      <w:tr>
        <w:trPr>
          <w:trHeight w:val="172"/>
        </w:trPr>
        <w:tc>
          <w:tcPr>
            <w:tcW w:w="1620" w:type="dxa"/>
            <w:vAlign w:val="bottom"/>
          </w:tcPr>
          <w:p>
            <w:pPr>
              <w:spacing w:after="0"/>
              <w:rPr>
                <w:sz w:val="14"/>
                <w:szCs w:val="14"/>
                <w:color w:val="auto"/>
              </w:rPr>
            </w:pPr>
          </w:p>
        </w:tc>
        <w:tc>
          <w:tcPr>
            <w:tcW w:w="3800" w:type="dxa"/>
            <w:vAlign w:val="bottom"/>
          </w:tcPr>
          <w:p>
            <w:pPr>
              <w:ind w:left="180"/>
              <w:spacing w:after="0"/>
              <w:rPr>
                <w:sz w:val="20"/>
                <w:szCs w:val="20"/>
                <w:color w:val="auto"/>
              </w:rPr>
            </w:pPr>
            <w:r>
              <w:rPr>
                <w:rFonts w:ascii="Arial" w:cs="Arial" w:eastAsia="Arial" w:hAnsi="Arial"/>
                <w:sz w:val="14"/>
                <w:szCs w:val="14"/>
                <w:color w:val="0E2A35"/>
              </w:rPr>
              <w:t>$.01 par value.</w:t>
            </w:r>
          </w:p>
        </w:tc>
        <w:tc>
          <w:tcPr>
            <w:tcW w:w="3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Dividends,</w:t>
      </w:r>
      <w:r>
        <w:rPr>
          <w:sz w:val="20"/>
          <w:szCs w:val="20"/>
          <w:color w:val="auto"/>
        </w:rPr>
        <w:tab/>
      </w:r>
      <w:r>
        <w:rPr>
          <w:rFonts w:ascii="Arial" w:cs="Arial" w:eastAsia="Arial" w:hAnsi="Arial"/>
          <w:sz w:val="14"/>
          <w:szCs w:val="14"/>
          <w:color w:val="0E2A35"/>
        </w:rPr>
        <w:t>Under the IBCA and unless otherwise provided by the</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Repurchases and</w:t>
      </w:r>
      <w:r>
        <w:rPr>
          <w:sz w:val="20"/>
          <w:szCs w:val="20"/>
          <w:color w:val="auto"/>
        </w:rPr>
        <w:tab/>
      </w:r>
      <w:r>
        <w:rPr>
          <w:rFonts w:ascii="Arial" w:cs="Arial" w:eastAsia="Arial" w:hAnsi="Arial"/>
          <w:sz w:val="14"/>
          <w:szCs w:val="14"/>
          <w:color w:val="0E2A35"/>
        </w:rPr>
        <w:t>corporation’s articles of incorporation, a corporation may</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Redemption</w:t>
      </w:r>
      <w:r>
        <w:rPr>
          <w:sz w:val="20"/>
          <w:szCs w:val="20"/>
          <w:color w:val="auto"/>
        </w:rPr>
        <w:tab/>
      </w:r>
      <w:r>
        <w:rPr>
          <w:rFonts w:ascii="Arial" w:cs="Arial" w:eastAsia="Arial" w:hAnsi="Arial"/>
          <w:sz w:val="14"/>
          <w:szCs w:val="14"/>
          <w:color w:val="0E2A35"/>
        </w:rPr>
        <w:t>not make any distribution if, after making the</w:t>
      </w:r>
    </w:p>
    <w:p>
      <w:pPr>
        <w:spacing w:after="0" w:line="1" w:lineRule="exact"/>
        <w:rPr>
          <w:sz w:val="20"/>
          <w:szCs w:val="20"/>
          <w:color w:val="auto"/>
        </w:rPr>
      </w:pPr>
    </w:p>
    <w:p>
      <w:pPr>
        <w:ind w:left="2660" w:right="20"/>
        <w:spacing w:after="0" w:line="243" w:lineRule="auto"/>
        <w:rPr>
          <w:sz w:val="20"/>
          <w:szCs w:val="20"/>
          <w:color w:val="auto"/>
        </w:rPr>
      </w:pPr>
      <w:r>
        <w:rPr>
          <w:rFonts w:ascii="Arial" w:cs="Arial" w:eastAsia="Arial" w:hAnsi="Arial"/>
          <w:sz w:val="14"/>
          <w:szCs w:val="14"/>
          <w:color w:val="0E2A35"/>
        </w:rPr>
        <w:t>distribution, (a) the corporation would not be able to pay its debts as they become due in the usual course of business or (b) the corporation’s total assets would be less than the sum of its total liabilities plus the amount that would be needed, if the corporation were to be dissolved, to satisfy the preferential rights of shareholders whose rights are superior to those receiving the distribution.</w:t>
      </w:r>
    </w:p>
    <w:p>
      <w:pPr>
        <w:spacing w:after="0" w:line="154" w:lineRule="exact"/>
        <w:rPr>
          <w:sz w:val="20"/>
          <w:szCs w:val="20"/>
          <w:color w:val="auto"/>
        </w:rPr>
      </w:pPr>
    </w:p>
    <w:p>
      <w:pPr>
        <w:ind w:left="2660"/>
        <w:spacing w:after="0" w:line="243" w:lineRule="auto"/>
        <w:rPr>
          <w:sz w:val="20"/>
          <w:szCs w:val="20"/>
          <w:color w:val="auto"/>
        </w:rPr>
      </w:pPr>
      <w:r>
        <w:rPr>
          <w:rFonts w:ascii="Arial" w:cs="Arial" w:eastAsia="Arial" w:hAnsi="Arial"/>
          <w:sz w:val="14"/>
          <w:szCs w:val="14"/>
          <w:color w:val="0E2A35"/>
        </w:rPr>
        <w:t>The Iowa Articles provide that holders of our common stock are not entitled to receive dividends until after the requirements with respect to preferential dividends upon the Series Preference Stock of all classes and series thereof have been met and after the Company has complied with all requirements, if any, with respect to a sinking fund or redemption or purchase account for the benefit of any class or series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60325</wp:posOffset>
            </wp:positionV>
            <wp:extent cx="58978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060"/>
        <w:spacing w:after="0" w:line="242" w:lineRule="auto"/>
        <w:rPr>
          <w:sz w:val="20"/>
          <w:szCs w:val="20"/>
          <w:color w:val="auto"/>
        </w:rPr>
      </w:pPr>
      <w:r>
        <w:rPr>
          <w:rFonts w:ascii="Arial" w:cs="Arial" w:eastAsia="Arial" w:hAnsi="Arial"/>
          <w:sz w:val="14"/>
          <w:szCs w:val="14"/>
          <w:color w:val="0E2A35"/>
        </w:rPr>
        <w:t>Under the MBCA, a corporation may not make a distribution unless the corporation's board of directors determines that the corporation can pay its debts in the ordinary course of business after making the distribution. In addition, a distribution may be made to the holders of a class or series of shares only if: (a) all amounts payable to the holders of shares having a preference for the payment of that kind of distribution, except those holders who have waived such rights, are paid; and (b) the payment of the distribution does not reduce the remaining net assets of the corporation below the aggregate preferential amount payable in the event of liquidation to the holders of shares having preferential rights, except as otherwise permitted under Minnesota law. The right of a corporation to make distributions can also be limited by the articles of incorporation or bylaws or an agreement.</w:t>
      </w:r>
    </w:p>
    <w:p>
      <w:pPr>
        <w:spacing w:after="0" w:line="156" w:lineRule="exact"/>
        <w:rPr>
          <w:sz w:val="20"/>
          <w:szCs w:val="20"/>
          <w:color w:val="auto"/>
        </w:rPr>
      </w:pPr>
    </w:p>
    <w:p>
      <w:pPr>
        <w:ind w:right="1240"/>
        <w:spacing w:after="0" w:line="258" w:lineRule="auto"/>
        <w:rPr>
          <w:sz w:val="20"/>
          <w:szCs w:val="20"/>
          <w:color w:val="auto"/>
        </w:rPr>
      </w:pPr>
      <w:r>
        <w:rPr>
          <w:rFonts w:ascii="Arial" w:cs="Arial" w:eastAsia="Arial" w:hAnsi="Arial"/>
          <w:sz w:val="14"/>
          <w:szCs w:val="14"/>
          <w:color w:val="0E2A35"/>
        </w:rPr>
        <w:t>The proposed Minnesota Articles do not provide any additional limitations on distributions.</w:t>
      </w:r>
    </w:p>
    <w:p>
      <w:pPr>
        <w:spacing w:after="0" w:line="189"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ind w:left="1000"/>
        <w:spacing w:after="0" w:line="254" w:lineRule="auto"/>
        <w:rPr>
          <w:sz w:val="20"/>
          <w:szCs w:val="20"/>
          <w:color w:val="auto"/>
        </w:rPr>
      </w:pPr>
      <w:r>
        <w:rPr>
          <w:rFonts w:ascii="Arial" w:cs="Arial" w:eastAsia="Arial" w:hAnsi="Arial"/>
          <w:sz w:val="14"/>
          <w:szCs w:val="14"/>
          <w:b w:val="1"/>
          <w:bCs w:val="1"/>
          <w:color w:val="0E2A35"/>
        </w:rPr>
        <w:t xml:space="preserve">Election of Directors; </w:t>
      </w:r>
      <w:r>
        <w:rPr>
          <w:rFonts w:ascii="Arial" w:cs="Arial" w:eastAsia="Arial" w:hAnsi="Arial"/>
          <w:sz w:val="14"/>
          <w:szCs w:val="14"/>
          <w:color w:val="0E2A35"/>
        </w:rPr>
        <w:t>The Iowa Articles and By-Laws provide that the board of</w:t>
      </w:r>
      <w:r>
        <w:rPr>
          <w:rFonts w:ascii="Arial" w:cs="Arial" w:eastAsia="Arial" w:hAnsi="Arial"/>
          <w:sz w:val="14"/>
          <w:szCs w:val="14"/>
          <w:b w:val="1"/>
          <w:bCs w:val="1"/>
          <w:color w:val="0E2A35"/>
        </w:rPr>
        <w:t xml:space="preserve"> Classified Board with </w:t>
      </w:r>
      <w:r>
        <w:rPr>
          <w:rFonts w:ascii="Arial" w:cs="Arial" w:eastAsia="Arial" w:hAnsi="Arial"/>
          <w:sz w:val="14"/>
          <w:szCs w:val="14"/>
          <w:color w:val="0E2A35"/>
        </w:rPr>
        <w:t>directors is divided into three classes, with directors</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Staggered Terms</w:t>
      </w:r>
      <w:r>
        <w:rPr>
          <w:sz w:val="20"/>
          <w:szCs w:val="20"/>
          <w:color w:val="auto"/>
        </w:rPr>
        <w:tab/>
      </w:r>
      <w:r>
        <w:rPr>
          <w:rFonts w:ascii="Arial" w:cs="Arial" w:eastAsia="Arial" w:hAnsi="Arial"/>
          <w:sz w:val="14"/>
          <w:szCs w:val="14"/>
          <w:color w:val="0E2A35"/>
        </w:rPr>
        <w:t>serving staggered three-year terms.</w:t>
      </w:r>
    </w:p>
    <w:p>
      <w:pPr>
        <w:spacing w:after="0" w:line="163" w:lineRule="exact"/>
        <w:rPr>
          <w:sz w:val="20"/>
          <w:szCs w:val="20"/>
          <w:color w:val="auto"/>
        </w:rPr>
      </w:pPr>
    </w:p>
    <w:p>
      <w:pPr>
        <w:ind w:left="2660" w:right="60"/>
        <w:spacing w:after="0" w:line="244" w:lineRule="auto"/>
        <w:rPr>
          <w:sz w:val="20"/>
          <w:szCs w:val="20"/>
          <w:color w:val="auto"/>
        </w:rPr>
      </w:pPr>
      <w:r>
        <w:rPr>
          <w:rFonts w:ascii="Arial" w:cs="Arial" w:eastAsia="Arial" w:hAnsi="Arial"/>
          <w:sz w:val="14"/>
          <w:szCs w:val="14"/>
          <w:color w:val="0E2A35"/>
        </w:rPr>
        <w:t>The Iowa Articles also provide that any alteration, amendment or adoption of a provision inconsistent with the classified-board article requires the affirmative vote of the holders of at least 75% of all issued and outstanding shares of the corporation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20"/>
        <w:spacing w:after="0" w:line="245" w:lineRule="auto"/>
        <w:rPr>
          <w:sz w:val="20"/>
          <w:szCs w:val="20"/>
          <w:color w:val="auto"/>
        </w:rPr>
      </w:pPr>
      <w:r>
        <w:rPr>
          <w:rFonts w:ascii="Arial" w:cs="Arial" w:eastAsia="Arial" w:hAnsi="Arial"/>
          <w:sz w:val="14"/>
          <w:szCs w:val="14"/>
          <w:color w:val="0E2A35"/>
        </w:rPr>
        <w:t>No change. The proposed Minnesota Articles and Bylaws are substantially identical to the Iowa Articles and By-Laws with respect to the classification of the board of directors and the required super-majority shareholder vote for any changes to that provision.</w:t>
      </w:r>
    </w:p>
    <w:p>
      <w:pPr>
        <w:spacing w:after="0" w:line="1008"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 w:lineRule="exact"/>
        <w:rPr>
          <w:sz w:val="20"/>
          <w:szCs w:val="20"/>
          <w:color w:val="auto"/>
        </w:rPr>
      </w:pPr>
    </w:p>
    <w:p>
      <w:pPr>
        <w:ind w:left="2660" w:hanging="1660"/>
        <w:spacing w:after="0" w:line="247" w:lineRule="auto"/>
        <w:tabs>
          <w:tab w:leader="none" w:pos="2640" w:val="left"/>
        </w:tabs>
        <w:rPr>
          <w:sz w:val="20"/>
          <w:szCs w:val="20"/>
          <w:color w:val="auto"/>
        </w:rPr>
      </w:pPr>
      <w:r>
        <w:rPr>
          <w:rFonts w:ascii="Arial" w:cs="Arial" w:eastAsia="Arial" w:hAnsi="Arial"/>
          <w:sz w:val="14"/>
          <w:szCs w:val="14"/>
          <w:b w:val="1"/>
          <w:bCs w:val="1"/>
          <w:color w:val="0E2A35"/>
        </w:rPr>
        <w:t>Number of Directors</w:t>
      </w:r>
      <w:r>
        <w:rPr>
          <w:sz w:val="20"/>
          <w:szCs w:val="20"/>
          <w:color w:val="auto"/>
        </w:rPr>
        <w:tab/>
      </w:r>
      <w:r>
        <w:rPr>
          <w:rFonts w:ascii="Arial" w:cs="Arial" w:eastAsia="Arial" w:hAnsi="Arial"/>
          <w:sz w:val="14"/>
          <w:szCs w:val="14"/>
          <w:color w:val="0E2A35"/>
        </w:rPr>
        <w:t>The IBCA provides that the board of directors must consist of one or more individuals, with the exact number of directors to be fixed in accordance with the articles of incorporation or bylaws.</w:t>
      </w:r>
    </w:p>
    <w:p>
      <w:pPr>
        <w:spacing w:after="0" w:line="165" w:lineRule="exact"/>
        <w:rPr>
          <w:sz w:val="20"/>
          <w:szCs w:val="20"/>
          <w:color w:val="auto"/>
        </w:rPr>
      </w:pPr>
    </w:p>
    <w:p>
      <w:pPr>
        <w:ind w:left="2660"/>
        <w:spacing w:after="0" w:line="249" w:lineRule="auto"/>
        <w:rPr>
          <w:sz w:val="20"/>
          <w:szCs w:val="20"/>
          <w:color w:val="auto"/>
        </w:rPr>
      </w:pPr>
      <w:r>
        <w:rPr>
          <w:rFonts w:ascii="Arial" w:cs="Arial" w:eastAsia="Arial" w:hAnsi="Arial"/>
          <w:sz w:val="14"/>
          <w:szCs w:val="14"/>
          <w:color w:val="0E2A35"/>
        </w:rPr>
        <w:t>The Iowa Articles provide that the number of directors will be between 3 and 15, with the exact number of directors to be fixed by the board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060"/>
        <w:spacing w:after="0" w:line="249" w:lineRule="auto"/>
        <w:rPr>
          <w:sz w:val="20"/>
          <w:szCs w:val="20"/>
          <w:color w:val="auto"/>
        </w:rPr>
      </w:pPr>
      <w:r>
        <w:rPr>
          <w:rFonts w:ascii="Arial" w:cs="Arial" w:eastAsia="Arial" w:hAnsi="Arial"/>
          <w:sz w:val="14"/>
          <w:szCs w:val="14"/>
          <w:color w:val="0E2A35"/>
        </w:rPr>
        <w:t>No change. The MBCA and the Minnesota Articles are substantially identical to the IBCA and the Iowa Articles with respect to the number of directors.</w:t>
      </w:r>
    </w:p>
    <w:p>
      <w:pPr>
        <w:spacing w:after="0" w:line="1006" w:lineRule="exact"/>
        <w:rPr>
          <w:sz w:val="20"/>
          <w:szCs w:val="20"/>
          <w:color w:val="auto"/>
        </w:rPr>
      </w:pPr>
    </w:p>
    <w:p>
      <w:pPr>
        <w:sectPr>
          <w:pgSz w:w="11900" w:h="16838" w:orient="portrait"/>
          <w:cols w:equalWidth="0" w:num="2">
            <w:col w:w="6080" w:space="36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Vote Required to</w:t>
      </w:r>
      <w:r>
        <w:rPr>
          <w:sz w:val="20"/>
          <w:szCs w:val="20"/>
          <w:color w:val="auto"/>
        </w:rPr>
        <w:tab/>
      </w:r>
      <w:r>
        <w:rPr>
          <w:rFonts w:ascii="Arial" w:cs="Arial" w:eastAsia="Arial" w:hAnsi="Arial"/>
          <w:sz w:val="14"/>
          <w:szCs w:val="14"/>
          <w:color w:val="0E2A35"/>
        </w:rPr>
        <w:t>Under the IBCA, a corporation’s directors are elected by</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Elect Directors</w:t>
      </w:r>
      <w:r>
        <w:rPr>
          <w:sz w:val="20"/>
          <w:szCs w:val="20"/>
          <w:color w:val="auto"/>
        </w:rPr>
        <w:tab/>
      </w:r>
      <w:r>
        <w:rPr>
          <w:rFonts w:ascii="Arial" w:cs="Arial" w:eastAsia="Arial" w:hAnsi="Arial"/>
          <w:sz w:val="14"/>
          <w:szCs w:val="14"/>
          <w:color w:val="0E2A35"/>
        </w:rPr>
        <w:t>a plurality of the votes cast unless its articles of</w:t>
      </w:r>
    </w:p>
    <w:p>
      <w:pPr>
        <w:spacing w:after="0" w:line="1" w:lineRule="exact"/>
        <w:rPr>
          <w:sz w:val="20"/>
          <w:szCs w:val="20"/>
          <w:color w:val="auto"/>
        </w:rPr>
      </w:pPr>
    </w:p>
    <w:p>
      <w:pPr>
        <w:ind w:left="2660" w:right="220"/>
        <w:spacing w:after="0" w:line="249" w:lineRule="auto"/>
        <w:rPr>
          <w:sz w:val="20"/>
          <w:szCs w:val="20"/>
          <w:color w:val="auto"/>
        </w:rPr>
      </w:pPr>
      <w:r>
        <w:rPr>
          <w:rFonts w:ascii="Arial" w:cs="Arial" w:eastAsia="Arial" w:hAnsi="Arial"/>
          <w:sz w:val="14"/>
          <w:szCs w:val="14"/>
          <w:color w:val="0E2A35"/>
        </w:rPr>
        <w:t>incorporation specify otherwise. The Iowa Articles do not specify otherwise, and therefore directors are elected by a plurality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124460</wp:posOffset>
            </wp:positionV>
            <wp:extent cx="58978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160"/>
        <w:spacing w:after="0" w:line="247" w:lineRule="auto"/>
        <w:rPr>
          <w:sz w:val="20"/>
          <w:szCs w:val="20"/>
          <w:color w:val="auto"/>
        </w:rPr>
      </w:pPr>
      <w:r>
        <w:rPr>
          <w:rFonts w:ascii="Arial" w:cs="Arial" w:eastAsia="Arial" w:hAnsi="Arial"/>
          <w:sz w:val="14"/>
          <w:szCs w:val="14"/>
          <w:color w:val="0E2A35"/>
        </w:rPr>
        <w:t>No change. The MBCA and the proposed Minnesota Articles are substantially identical to the IBCA and the Iowa Articles with respect to the vote required to elect directors and the absence of cumulative voting.</w:t>
      </w:r>
    </w:p>
    <w:p>
      <w:pPr>
        <w:spacing w:after="0" w:line="362"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7" w:name="page78"/>
    <w:bookmarkEnd w:id="7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line="247" w:lineRule="auto"/>
        <w:rPr>
          <w:sz w:val="20"/>
          <w:szCs w:val="20"/>
          <w:color w:val="auto"/>
        </w:rPr>
      </w:pPr>
      <w:r>
        <w:rPr>
          <w:rFonts w:ascii="Arial" w:cs="Arial" w:eastAsia="Arial" w:hAnsi="Arial"/>
          <w:sz w:val="14"/>
          <w:szCs w:val="14"/>
          <w:color w:val="0E2A35"/>
        </w:rPr>
        <w:t>Under the IBCA, shareholders do not have cumulative voting rights in the election of directors unless a corporation’s articles of incorporation so provide. The Iowa Articles do not provide for cumulative voting.</w:t>
      </w:r>
    </w:p>
    <w:p>
      <w:pPr>
        <w:spacing w:after="0" w:line="147" w:lineRule="exact"/>
        <w:rPr>
          <w:sz w:val="20"/>
          <w:szCs w:val="20"/>
          <w:color w:val="auto"/>
        </w:rPr>
      </w:pPr>
    </w:p>
    <w:p>
      <w:pPr>
        <w:ind w:left="2660" w:right="40"/>
        <w:spacing w:after="0" w:line="249" w:lineRule="auto"/>
        <w:rPr>
          <w:sz w:val="20"/>
          <w:szCs w:val="20"/>
          <w:color w:val="auto"/>
        </w:rPr>
      </w:pPr>
      <w:r>
        <w:rPr>
          <w:rFonts w:ascii="Arial" w:cs="Arial" w:eastAsia="Arial" w:hAnsi="Arial"/>
          <w:sz w:val="14"/>
          <w:szCs w:val="14"/>
          <w:color w:val="0E2A35"/>
        </w:rPr>
        <w:t>We have adopted a governance guideline requiring directors who do not receive a majority vote to tender their resignations in accordance with the guideline.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360"/>
        <w:spacing w:after="0" w:line="249" w:lineRule="auto"/>
        <w:rPr>
          <w:sz w:val="20"/>
          <w:szCs w:val="20"/>
          <w:color w:val="auto"/>
        </w:rPr>
      </w:pPr>
      <w:r>
        <w:rPr>
          <w:rFonts w:ascii="Arial" w:cs="Arial" w:eastAsia="Arial" w:hAnsi="Arial"/>
          <w:sz w:val="14"/>
          <w:szCs w:val="14"/>
          <w:color w:val="0E2A35"/>
        </w:rPr>
        <w:t>The majority-vote resignation provision in the governance guidelines will continue to apply to the Minnesota Company.</w:t>
      </w:r>
    </w:p>
    <w:p>
      <w:pPr>
        <w:spacing w:after="0" w:line="1006" w:lineRule="exact"/>
        <w:rPr>
          <w:sz w:val="20"/>
          <w:szCs w:val="20"/>
          <w:color w:val="auto"/>
        </w:rPr>
      </w:pPr>
    </w:p>
    <w:p>
      <w:pPr>
        <w:sectPr>
          <w:pgSz w:w="11900" w:h="16838" w:orient="portrait"/>
          <w:cols w:equalWidth="0" w:num="2">
            <w:col w:w="6100" w:space="34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Vote Required of</w:t>
      </w:r>
      <w:r>
        <w:rPr>
          <w:sz w:val="20"/>
          <w:szCs w:val="20"/>
          <w:color w:val="auto"/>
        </w:rPr>
        <w:tab/>
      </w:r>
      <w:r>
        <w:rPr>
          <w:rFonts w:ascii="Arial" w:cs="Arial" w:eastAsia="Arial" w:hAnsi="Arial"/>
          <w:sz w:val="14"/>
          <w:szCs w:val="14"/>
          <w:color w:val="0E2A35"/>
        </w:rPr>
        <w:t>The IBCA provides that if an action, other than the</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Shareholders</w:t>
      </w:r>
      <w:r>
        <w:rPr>
          <w:sz w:val="20"/>
          <w:szCs w:val="20"/>
          <w:color w:val="auto"/>
        </w:rPr>
        <w:tab/>
      </w:r>
      <w:r>
        <w:rPr>
          <w:rFonts w:ascii="Arial" w:cs="Arial" w:eastAsia="Arial" w:hAnsi="Arial"/>
          <w:sz w:val="14"/>
          <w:szCs w:val="14"/>
          <w:color w:val="0E2A35"/>
        </w:rPr>
        <w:t>election of directors, is to be taken by vote of the</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Generally</w:t>
      </w:r>
      <w:r>
        <w:rPr>
          <w:sz w:val="20"/>
          <w:szCs w:val="20"/>
          <w:color w:val="auto"/>
        </w:rPr>
        <w:tab/>
      </w:r>
      <w:r>
        <w:rPr>
          <w:rFonts w:ascii="Arial" w:cs="Arial" w:eastAsia="Arial" w:hAnsi="Arial"/>
          <w:sz w:val="14"/>
          <w:szCs w:val="14"/>
          <w:color w:val="0E2A35"/>
        </w:rPr>
        <w:t>shareholders, it will be authorized by a majority of the</w:t>
      </w:r>
    </w:p>
    <w:p>
      <w:pPr>
        <w:spacing w:after="0" w:line="1"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votes cast by the holders of shares entitled to vote on the action, unless a greater vote is required by the corporation’s articles of incorporation or another provision of Iowa law. The Iowa Articles do not require a greater vote, and therefore shareholder actions are authorized by a majority of votes cast by the holders of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161290</wp:posOffset>
            </wp:positionV>
            <wp:extent cx="58978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20"/>
        <w:spacing w:after="0" w:line="243" w:lineRule="auto"/>
        <w:rPr>
          <w:sz w:val="20"/>
          <w:szCs w:val="20"/>
          <w:color w:val="auto"/>
        </w:rPr>
      </w:pPr>
      <w:r>
        <w:rPr>
          <w:rFonts w:ascii="Arial" w:cs="Arial" w:eastAsia="Arial" w:hAnsi="Arial"/>
          <w:sz w:val="14"/>
          <w:szCs w:val="14"/>
          <w:color w:val="0E2A35"/>
        </w:rPr>
        <w:t>The MBCA provides that, except for the election of directors, shareholders shall take action by the affirmative vote of the greater of (1) a majority of the voting power of the shares present and entitled to vote on that item of business or (2) a majority of the voting power of the minimum number of shares entitled to vote that would constitute a quorum for the transaction of business at the meeting, except where the MBCA or the corporation’s articles of incorporation require a larger proportion or number. The proposed Minnesota Articles are substantially identical to the Iowa Articles.</w:t>
      </w:r>
    </w:p>
    <w:p>
      <w:pPr>
        <w:spacing w:after="0" w:line="200"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Qualification of</w:t>
      </w:r>
      <w:r>
        <w:rPr>
          <w:sz w:val="20"/>
          <w:szCs w:val="20"/>
          <w:color w:val="auto"/>
        </w:rPr>
        <w:tab/>
      </w:r>
      <w:r>
        <w:rPr>
          <w:rFonts w:ascii="Arial" w:cs="Arial" w:eastAsia="Arial" w:hAnsi="Arial"/>
          <w:sz w:val="14"/>
          <w:szCs w:val="14"/>
          <w:color w:val="0E2A35"/>
        </w:rPr>
        <w:t>Under the IBCA, the articles of incorporation or bylaws</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Directors</w:t>
      </w:r>
      <w:r>
        <w:rPr>
          <w:sz w:val="20"/>
          <w:szCs w:val="20"/>
          <w:color w:val="auto"/>
        </w:rPr>
        <w:tab/>
      </w:r>
      <w:r>
        <w:rPr>
          <w:rFonts w:ascii="Arial" w:cs="Arial" w:eastAsia="Arial" w:hAnsi="Arial"/>
          <w:sz w:val="14"/>
          <w:szCs w:val="14"/>
          <w:color w:val="0E2A35"/>
        </w:rPr>
        <w:t>may prescribe qualifications for directors.</w:t>
      </w:r>
    </w:p>
    <w:p>
      <w:pPr>
        <w:spacing w:after="0" w:line="163" w:lineRule="exact"/>
        <w:rPr>
          <w:sz w:val="20"/>
          <w:szCs w:val="20"/>
          <w:color w:val="auto"/>
        </w:rPr>
      </w:pPr>
    </w:p>
    <w:p>
      <w:pPr>
        <w:ind w:left="2660"/>
        <w:spacing w:after="0" w:line="249" w:lineRule="auto"/>
        <w:rPr>
          <w:sz w:val="20"/>
          <w:szCs w:val="20"/>
          <w:color w:val="auto"/>
        </w:rPr>
      </w:pPr>
      <w:r>
        <w:rPr>
          <w:rFonts w:ascii="Arial" w:cs="Arial" w:eastAsia="Arial" w:hAnsi="Arial"/>
          <w:sz w:val="14"/>
          <w:szCs w:val="14"/>
          <w:color w:val="0E2A35"/>
        </w:rPr>
        <w:t>Neither the Iowa Articles nor the Iowa By-Laws identify any qualifications for persons serving as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20"/>
        <w:spacing w:after="0" w:line="246" w:lineRule="auto"/>
        <w:rPr>
          <w:sz w:val="20"/>
          <w:szCs w:val="20"/>
          <w:color w:val="auto"/>
        </w:rPr>
      </w:pPr>
      <w:r>
        <w:rPr>
          <w:rFonts w:ascii="Arial" w:cs="Arial" w:eastAsia="Arial" w:hAnsi="Arial"/>
          <w:sz w:val="14"/>
          <w:szCs w:val="14"/>
          <w:color w:val="0E2A35"/>
        </w:rPr>
        <w:t>No change. The MBCA and the proposed Minnesota Articles and Minnesota Bylaws are substantially identical to the IBCA and the Iowa Articles and Iowa By-Laws with respect to the absence of any qualifications for directors.</w:t>
      </w:r>
    </w:p>
    <w:p>
      <w:pPr>
        <w:spacing w:after="0" w:line="523"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ind w:left="2660" w:hanging="1660"/>
        <w:spacing w:after="0" w:line="245" w:lineRule="auto"/>
        <w:tabs>
          <w:tab w:leader="none" w:pos="2640" w:val="left"/>
        </w:tabs>
        <w:rPr>
          <w:sz w:val="20"/>
          <w:szCs w:val="20"/>
          <w:color w:val="auto"/>
        </w:rPr>
      </w:pPr>
      <w:r>
        <w:rPr>
          <w:rFonts w:ascii="Arial" w:cs="Arial" w:eastAsia="Arial" w:hAnsi="Arial"/>
          <w:sz w:val="14"/>
          <w:szCs w:val="14"/>
          <w:b w:val="1"/>
          <w:bCs w:val="1"/>
          <w:color w:val="0E2A35"/>
        </w:rPr>
        <w:t>Removal of Directors</w:t>
      </w:r>
      <w:r>
        <w:rPr>
          <w:sz w:val="20"/>
          <w:szCs w:val="20"/>
          <w:color w:val="auto"/>
        </w:rPr>
        <w:tab/>
      </w:r>
      <w:r>
        <w:rPr>
          <w:rFonts w:ascii="Arial" w:cs="Arial" w:eastAsia="Arial" w:hAnsi="Arial"/>
          <w:sz w:val="14"/>
          <w:szCs w:val="14"/>
          <w:color w:val="0E2A35"/>
        </w:rPr>
        <w:t>Under the IBCA, shareholders may remove one or more directors with or without cause unless the articles of incorporation provide that directors may be removed only for cause. The Iowa Articles provide that directors may be removed only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789940</wp:posOffset>
            </wp:positionV>
            <wp:extent cx="58978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180"/>
        <w:spacing w:after="0" w:line="249" w:lineRule="auto"/>
        <w:rPr>
          <w:sz w:val="20"/>
          <w:szCs w:val="20"/>
          <w:color w:val="auto"/>
        </w:rPr>
      </w:pPr>
      <w:r>
        <w:rPr>
          <w:rFonts w:ascii="Arial" w:cs="Arial" w:eastAsia="Arial" w:hAnsi="Arial"/>
          <w:sz w:val="14"/>
          <w:szCs w:val="14"/>
          <w:color w:val="0E2A35"/>
        </w:rPr>
        <w:t>No change. The MBCA and the proposed Minnesota Articles are substantially the same with respect to the removal of directors by shareholders.</w:t>
      </w:r>
    </w:p>
    <w:p>
      <w:pPr>
        <w:spacing w:after="0" w:line="147" w:lineRule="exact"/>
        <w:rPr>
          <w:sz w:val="20"/>
          <w:szCs w:val="20"/>
          <w:color w:val="auto"/>
        </w:rPr>
      </w:pPr>
    </w:p>
    <w:p>
      <w:pPr>
        <w:ind w:right="1020"/>
        <w:spacing w:after="0" w:line="243" w:lineRule="auto"/>
        <w:rPr>
          <w:sz w:val="20"/>
          <w:szCs w:val="20"/>
          <w:color w:val="auto"/>
        </w:rPr>
      </w:pPr>
      <w:r>
        <w:rPr>
          <w:rFonts w:ascii="Arial" w:cs="Arial" w:eastAsia="Arial" w:hAnsi="Arial"/>
          <w:sz w:val="14"/>
          <w:szCs w:val="14"/>
          <w:color w:val="0E2A35"/>
        </w:rPr>
        <w:t>The MBCA also has a provision providing that a director may be removed if (a) the director was named by the board of directors to fill a vacancy; (b) the shareholders have not elected directors in the interval between the time of the appointment to fill a vacancy and the time of the removal; and (c) a majority of the remaining directors present affirmatively vote to remove the director.</w:t>
      </w:r>
    </w:p>
    <w:p>
      <w:pPr>
        <w:spacing w:after="0" w:line="200"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Filling a Vacancy on</w:t>
      </w:r>
      <w:r>
        <w:rPr>
          <w:sz w:val="20"/>
          <w:szCs w:val="20"/>
          <w:color w:val="auto"/>
        </w:rPr>
        <w:tab/>
      </w:r>
      <w:r>
        <w:rPr>
          <w:rFonts w:ascii="Arial" w:cs="Arial" w:eastAsia="Arial" w:hAnsi="Arial"/>
          <w:sz w:val="14"/>
          <w:szCs w:val="14"/>
          <w:color w:val="0E2A35"/>
        </w:rPr>
        <w:t>Under the IBCA, unless otherwise provided in the</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the Board of</w:t>
      </w:r>
      <w:r>
        <w:rPr>
          <w:sz w:val="20"/>
          <w:szCs w:val="20"/>
          <w:color w:val="auto"/>
        </w:rPr>
        <w:tab/>
      </w:r>
      <w:r>
        <w:rPr>
          <w:rFonts w:ascii="Arial" w:cs="Arial" w:eastAsia="Arial" w:hAnsi="Arial"/>
          <w:sz w:val="14"/>
          <w:szCs w:val="14"/>
          <w:color w:val="0E2A35"/>
        </w:rPr>
        <w:t>articles of incorporation, if a vacancy occurs on the</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Directors</w:t>
      </w:r>
      <w:r>
        <w:rPr>
          <w:sz w:val="20"/>
          <w:szCs w:val="20"/>
          <w:color w:val="auto"/>
        </w:rPr>
        <w:tab/>
      </w:r>
      <w:r>
        <w:rPr>
          <w:rFonts w:ascii="Arial" w:cs="Arial" w:eastAsia="Arial" w:hAnsi="Arial"/>
          <w:sz w:val="14"/>
          <w:szCs w:val="14"/>
          <w:color w:val="0E2A35"/>
        </w:rPr>
        <w:t>board of directors, including a vacancy resulting from an</w:t>
      </w:r>
    </w:p>
    <w:p>
      <w:pPr>
        <w:spacing w:after="0" w:line="1"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increase in the number of directors, the vacancy may be filled by the shareholders or the board. If the directors remaining in office constitute fewer than a quorum of the board, they may fill the vacancy by the affirmative vote of a majority of all directors remaining in office. The Iowa Articles do not vary from Iowa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980"/>
        <w:spacing w:after="0" w:line="243" w:lineRule="auto"/>
        <w:rPr>
          <w:sz w:val="20"/>
          <w:szCs w:val="20"/>
          <w:color w:val="auto"/>
        </w:rPr>
      </w:pPr>
      <w:r>
        <w:rPr>
          <w:rFonts w:ascii="Arial" w:cs="Arial" w:eastAsia="Arial" w:hAnsi="Arial"/>
          <w:sz w:val="14"/>
          <w:szCs w:val="14"/>
          <w:color w:val="0E2A35"/>
        </w:rPr>
        <w:t>Under the MBCA, unless otherwise provided in the articles of incorporation or bylaws, vacancies on the board of directors will be filled for the unexpired term by a majority of the remaining directors of the board although less than a quorum, and newly created directorships may be filled by the affirmative vote of a majority of directors serving at the time of the increase. The proposed Minnesota Articles and Minnesota Bylaws do not vary from Minnesota law.</w:t>
      </w:r>
    </w:p>
    <w:p>
      <w:pPr>
        <w:spacing w:after="0" w:line="201"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Multiple-</w:t>
      </w:r>
      <w:r>
        <w:rPr>
          <w:sz w:val="20"/>
          <w:szCs w:val="20"/>
          <w:color w:val="auto"/>
        </w:rPr>
        <w:tab/>
      </w:r>
      <w:r>
        <w:rPr>
          <w:rFonts w:ascii="Arial" w:cs="Arial" w:eastAsia="Arial" w:hAnsi="Arial"/>
          <w:sz w:val="14"/>
          <w:szCs w:val="14"/>
          <w:color w:val="0E2A35"/>
        </w:rPr>
        <w:t>Under the IBCA, in considering a proposed acquisition</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Constituency</w:t>
      </w:r>
      <w:r>
        <w:rPr>
          <w:sz w:val="20"/>
          <w:szCs w:val="20"/>
          <w:color w:val="auto"/>
        </w:rPr>
        <w:tab/>
      </w:r>
      <w:r>
        <w:rPr>
          <w:rFonts w:ascii="Arial" w:cs="Arial" w:eastAsia="Arial" w:hAnsi="Arial"/>
          <w:sz w:val="14"/>
          <w:szCs w:val="14"/>
          <w:color w:val="0E2A35"/>
        </w:rPr>
        <w:t>of an interest in the corporation, the board of directors is</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Provision</w:t>
      </w:r>
      <w:r>
        <w:rPr>
          <w:sz w:val="20"/>
          <w:szCs w:val="20"/>
          <w:color w:val="auto"/>
        </w:rPr>
        <w:tab/>
      </w:r>
      <w:r>
        <w:rPr>
          <w:rFonts w:ascii="Arial" w:cs="Arial" w:eastAsia="Arial" w:hAnsi="Arial"/>
          <w:sz w:val="14"/>
          <w:szCs w:val="14"/>
          <w:color w:val="0E2A35"/>
        </w:rPr>
        <w:t>authorized to consider the interests of the corporation’s</w:t>
      </w:r>
    </w:p>
    <w:p>
      <w:pPr>
        <w:spacing w:after="0" w:line="1" w:lineRule="exact"/>
        <w:rPr>
          <w:sz w:val="20"/>
          <w:szCs w:val="20"/>
          <w:color w:val="auto"/>
        </w:rPr>
      </w:pPr>
    </w:p>
    <w:p>
      <w:pPr>
        <w:ind w:left="2660"/>
        <w:spacing w:after="0" w:line="247" w:lineRule="auto"/>
        <w:rPr>
          <w:sz w:val="20"/>
          <w:szCs w:val="20"/>
          <w:color w:val="auto"/>
        </w:rPr>
      </w:pPr>
      <w:r>
        <w:rPr>
          <w:rFonts w:ascii="Arial" w:cs="Arial" w:eastAsia="Arial" w:hAnsi="Arial"/>
          <w:sz w:val="14"/>
          <w:szCs w:val="14"/>
          <w:color w:val="0E2A35"/>
        </w:rPr>
        <w:t>employees, customers, suppliers and creditors, the effects of the action on the communities in which the corporation operates and the long-term as well as short-term interests of the corporation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124460</wp:posOffset>
            </wp:positionV>
            <wp:extent cx="58978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60"/>
        <w:spacing w:after="0" w:line="243" w:lineRule="auto"/>
        <w:rPr>
          <w:sz w:val="20"/>
          <w:szCs w:val="20"/>
          <w:color w:val="auto"/>
        </w:rPr>
      </w:pPr>
      <w:r>
        <w:rPr>
          <w:rFonts w:ascii="Arial" w:cs="Arial" w:eastAsia="Arial" w:hAnsi="Arial"/>
          <w:sz w:val="14"/>
          <w:szCs w:val="14"/>
          <w:color w:val="0E2A35"/>
        </w:rPr>
        <w:t>Under the MBCA, in discharging the duties of the position of a director, a director may consider the interests of constituencies other than shareholders, including the interests of the corporation’s employees, customers, suppliers, and creditors, the economy of Minnesota and the nation, community and societal considerations, and the long-term as well as short-term interests</w:t>
      </w:r>
    </w:p>
    <w:p>
      <w:pPr>
        <w:spacing w:after="0" w:line="200"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73</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8" w:name="page79"/>
    <w:bookmarkEnd w:id="7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shareholders, including the possibility that these</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interests may best be served by the continued</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independence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66040</wp:posOffset>
            </wp:positionV>
            <wp:extent cx="58978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ind w:right="1200"/>
        <w:spacing w:after="0" w:line="249" w:lineRule="auto"/>
        <w:rPr>
          <w:sz w:val="20"/>
          <w:szCs w:val="20"/>
          <w:color w:val="auto"/>
        </w:rPr>
      </w:pPr>
      <w:r>
        <w:rPr>
          <w:rFonts w:ascii="Arial" w:cs="Arial" w:eastAsia="Arial" w:hAnsi="Arial"/>
          <w:sz w:val="14"/>
          <w:szCs w:val="14"/>
          <w:color w:val="0E2A35"/>
        </w:rPr>
        <w:t>of the corporation and its shareholders, including the possibility that these interests may be best served by the continued independence of the corporation.</w:t>
      </w:r>
    </w:p>
    <w:p>
      <w:pPr>
        <w:spacing w:after="0" w:line="196" w:lineRule="exact"/>
        <w:rPr>
          <w:sz w:val="20"/>
          <w:szCs w:val="20"/>
          <w:color w:val="auto"/>
        </w:rPr>
      </w:pPr>
    </w:p>
    <w:p>
      <w:pPr>
        <w:sectPr>
          <w:pgSz w:w="11900" w:h="16838" w:orient="portrait"/>
          <w:cols w:equalWidth="0" w:num="2">
            <w:col w:w="5720" w:space="72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Advance Notice of</w:t>
      </w:r>
      <w:r>
        <w:rPr>
          <w:sz w:val="20"/>
          <w:szCs w:val="20"/>
          <w:color w:val="auto"/>
        </w:rPr>
        <w:tab/>
      </w:r>
      <w:r>
        <w:rPr>
          <w:rFonts w:ascii="Arial" w:cs="Arial" w:eastAsia="Arial" w:hAnsi="Arial"/>
          <w:sz w:val="14"/>
          <w:szCs w:val="14"/>
          <w:color w:val="0E2A35"/>
        </w:rPr>
        <w:t>The IBCA provides that notice of the date, time, record</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w:t>
      </w:r>
      <w:r>
        <w:rPr>
          <w:sz w:val="20"/>
          <w:szCs w:val="20"/>
          <w:color w:val="auto"/>
        </w:rPr>
        <w:tab/>
      </w:r>
      <w:r>
        <w:rPr>
          <w:rFonts w:ascii="Arial" w:cs="Arial" w:eastAsia="Arial" w:hAnsi="Arial"/>
          <w:sz w:val="14"/>
          <w:szCs w:val="14"/>
          <w:color w:val="0E2A35"/>
        </w:rPr>
        <w:t>date and place of each annual and special meeting</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Proposals and</w:t>
      </w:r>
      <w:r>
        <w:rPr>
          <w:sz w:val="20"/>
          <w:szCs w:val="20"/>
          <w:color w:val="auto"/>
        </w:rPr>
        <w:tab/>
      </w:r>
      <w:r>
        <w:rPr>
          <w:rFonts w:ascii="Arial" w:cs="Arial" w:eastAsia="Arial" w:hAnsi="Arial"/>
          <w:sz w:val="14"/>
          <w:szCs w:val="14"/>
          <w:color w:val="0E2A35"/>
        </w:rPr>
        <w:t>must be given to all shareholders entitled to vote not</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 Nominations</w:t>
      </w:r>
      <w:r>
        <w:rPr>
          <w:sz w:val="20"/>
          <w:szCs w:val="20"/>
          <w:color w:val="auto"/>
        </w:rPr>
        <w:tab/>
      </w:r>
      <w:r>
        <w:rPr>
          <w:rFonts w:ascii="Arial" w:cs="Arial" w:eastAsia="Arial" w:hAnsi="Arial"/>
          <w:sz w:val="14"/>
          <w:szCs w:val="14"/>
          <w:color w:val="0E2A35"/>
        </w:rPr>
        <w:t>less than 10 nor more than 60 days before the date of</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the meeting.</w:t>
      </w:r>
    </w:p>
    <w:p>
      <w:pPr>
        <w:spacing w:after="0" w:line="163"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The Iowa By-Laws require nominations of persons for election to the Board and submission of other business to be considered at a meeting of shareholders be made or brought by the Board or by a shareholder of record who complies with the advance notice procedures set forth in the Iowa By-Laws.</w:t>
      </w:r>
    </w:p>
    <w:p>
      <w:pPr>
        <w:spacing w:after="0" w:line="152" w:lineRule="exact"/>
        <w:rPr>
          <w:sz w:val="20"/>
          <w:szCs w:val="20"/>
          <w:color w:val="auto"/>
        </w:rPr>
      </w:pPr>
    </w:p>
    <w:p>
      <w:pPr>
        <w:ind w:left="2660" w:right="80"/>
        <w:spacing w:after="0" w:line="247" w:lineRule="auto"/>
        <w:rPr>
          <w:sz w:val="20"/>
          <w:szCs w:val="20"/>
          <w:color w:val="auto"/>
        </w:rPr>
      </w:pPr>
      <w:r>
        <w:rPr>
          <w:rFonts w:ascii="Arial" w:cs="Arial" w:eastAsia="Arial" w:hAnsi="Arial"/>
          <w:sz w:val="14"/>
          <w:szCs w:val="14"/>
          <w:color w:val="0E2A35"/>
        </w:rPr>
        <w:t>The Iowa By-Laws include provisions setting forth a formal process for shareholders owning more than 5% of the Company’s stock to recommend director candidates for consideration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E2A35"/>
        </w:rPr>
        <w:t>No substantive change.</w:t>
      </w:r>
    </w:p>
    <w:p>
      <w:pPr>
        <w:spacing w:after="0" w:line="163" w:lineRule="exact"/>
        <w:rPr>
          <w:sz w:val="20"/>
          <w:szCs w:val="20"/>
          <w:color w:val="auto"/>
        </w:rPr>
      </w:pPr>
    </w:p>
    <w:p>
      <w:pPr>
        <w:ind w:right="1280"/>
        <w:spacing w:after="0" w:line="247" w:lineRule="auto"/>
        <w:rPr>
          <w:sz w:val="20"/>
          <w:szCs w:val="20"/>
          <w:color w:val="auto"/>
        </w:rPr>
      </w:pPr>
      <w:r>
        <w:rPr>
          <w:rFonts w:ascii="Arial" w:cs="Arial" w:eastAsia="Arial" w:hAnsi="Arial"/>
          <w:sz w:val="14"/>
          <w:szCs w:val="14"/>
          <w:color w:val="0E2A35"/>
        </w:rPr>
        <w:t>The proposed Minnesota Bylaws do not include the formal process for holders of greater than 5% of the stock to recommend director candidates for consideration by the Board.</w:t>
      </w:r>
    </w:p>
    <w:p>
      <w:pPr>
        <w:spacing w:after="0" w:line="147" w:lineRule="exact"/>
        <w:rPr>
          <w:sz w:val="20"/>
          <w:szCs w:val="20"/>
          <w:color w:val="auto"/>
        </w:rPr>
      </w:pPr>
    </w:p>
    <w:p>
      <w:pPr>
        <w:ind w:right="1040"/>
        <w:spacing w:after="0" w:line="244" w:lineRule="auto"/>
        <w:rPr>
          <w:sz w:val="20"/>
          <w:szCs w:val="20"/>
          <w:color w:val="auto"/>
        </w:rPr>
      </w:pPr>
      <w:r>
        <w:rPr>
          <w:rFonts w:ascii="Arial" w:cs="Arial" w:eastAsia="Arial" w:hAnsi="Arial"/>
          <w:sz w:val="14"/>
          <w:szCs w:val="14"/>
          <w:color w:val="0E2A35"/>
        </w:rPr>
        <w:t>The Minnesota Company will continue the Iowa Company’s practice of disclosing in its annual proxy statement that the Nominating and Governance Committee will evaluate any nominee recommended by any shareholder pursuant to a process substantially similar to that used for other nominees.</w:t>
      </w:r>
    </w:p>
    <w:p>
      <w:pPr>
        <w:spacing w:after="0" w:line="849" w:lineRule="exact"/>
        <w:rPr>
          <w:sz w:val="20"/>
          <w:szCs w:val="20"/>
          <w:color w:val="auto"/>
        </w:rPr>
      </w:pPr>
    </w:p>
    <w:p>
      <w:pPr>
        <w:sectPr>
          <w:pgSz w:w="11900" w:h="16838" w:orient="portrait"/>
          <w:cols w:equalWidth="0" w:num="2">
            <w:col w:w="6200" w:space="24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Ability of</w:t>
      </w:r>
      <w:r>
        <w:rPr>
          <w:sz w:val="20"/>
          <w:szCs w:val="20"/>
          <w:color w:val="auto"/>
        </w:rPr>
        <w:tab/>
      </w:r>
      <w:r>
        <w:rPr>
          <w:rFonts w:ascii="Arial" w:cs="Arial" w:eastAsia="Arial" w:hAnsi="Arial"/>
          <w:sz w:val="14"/>
          <w:szCs w:val="14"/>
          <w:color w:val="0E2A35"/>
        </w:rPr>
        <w:t>The IBCA provides that a special meeting of</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Shareholders to Call</w:t>
      </w:r>
      <w:r>
        <w:rPr>
          <w:sz w:val="20"/>
          <w:szCs w:val="20"/>
          <w:color w:val="auto"/>
        </w:rPr>
        <w:tab/>
      </w:r>
      <w:r>
        <w:rPr>
          <w:rFonts w:ascii="Arial" w:cs="Arial" w:eastAsia="Arial" w:hAnsi="Arial"/>
          <w:sz w:val="14"/>
          <w:szCs w:val="14"/>
          <w:color w:val="0E2A35"/>
        </w:rPr>
        <w:t>shareholders may be called by the board of directors, by</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Special Meetings</w:t>
      </w:r>
      <w:r>
        <w:rPr>
          <w:sz w:val="20"/>
          <w:szCs w:val="20"/>
          <w:color w:val="auto"/>
        </w:rPr>
        <w:tab/>
      </w:r>
      <w:r>
        <w:rPr>
          <w:rFonts w:ascii="Arial" w:cs="Arial" w:eastAsia="Arial" w:hAnsi="Arial"/>
          <w:sz w:val="14"/>
          <w:szCs w:val="14"/>
          <w:color w:val="0E2A35"/>
        </w:rPr>
        <w:t>the person or persons authorized to call a special</w:t>
      </w:r>
    </w:p>
    <w:p>
      <w:pPr>
        <w:spacing w:after="0" w:line="1" w:lineRule="exact"/>
        <w:rPr>
          <w:sz w:val="20"/>
          <w:szCs w:val="20"/>
          <w:color w:val="auto"/>
        </w:rPr>
      </w:pPr>
    </w:p>
    <w:p>
      <w:pPr>
        <w:ind w:left="2660"/>
        <w:spacing w:after="0" w:line="245" w:lineRule="auto"/>
        <w:rPr>
          <w:sz w:val="20"/>
          <w:szCs w:val="20"/>
          <w:color w:val="auto"/>
        </w:rPr>
      </w:pPr>
      <w:r>
        <w:rPr>
          <w:rFonts w:ascii="Arial" w:cs="Arial" w:eastAsia="Arial" w:hAnsi="Arial"/>
          <w:sz w:val="14"/>
          <w:szCs w:val="14"/>
          <w:color w:val="0E2A35"/>
        </w:rPr>
        <w:t>meeting by the articles of incorporation or bylaws, or by the holders of at least 10% of all of the shares entitled to vote at a meeting (or such lower or higher percentage of shares, not to exceed 25%, as may be specified in the articles of incorporation).</w:t>
      </w:r>
    </w:p>
    <w:p>
      <w:pPr>
        <w:spacing w:after="0" w:line="150"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The Iowa Articles do not vary from Iowa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374650</wp:posOffset>
            </wp:positionV>
            <wp:extent cx="58978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80"/>
        <w:spacing w:after="0" w:line="243" w:lineRule="auto"/>
        <w:rPr>
          <w:sz w:val="20"/>
          <w:szCs w:val="20"/>
          <w:color w:val="auto"/>
        </w:rPr>
      </w:pPr>
      <w:r>
        <w:rPr>
          <w:rFonts w:ascii="Arial" w:cs="Arial" w:eastAsia="Arial" w:hAnsi="Arial"/>
          <w:sz w:val="14"/>
          <w:szCs w:val="14"/>
          <w:color w:val="0E2A35"/>
        </w:rPr>
        <w:t>The MBCA provides that that a special meeting of shareholders may be called by the chief executive officer, the chief financial officer, two or more directors, a person authorized in the articles or bylaws to call special meetings, or a shareholder or shareholders holding 10% or more of the voting power of all shares entitled to vote, except that a shareholder demand for a special meeting for the purpose of considering any business combination must be called by 25% or more of the voting power of all shares entitled to vote.</w:t>
      </w:r>
    </w:p>
    <w:p>
      <w:pPr>
        <w:spacing w:after="0" w:line="152" w:lineRule="exact"/>
        <w:rPr>
          <w:sz w:val="20"/>
          <w:szCs w:val="20"/>
          <w:color w:val="auto"/>
        </w:rPr>
      </w:pPr>
    </w:p>
    <w:p>
      <w:pPr>
        <w:ind w:right="1400"/>
        <w:spacing w:after="0" w:line="258" w:lineRule="auto"/>
        <w:rPr>
          <w:sz w:val="20"/>
          <w:szCs w:val="20"/>
          <w:color w:val="auto"/>
        </w:rPr>
      </w:pPr>
      <w:r>
        <w:rPr>
          <w:rFonts w:ascii="Arial" w:cs="Arial" w:eastAsia="Arial" w:hAnsi="Arial"/>
          <w:sz w:val="14"/>
          <w:szCs w:val="14"/>
          <w:color w:val="0E2A35"/>
        </w:rPr>
        <w:t>The proposed Minnesota Bylaws do not vary from Minnesota law.</w:t>
      </w:r>
    </w:p>
    <w:p>
      <w:pPr>
        <w:spacing w:after="0" w:line="189"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Shareholder Action</w:t>
      </w:r>
      <w:r>
        <w:rPr>
          <w:sz w:val="20"/>
          <w:szCs w:val="20"/>
          <w:color w:val="auto"/>
        </w:rPr>
        <w:tab/>
      </w:r>
      <w:r>
        <w:rPr>
          <w:rFonts w:ascii="Arial" w:cs="Arial" w:eastAsia="Arial" w:hAnsi="Arial"/>
          <w:sz w:val="14"/>
          <w:szCs w:val="14"/>
          <w:color w:val="0E2A35"/>
        </w:rPr>
        <w:t>The IBCA provides that, unless otherwise specified in</w:t>
      </w:r>
    </w:p>
    <w:p>
      <w:pPr>
        <w:spacing w:after="0" w:line="19" w:lineRule="exact"/>
        <w:rPr>
          <w:sz w:val="20"/>
          <w:szCs w:val="20"/>
          <w:color w:val="auto"/>
        </w:rPr>
      </w:pPr>
    </w:p>
    <w:p>
      <w:pPr>
        <w:ind w:left="2660" w:hanging="1660"/>
        <w:spacing w:after="0" w:line="243" w:lineRule="auto"/>
        <w:tabs>
          <w:tab w:leader="none" w:pos="2640" w:val="left"/>
        </w:tabs>
        <w:rPr>
          <w:sz w:val="20"/>
          <w:szCs w:val="20"/>
          <w:color w:val="auto"/>
        </w:rPr>
      </w:pPr>
      <w:r>
        <w:rPr>
          <w:rFonts w:ascii="Arial" w:cs="Arial" w:eastAsia="Arial" w:hAnsi="Arial"/>
          <w:sz w:val="14"/>
          <w:szCs w:val="14"/>
          <w:b w:val="1"/>
          <w:bCs w:val="1"/>
          <w:color w:val="0E2A35"/>
        </w:rPr>
        <w:t>by Written Consent</w:t>
      </w:r>
      <w:r>
        <w:rPr>
          <w:sz w:val="20"/>
          <w:szCs w:val="20"/>
          <w:color w:val="auto"/>
        </w:rPr>
        <w:tab/>
      </w:r>
      <w:r>
        <w:rPr>
          <w:rFonts w:ascii="Arial" w:cs="Arial" w:eastAsia="Arial" w:hAnsi="Arial"/>
          <w:sz w:val="14"/>
          <w:szCs w:val="14"/>
          <w:color w:val="0E2A35"/>
        </w:rPr>
        <w:t>the articles of incorporation, any action required or permitted to be taken at a meeting of shareholders may be taken without a meeting, without prior notice and without a vote, if written consents setting forth the action taken are signed by the holders of the outstanding shares having not less than 90% of the votes entitled to be cast at a meeting at which all shares entitled to vote on the action were present and voted.</w:t>
      </w:r>
    </w:p>
    <w:p>
      <w:pPr>
        <w:spacing w:after="0" w:line="154" w:lineRule="exact"/>
        <w:rPr>
          <w:sz w:val="20"/>
          <w:szCs w:val="20"/>
          <w:color w:val="auto"/>
        </w:rPr>
      </w:pPr>
    </w:p>
    <w:p>
      <w:pPr>
        <w:ind w:left="2660"/>
        <w:spacing w:after="0"/>
        <w:rPr>
          <w:sz w:val="20"/>
          <w:szCs w:val="20"/>
          <w:color w:val="auto"/>
        </w:rPr>
      </w:pPr>
      <w:r>
        <w:rPr>
          <w:rFonts w:ascii="Arial" w:cs="Arial" w:eastAsia="Arial" w:hAnsi="Arial"/>
          <w:sz w:val="14"/>
          <w:szCs w:val="14"/>
          <w:color w:val="0E2A35"/>
        </w:rPr>
        <w:t>The Iowa Articles do not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66040</wp:posOffset>
            </wp:positionV>
            <wp:extent cx="58978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40"/>
        <w:spacing w:after="0" w:line="249" w:lineRule="auto"/>
        <w:rPr>
          <w:sz w:val="20"/>
          <w:szCs w:val="20"/>
          <w:color w:val="auto"/>
        </w:rPr>
      </w:pPr>
      <w:r>
        <w:rPr>
          <w:rFonts w:ascii="Arial" w:cs="Arial" w:eastAsia="Arial" w:hAnsi="Arial"/>
          <w:sz w:val="14"/>
          <w:szCs w:val="14"/>
          <w:color w:val="0E2A35"/>
        </w:rPr>
        <w:t>Minnesota law allows shareholders to act by written consent but requires that such actions be consented to by all of the shareholders entitled to vote on that action.</w:t>
      </w:r>
    </w:p>
    <w:p>
      <w:pPr>
        <w:spacing w:after="0" w:line="1479"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3"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Dissent and</w:t>
      </w:r>
      <w:r>
        <w:rPr>
          <w:sz w:val="20"/>
          <w:szCs w:val="20"/>
          <w:color w:val="auto"/>
        </w:rPr>
        <w:tab/>
      </w:r>
      <w:r>
        <w:rPr>
          <w:rFonts w:ascii="Arial" w:cs="Arial" w:eastAsia="Arial" w:hAnsi="Arial"/>
          <w:sz w:val="14"/>
          <w:szCs w:val="14"/>
          <w:color w:val="0E2A35"/>
        </w:rPr>
        <w:t>The IBCA provides that appraisal rights are available to</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Appraisal Rights</w:t>
      </w:r>
      <w:r>
        <w:rPr>
          <w:sz w:val="20"/>
          <w:szCs w:val="20"/>
          <w:color w:val="auto"/>
        </w:rPr>
        <w:tab/>
      </w:r>
      <w:r>
        <w:rPr>
          <w:rFonts w:ascii="Arial" w:cs="Arial" w:eastAsia="Arial" w:hAnsi="Arial"/>
          <w:sz w:val="14"/>
          <w:szCs w:val="14"/>
          <w:color w:val="0E2A35"/>
        </w:rPr>
        <w:t>a shareholder in the event of: (a) a merger, if</w:t>
      </w:r>
    </w:p>
    <w:p>
      <w:pPr>
        <w:spacing w:after="0" w:line="1" w:lineRule="exact"/>
        <w:rPr>
          <w:sz w:val="20"/>
          <w:szCs w:val="20"/>
          <w:color w:val="auto"/>
        </w:rPr>
      </w:pPr>
    </w:p>
    <w:p>
      <w:pPr>
        <w:ind w:left="2660"/>
        <w:spacing w:after="0" w:line="243" w:lineRule="auto"/>
        <w:rPr>
          <w:sz w:val="20"/>
          <w:szCs w:val="20"/>
          <w:color w:val="auto"/>
        </w:rPr>
      </w:pPr>
      <w:r>
        <w:rPr>
          <w:rFonts w:ascii="Arial" w:cs="Arial" w:eastAsia="Arial" w:hAnsi="Arial"/>
          <w:sz w:val="14"/>
          <w:szCs w:val="14"/>
          <w:color w:val="0E2A35"/>
        </w:rPr>
        <w:t>shareholder approval of the merger is required; (b) a share exchange which the shareholder is entitled to vote on; (c) a disposition of assets that leaves the corporation without a significant continuing business activity and which the shareholder is entitled to vote on; (d) an amendment of the articles of incorporation that reduces the number of shares of a class or series owned by the shareholder to a fraction of a share, if the corporation has the obligation or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25400</wp:posOffset>
            </wp:positionV>
            <wp:extent cx="58978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060"/>
        <w:spacing w:after="0" w:line="241" w:lineRule="auto"/>
        <w:rPr>
          <w:sz w:val="20"/>
          <w:szCs w:val="20"/>
          <w:color w:val="auto"/>
        </w:rPr>
      </w:pPr>
      <w:r>
        <w:rPr>
          <w:rFonts w:ascii="Arial" w:cs="Arial" w:eastAsia="Arial" w:hAnsi="Arial"/>
          <w:sz w:val="14"/>
          <w:szCs w:val="14"/>
          <w:color w:val="0E2A35"/>
        </w:rPr>
        <w:t>The MBCA provides that appraisal rights are available to a shareholder in the event of: (a) unless otherwise provided in the articles of incorporation, an amendment of the articles that materially and adversely affects certain rights or preferences of the shareholder; (b) a sale of all or substantially all the corporation's assets;</w:t>
      </w:r>
    </w:p>
    <w:p>
      <w:pPr>
        <w:spacing w:after="0" w:line="2" w:lineRule="exact"/>
        <w:rPr>
          <w:sz w:val="20"/>
          <w:szCs w:val="20"/>
          <w:color w:val="auto"/>
        </w:rPr>
      </w:pPr>
    </w:p>
    <w:p>
      <w:pPr>
        <w:ind w:right="1000" w:firstLine="9"/>
        <w:spacing w:after="0" w:line="245" w:lineRule="auto"/>
        <w:tabs>
          <w:tab w:leader="none" w:pos="208" w:val="left"/>
        </w:tabs>
        <w:numPr>
          <w:ilvl w:val="0"/>
          <w:numId w:val="63"/>
        </w:numPr>
        <w:rPr>
          <w:rFonts w:ascii="Arial" w:cs="Arial" w:eastAsia="Arial" w:hAnsi="Arial"/>
          <w:sz w:val="14"/>
          <w:szCs w:val="14"/>
          <w:color w:val="0E2A35"/>
        </w:rPr>
      </w:pPr>
      <w:r>
        <w:rPr>
          <w:rFonts w:ascii="Arial" w:cs="Arial" w:eastAsia="Arial" w:hAnsi="Arial"/>
          <w:sz w:val="14"/>
          <w:szCs w:val="14"/>
          <w:color w:val="0E2A35"/>
        </w:rPr>
        <w:t>a statutory merger; (d) a plan of exchange; (e) a plan of conversion; (f) an amendment to the articles in connection with a share combination that reduces the shares owned by the shareholder to a fraction of a share, if the</w:t>
      </w:r>
    </w:p>
    <w:p>
      <w:pPr>
        <w:spacing w:after="0" w:line="200"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74</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79" w:name="page80"/>
    <w:bookmarkEnd w:id="7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right="60"/>
        <w:spacing w:after="0" w:line="243" w:lineRule="auto"/>
        <w:rPr>
          <w:sz w:val="20"/>
          <w:szCs w:val="20"/>
          <w:color w:val="auto"/>
        </w:rPr>
      </w:pPr>
      <w:r>
        <w:rPr>
          <w:rFonts w:ascii="Arial" w:cs="Arial" w:eastAsia="Arial" w:hAnsi="Arial"/>
          <w:sz w:val="14"/>
          <w:szCs w:val="14"/>
          <w:color w:val="0E2A35"/>
        </w:rPr>
        <w:t>repurchase such fractional share; (e) any other amendment to the articles, merger, share exchange, or disposition of assets to the extent provided in the articles, bylaws or by resolution of the board of directors; or (f) a domestication of the corporation if the shareholder does not receive shares in the foreign corporation resulting from the domestication that have terms as favorable to the shareholder in all material respects, and represent at least the same percentage interest of the total voting rights of the outstanding shares of the foreign corporation, as the shares held by the shareholder before the domestication.</w:t>
      </w:r>
    </w:p>
    <w:p>
      <w:pPr>
        <w:spacing w:after="0" w:line="150" w:lineRule="exact"/>
        <w:rPr>
          <w:sz w:val="20"/>
          <w:szCs w:val="20"/>
          <w:color w:val="auto"/>
        </w:rPr>
      </w:pPr>
    </w:p>
    <w:p>
      <w:pPr>
        <w:ind w:left="2660"/>
        <w:spacing w:after="0" w:line="243" w:lineRule="auto"/>
        <w:rPr>
          <w:sz w:val="20"/>
          <w:szCs w:val="20"/>
          <w:color w:val="auto"/>
        </w:rPr>
      </w:pPr>
      <w:r>
        <w:rPr>
          <w:rFonts w:ascii="Arial" w:cs="Arial" w:eastAsia="Arial" w:hAnsi="Arial"/>
          <w:sz w:val="14"/>
          <w:szCs w:val="14"/>
          <w:color w:val="0E2A35"/>
        </w:rPr>
        <w:t>Other than in the event of an interested transaction or a transaction requiring shareholders to accept consideration other than cash or shares of any corporation or any other proprietary interest of any other entity, appraisal rights are not available for shares of any class or series of shares which is traded in an organized market and has at least 2,000 shareholders and a market value of at least $27 million, exclusive of the value of such shares held by the corporation’s subsidiaries, senior executives, directors, and beneficial owners of more than 10% of such shares.</w:t>
      </w:r>
    </w:p>
    <w:p>
      <w:pPr>
        <w:spacing w:after="0" w:line="151" w:lineRule="exact"/>
        <w:rPr>
          <w:sz w:val="20"/>
          <w:szCs w:val="20"/>
          <w:color w:val="auto"/>
        </w:rPr>
      </w:pPr>
    </w:p>
    <w:p>
      <w:pPr>
        <w:ind w:left="2660" w:right="60"/>
        <w:spacing w:after="0" w:line="247" w:lineRule="auto"/>
        <w:rPr>
          <w:sz w:val="20"/>
          <w:szCs w:val="20"/>
          <w:color w:val="auto"/>
        </w:rPr>
      </w:pPr>
      <w:r>
        <w:rPr>
          <w:rFonts w:ascii="Arial" w:cs="Arial" w:eastAsia="Arial" w:hAnsi="Arial"/>
          <w:sz w:val="14"/>
          <w:szCs w:val="14"/>
          <w:color w:val="0E2A35"/>
        </w:rPr>
        <w:t>The articles may limit appraisal rights for any class or series of preferred shares, if certain conditions are met. The Iowa Articles do not contain any further limitations on 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55880</wp:posOffset>
            </wp:positionV>
            <wp:extent cx="58978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000"/>
        <w:spacing w:after="0" w:line="243" w:lineRule="auto"/>
        <w:rPr>
          <w:sz w:val="20"/>
          <w:szCs w:val="20"/>
          <w:color w:val="auto"/>
        </w:rPr>
      </w:pPr>
      <w:r>
        <w:rPr>
          <w:rFonts w:ascii="Arial" w:cs="Arial" w:eastAsia="Arial" w:hAnsi="Arial"/>
          <w:sz w:val="14"/>
          <w:szCs w:val="14"/>
          <w:color w:val="0E2A35"/>
        </w:rPr>
        <w:t>corporation exercises its statutory right to repurchase such fractional share; or (g) any other corporate action taken by a shareholder vote which directs that dissenting shareholders may obtain payment for their shares; provided that, in the event of a merger or exchange, unless the articles, the bylaws, or a resolution approved by the board of directors provides otherwise, appraisal rights do not apply to a shareholder of shares not entitled to vote on the merger or exchange.</w:t>
      </w:r>
    </w:p>
    <w:p>
      <w:pPr>
        <w:spacing w:after="0" w:line="315" w:lineRule="exact"/>
        <w:rPr>
          <w:sz w:val="20"/>
          <w:szCs w:val="20"/>
          <w:color w:val="auto"/>
        </w:rPr>
      </w:pPr>
    </w:p>
    <w:p>
      <w:pPr>
        <w:ind w:right="980"/>
        <w:spacing w:after="0" w:line="244" w:lineRule="auto"/>
        <w:rPr>
          <w:sz w:val="20"/>
          <w:szCs w:val="20"/>
          <w:color w:val="auto"/>
        </w:rPr>
      </w:pPr>
      <w:r>
        <w:rPr>
          <w:rFonts w:ascii="Arial" w:cs="Arial" w:eastAsia="Arial" w:hAnsi="Arial"/>
          <w:sz w:val="14"/>
          <w:szCs w:val="14"/>
          <w:color w:val="0E2A35"/>
        </w:rPr>
        <w:t>In addition, except in the case of a statutory short-form merger under Minnesota law, appraisal rights do not apply to shares of any class or series that is listed on a national securities exchange, so long as the shareholder receives in exchange for such shares publicly traded shares listed on a national securities exchange or cash in lieu of fractional shares.</w:t>
      </w:r>
    </w:p>
    <w:p>
      <w:pPr>
        <w:spacing w:after="0" w:line="150" w:lineRule="exact"/>
        <w:rPr>
          <w:sz w:val="20"/>
          <w:szCs w:val="20"/>
          <w:color w:val="auto"/>
        </w:rPr>
      </w:pPr>
    </w:p>
    <w:p>
      <w:pPr>
        <w:ind w:right="1260"/>
        <w:spacing w:after="0" w:line="258" w:lineRule="auto"/>
        <w:rPr>
          <w:sz w:val="20"/>
          <w:szCs w:val="20"/>
          <w:color w:val="auto"/>
        </w:rPr>
      </w:pPr>
      <w:r>
        <w:rPr>
          <w:rFonts w:ascii="Arial" w:cs="Arial" w:eastAsia="Arial" w:hAnsi="Arial"/>
          <w:sz w:val="14"/>
          <w:szCs w:val="14"/>
          <w:color w:val="0E2A35"/>
        </w:rPr>
        <w:t>The proposed Minnesota Articles and Bylaws do not vary from Minnesota law.</w:t>
      </w:r>
    </w:p>
    <w:p>
      <w:pPr>
        <w:spacing w:after="0" w:line="1485"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Amendment of the</w:t>
      </w:r>
      <w:r>
        <w:rPr>
          <w:sz w:val="20"/>
          <w:szCs w:val="20"/>
          <w:color w:val="auto"/>
        </w:rPr>
        <w:tab/>
      </w:r>
      <w:r>
        <w:rPr>
          <w:rFonts w:ascii="Arial" w:cs="Arial" w:eastAsia="Arial" w:hAnsi="Arial"/>
          <w:sz w:val="14"/>
          <w:szCs w:val="14"/>
          <w:color w:val="0E2A35"/>
        </w:rPr>
        <w:t>The IBCA provides that, unless otherwise specified by</w:t>
      </w:r>
    </w:p>
    <w:p>
      <w:pPr>
        <w:spacing w:after="0" w:line="19" w:lineRule="exact"/>
        <w:rPr>
          <w:sz w:val="20"/>
          <w:szCs w:val="20"/>
          <w:color w:val="auto"/>
        </w:rPr>
      </w:pPr>
    </w:p>
    <w:p>
      <w:pPr>
        <w:ind w:left="2660" w:hanging="1659"/>
        <w:spacing w:after="0" w:line="243" w:lineRule="auto"/>
        <w:tabs>
          <w:tab w:leader="none" w:pos="2640" w:val="left"/>
        </w:tabs>
        <w:rPr>
          <w:sz w:val="20"/>
          <w:szCs w:val="20"/>
          <w:color w:val="auto"/>
        </w:rPr>
      </w:pPr>
      <w:r>
        <w:rPr>
          <w:rFonts w:ascii="Arial" w:cs="Arial" w:eastAsia="Arial" w:hAnsi="Arial"/>
          <w:sz w:val="14"/>
          <w:szCs w:val="14"/>
          <w:b w:val="1"/>
          <w:bCs w:val="1"/>
          <w:color w:val="0E2A35"/>
        </w:rPr>
        <w:t>Articles</w:t>
      </w:r>
      <w:r>
        <w:rPr>
          <w:sz w:val="20"/>
          <w:szCs w:val="20"/>
          <w:color w:val="auto"/>
        </w:rPr>
        <w:tab/>
      </w:r>
      <w:r>
        <w:rPr>
          <w:rFonts w:ascii="Arial" w:cs="Arial" w:eastAsia="Arial" w:hAnsi="Arial"/>
          <w:sz w:val="14"/>
          <w:szCs w:val="14"/>
          <w:color w:val="0E2A35"/>
        </w:rPr>
        <w:t>the articles of incorporation, amendments to the articles of incorporation generally must be adopted and approved by both the board of directors and the shareholders. After being adopted and recommended by the board of directors, a proposed amendment must be approved by shareholders at a meeting at which a quorum consisting of at least a majority of the votes entitled to be cast on the amendment exists. However, a corporation’s articles of incorporation, bylaws, or condition established by the board may require a greater vote or greater number of shares to be present for approval of any amendment.</w:t>
      </w:r>
    </w:p>
    <w:p>
      <w:pPr>
        <w:spacing w:after="0" w:line="313" w:lineRule="exact"/>
        <w:rPr>
          <w:sz w:val="20"/>
          <w:szCs w:val="20"/>
          <w:color w:val="auto"/>
        </w:rPr>
      </w:pPr>
    </w:p>
    <w:p>
      <w:pPr>
        <w:jc w:val="both"/>
        <w:ind w:left="2660" w:right="100"/>
        <w:spacing w:after="0" w:line="249" w:lineRule="auto"/>
        <w:rPr>
          <w:sz w:val="20"/>
          <w:szCs w:val="20"/>
          <w:color w:val="auto"/>
        </w:rPr>
      </w:pPr>
      <w:r>
        <w:rPr>
          <w:rFonts w:ascii="Arial" w:cs="Arial" w:eastAsia="Arial" w:hAnsi="Arial"/>
          <w:sz w:val="14"/>
          <w:szCs w:val="14"/>
          <w:color w:val="0E2A35"/>
        </w:rPr>
        <w:t>The Iowa Articles provide that a vote of 75% of shares entitled to vote is required to amend the article relating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364490</wp:posOffset>
            </wp:positionV>
            <wp:extent cx="58978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80"/>
        <w:spacing w:after="0" w:line="242" w:lineRule="auto"/>
        <w:rPr>
          <w:sz w:val="20"/>
          <w:szCs w:val="20"/>
          <w:color w:val="auto"/>
        </w:rPr>
      </w:pPr>
      <w:r>
        <w:rPr>
          <w:rFonts w:ascii="Arial" w:cs="Arial" w:eastAsia="Arial" w:hAnsi="Arial"/>
          <w:sz w:val="14"/>
          <w:szCs w:val="14"/>
          <w:color w:val="0E2A35"/>
        </w:rPr>
        <w:t>The MBCA provides that a corporation may amend its articles of incorporation by adoption of a resolution by the board of directors followed by the majority vote of shareholders required generally, as described above, unless the articles of incorporation require a larger percentage. In addition, shareholders owning 3% or more of the voting power of shares entitled to vote may propose an amendment to the articles of incorporation and submit the amendment to shareholders for approval, and the amendment may be adopted by a majority vote without board approval. If the articles provide for a larger proportion or number to transact a specified type of business at a meeting, the affirmative vote of that larger proportion or number is necessary to amend the articles to decrease the proportion or number necessary to transact the business.</w:t>
      </w:r>
    </w:p>
    <w:p>
      <w:pPr>
        <w:spacing w:after="0" w:line="157" w:lineRule="exact"/>
        <w:rPr>
          <w:sz w:val="20"/>
          <w:szCs w:val="20"/>
          <w:color w:val="auto"/>
        </w:rPr>
      </w:pPr>
    </w:p>
    <w:p>
      <w:pPr>
        <w:jc w:val="both"/>
        <w:ind w:right="1380"/>
        <w:spacing w:after="0" w:line="249" w:lineRule="auto"/>
        <w:rPr>
          <w:sz w:val="20"/>
          <w:szCs w:val="20"/>
          <w:color w:val="auto"/>
        </w:rPr>
      </w:pPr>
      <w:r>
        <w:rPr>
          <w:rFonts w:ascii="Arial" w:cs="Arial" w:eastAsia="Arial" w:hAnsi="Arial"/>
          <w:sz w:val="14"/>
          <w:szCs w:val="14"/>
          <w:color w:val="0E2A35"/>
        </w:rPr>
        <w:t>The proposed Minnesota Articles are substantially identical to the Iowa Articles with respect to article amendments.</w:t>
      </w:r>
    </w:p>
    <w:p>
      <w:pPr>
        <w:spacing w:after="0" w:line="196"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Amendment of</w:t>
      </w:r>
      <w:r>
        <w:rPr>
          <w:sz w:val="20"/>
          <w:szCs w:val="20"/>
          <w:color w:val="auto"/>
        </w:rPr>
        <w:tab/>
      </w:r>
      <w:r>
        <w:rPr>
          <w:rFonts w:ascii="Arial" w:cs="Arial" w:eastAsia="Arial" w:hAnsi="Arial"/>
          <w:sz w:val="14"/>
          <w:szCs w:val="14"/>
          <w:color w:val="0E2A35"/>
        </w:rPr>
        <w:t>The IBCA provides that both the board of directors and</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Bylaws</w:t>
      </w:r>
      <w:r>
        <w:rPr>
          <w:sz w:val="20"/>
          <w:szCs w:val="20"/>
          <w:color w:val="auto"/>
        </w:rPr>
        <w:tab/>
      </w:r>
      <w:r>
        <w:rPr>
          <w:rFonts w:ascii="Arial" w:cs="Arial" w:eastAsia="Arial" w:hAnsi="Arial"/>
          <w:sz w:val="14"/>
          <w:szCs w:val="14"/>
          <w:color w:val="0E2A35"/>
        </w:rPr>
        <w:t>the shareholders of a corporation have the power to</w:t>
      </w:r>
    </w:p>
    <w:p>
      <w:pPr>
        <w:spacing w:after="0" w:line="1" w:lineRule="exact"/>
        <w:rPr>
          <w:sz w:val="20"/>
          <w:szCs w:val="20"/>
          <w:color w:val="auto"/>
        </w:rPr>
      </w:pPr>
    </w:p>
    <w:p>
      <w:pPr>
        <w:ind w:left="2660"/>
        <w:spacing w:after="0" w:line="244" w:lineRule="auto"/>
        <w:rPr>
          <w:sz w:val="20"/>
          <w:szCs w:val="20"/>
          <w:color w:val="auto"/>
        </w:rPr>
      </w:pPr>
      <w:r>
        <w:rPr>
          <w:rFonts w:ascii="Arial" w:cs="Arial" w:eastAsia="Arial" w:hAnsi="Arial"/>
          <w:sz w:val="14"/>
          <w:szCs w:val="14"/>
          <w:color w:val="0E2A35"/>
        </w:rPr>
        <w:t>amend the corporation’s bylaws, except that the board’s power to do so is subject to any provision in the articles of incorporation reserving all or part of that power exclusively to the shareholders and is further subject to any express provision that the board may not amend, repeal, or reinstate a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24765</wp:posOffset>
            </wp:positionV>
            <wp:extent cx="58978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80"/>
        <w:spacing w:after="0" w:line="244" w:lineRule="auto"/>
        <w:rPr>
          <w:sz w:val="20"/>
          <w:szCs w:val="20"/>
          <w:color w:val="auto"/>
        </w:rPr>
      </w:pPr>
      <w:r>
        <w:rPr>
          <w:rFonts w:ascii="Arial" w:cs="Arial" w:eastAsia="Arial" w:hAnsi="Arial"/>
          <w:sz w:val="14"/>
          <w:szCs w:val="14"/>
          <w:color w:val="0E2A35"/>
        </w:rPr>
        <w:t>The MBCA provides that shareholders holding 3% or more of the voting power of the shares entitled to vote may propose an amendment to the bylaws and submit the amendment to shareholders for approval, and the amendment may be adopted by a majority vote without the approval of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0E2A35"/>
        </w:rPr>
        <w:t>The MBCA also provides that the board may</w:t>
      </w:r>
    </w:p>
    <w:p>
      <w:pPr>
        <w:spacing w:after="0" w:line="211"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75</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0" w:name="page81"/>
    <w:bookmarkEnd w:id="8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pacing w:after="0" w:line="228"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adopt, amend or repeal the bylaws, subject to the power</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of the shareholders as described above. After the</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adoption of the initial bylaws, the board may not adopt,</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amend, or repeal a bylaw fixing a quorum for meetings</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of shareholders, prescribing procedures for removing</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directors or filling vacancies in the board, or fixing the</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number of directors or their classifications,</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qualifications, or terms of office, but may adopt or</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4"/>
          <w:szCs w:val="14"/>
          <w:color w:val="0E2A35"/>
        </w:rPr>
        <w:t>amend a bylaw to increase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66040</wp:posOffset>
            </wp:positionV>
            <wp:extent cx="58978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13"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Restrictions on</w:t>
      </w:r>
      <w:r>
        <w:rPr>
          <w:sz w:val="20"/>
          <w:szCs w:val="20"/>
          <w:color w:val="auto"/>
        </w:rPr>
        <w:tab/>
      </w:r>
      <w:r>
        <w:rPr>
          <w:rFonts w:ascii="Arial" w:cs="Arial" w:eastAsia="Arial" w:hAnsi="Arial"/>
          <w:sz w:val="14"/>
          <w:szCs w:val="14"/>
          <w:color w:val="0E2A35"/>
        </w:rPr>
        <w:t>The IBCA does not contain any provisions regarding</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Transactions with</w:t>
      </w:r>
      <w:r>
        <w:rPr>
          <w:sz w:val="20"/>
          <w:szCs w:val="20"/>
          <w:color w:val="auto"/>
        </w:rPr>
        <w:tab/>
      </w:r>
      <w:r>
        <w:rPr>
          <w:rFonts w:ascii="Arial" w:cs="Arial" w:eastAsia="Arial" w:hAnsi="Arial"/>
          <w:sz w:val="14"/>
          <w:szCs w:val="14"/>
          <w:color w:val="0E2A35"/>
        </w:rPr>
        <w:t>restrictions on transfers with interested directors.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0E2A35"/>
        </w:rPr>
        <w:t>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3152140</wp:posOffset>
            </wp:positionV>
            <wp:extent cx="58978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020"/>
        <w:spacing w:after="0" w:line="243" w:lineRule="auto"/>
        <w:rPr>
          <w:sz w:val="20"/>
          <w:szCs w:val="20"/>
          <w:color w:val="auto"/>
        </w:rPr>
      </w:pPr>
      <w:r>
        <w:rPr>
          <w:rFonts w:ascii="Arial" w:cs="Arial" w:eastAsia="Arial" w:hAnsi="Arial"/>
          <w:sz w:val="14"/>
          <w:szCs w:val="14"/>
          <w:color w:val="0E2A35"/>
        </w:rPr>
        <w:t>The MBCA provides that a contract or transaction between a corporation and one or more of its directors, or between a corporation and any other entity in which one or more of its directors are directors or officers, or have a financial interest, is not void or voidable solely because of such relationship or interest, or solely because the director is present at or participates in or votes at the meeting of the board of directors or committee that authorizes the contract or transaction, if:</w:t>
      </w:r>
    </w:p>
    <w:p>
      <w:pPr>
        <w:spacing w:after="0" w:line="153" w:lineRule="exact"/>
        <w:rPr>
          <w:sz w:val="20"/>
          <w:szCs w:val="20"/>
          <w:color w:val="auto"/>
        </w:rPr>
      </w:pPr>
    </w:p>
    <w:p>
      <w:pPr>
        <w:ind w:right="1120" w:firstLine="9"/>
        <w:spacing w:after="0" w:line="247" w:lineRule="auto"/>
        <w:tabs>
          <w:tab w:leader="none" w:pos="216" w:val="left"/>
        </w:tabs>
        <w:numPr>
          <w:ilvl w:val="0"/>
          <w:numId w:val="64"/>
        </w:numPr>
        <w:rPr>
          <w:rFonts w:ascii="Arial" w:cs="Arial" w:eastAsia="Arial" w:hAnsi="Arial"/>
          <w:sz w:val="14"/>
          <w:szCs w:val="14"/>
          <w:color w:val="0E2A35"/>
        </w:rPr>
      </w:pPr>
      <w:r>
        <w:rPr>
          <w:rFonts w:ascii="Arial" w:cs="Arial" w:eastAsia="Arial" w:hAnsi="Arial"/>
          <w:sz w:val="14"/>
          <w:szCs w:val="14"/>
          <w:color w:val="0E2A35"/>
        </w:rPr>
        <w:t>the contract or transaction was fair and reasonable as to the corporation at the time it was approved (the person asserting the validity of the contract or transaction has the burden of proof);</w:t>
      </w:r>
    </w:p>
    <w:p>
      <w:pPr>
        <w:spacing w:after="0" w:line="147" w:lineRule="exact"/>
        <w:rPr>
          <w:rFonts w:ascii="Arial" w:cs="Arial" w:eastAsia="Arial" w:hAnsi="Arial"/>
          <w:sz w:val="14"/>
          <w:szCs w:val="14"/>
          <w:color w:val="0E2A35"/>
        </w:rPr>
      </w:pPr>
    </w:p>
    <w:p>
      <w:pPr>
        <w:ind w:right="1040" w:firstLine="9"/>
        <w:spacing w:after="0" w:line="243" w:lineRule="auto"/>
        <w:tabs>
          <w:tab w:leader="none" w:pos="216" w:val="left"/>
        </w:tabs>
        <w:numPr>
          <w:ilvl w:val="0"/>
          <w:numId w:val="64"/>
        </w:numPr>
        <w:rPr>
          <w:rFonts w:ascii="Arial" w:cs="Arial" w:eastAsia="Arial" w:hAnsi="Arial"/>
          <w:sz w:val="14"/>
          <w:szCs w:val="14"/>
          <w:color w:val="0E2A35"/>
        </w:rPr>
      </w:pPr>
      <w:r>
        <w:rPr>
          <w:rFonts w:ascii="Arial" w:cs="Arial" w:eastAsia="Arial" w:hAnsi="Arial"/>
          <w:sz w:val="14"/>
          <w:szCs w:val="14"/>
          <w:color w:val="0E2A35"/>
        </w:rPr>
        <w:t>the material facts as to the contract or transaction and as to the director's interest are fully disclosed or known to the holders of all outstanding shares, whether or not entitled to vote, and the contract or transaction is approved in good faith by (i) the holders of 2/3rds of the voting power of the shares entitled to vote (excluding shares owed by the interested director), or (ii) the unanimous affirmative vote of the holders of all outstanding shares, whether or not entitled to vote; or</w:t>
      </w:r>
    </w:p>
    <w:p>
      <w:pPr>
        <w:spacing w:after="0" w:line="152" w:lineRule="exact"/>
        <w:rPr>
          <w:rFonts w:ascii="Arial" w:cs="Arial" w:eastAsia="Arial" w:hAnsi="Arial"/>
          <w:sz w:val="14"/>
          <w:szCs w:val="14"/>
          <w:color w:val="0E2A35"/>
        </w:rPr>
      </w:pPr>
    </w:p>
    <w:p>
      <w:pPr>
        <w:ind w:right="1000" w:firstLine="9"/>
        <w:spacing w:after="0" w:line="243" w:lineRule="auto"/>
        <w:tabs>
          <w:tab w:leader="none" w:pos="208" w:val="left"/>
        </w:tabs>
        <w:numPr>
          <w:ilvl w:val="0"/>
          <w:numId w:val="64"/>
        </w:numPr>
        <w:rPr>
          <w:rFonts w:ascii="Arial" w:cs="Arial" w:eastAsia="Arial" w:hAnsi="Arial"/>
          <w:sz w:val="14"/>
          <w:szCs w:val="14"/>
          <w:color w:val="0E2A35"/>
        </w:rPr>
      </w:pPr>
      <w:r>
        <w:rPr>
          <w:rFonts w:ascii="Arial" w:cs="Arial" w:eastAsia="Arial" w:hAnsi="Arial"/>
          <w:sz w:val="14"/>
          <w:szCs w:val="14"/>
          <w:color w:val="0E2A35"/>
        </w:rPr>
        <w:t>the material facts as to the contract or transaction and as to the director's interest are fully disclosed or known to the board or a committee, and the board or committee authorizes, approves, or ratifies the contract or transaction in good faith by a majority of the directors or committee members (the interested director or directors are not counted in determining the presence of a quorum and cannot vote).</w:t>
      </w:r>
    </w:p>
    <w:p>
      <w:pPr>
        <w:spacing w:after="0" w:line="200" w:lineRule="exact"/>
        <w:rPr>
          <w:sz w:val="20"/>
          <w:szCs w:val="20"/>
          <w:color w:val="auto"/>
        </w:rPr>
      </w:pPr>
    </w:p>
    <w:p>
      <w:pPr>
        <w:sectPr>
          <w:pgSz w:w="11900" w:h="16838" w:orient="portrait"/>
          <w:cols w:equalWidth="0" w:num="2">
            <w:col w:w="6000" w:space="440"/>
            <w:col w:w="4580"/>
          </w:cols>
          <w:pgMar w:left="440" w:top="265" w:right="439" w:bottom="1440" w:gutter="0" w:footer="0" w:header="0"/>
          <w:type w:val="continuous"/>
        </w:sectPr>
      </w:pPr>
    </w:p>
    <w:p>
      <w:pPr>
        <w:spacing w:after="0" w:line="3" w:lineRule="exact"/>
        <w:rPr>
          <w:sz w:val="20"/>
          <w:szCs w:val="20"/>
          <w:color w:val="auto"/>
        </w:rPr>
      </w:pPr>
    </w:p>
    <w:p>
      <w:pPr>
        <w:ind w:left="1000" w:right="240"/>
        <w:spacing w:after="0" w:line="254" w:lineRule="auto"/>
        <w:rPr>
          <w:sz w:val="20"/>
          <w:szCs w:val="20"/>
          <w:color w:val="auto"/>
        </w:rPr>
      </w:pPr>
      <w:r>
        <w:rPr>
          <w:rFonts w:ascii="Arial" w:cs="Arial" w:eastAsia="Arial" w:hAnsi="Arial"/>
          <w:sz w:val="14"/>
          <w:szCs w:val="14"/>
          <w:b w:val="1"/>
          <w:bCs w:val="1"/>
          <w:color w:val="0E2A35"/>
        </w:rPr>
        <w:t xml:space="preserve">Shareholder Vote </w:t>
      </w:r>
      <w:r>
        <w:rPr>
          <w:rFonts w:ascii="Arial" w:cs="Arial" w:eastAsia="Arial" w:hAnsi="Arial"/>
          <w:sz w:val="14"/>
          <w:szCs w:val="14"/>
          <w:color w:val="0E2A35"/>
        </w:rPr>
        <w:t>The IBCA provides that, unless the articles of</w:t>
      </w:r>
      <w:r>
        <w:rPr>
          <w:rFonts w:ascii="Arial" w:cs="Arial" w:eastAsia="Arial" w:hAnsi="Arial"/>
          <w:sz w:val="14"/>
          <w:szCs w:val="14"/>
          <w:b w:val="1"/>
          <w:bCs w:val="1"/>
          <w:color w:val="0E2A35"/>
        </w:rPr>
        <w:t xml:space="preserve"> Required to Approve </w:t>
      </w:r>
      <w:r>
        <w:rPr>
          <w:rFonts w:ascii="Arial" w:cs="Arial" w:eastAsia="Arial" w:hAnsi="Arial"/>
          <w:sz w:val="14"/>
          <w:szCs w:val="14"/>
          <w:color w:val="0E2A35"/>
        </w:rPr>
        <w:t>incorporation, bylaws or board resolution requires a</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Merger or Sale of</w:t>
      </w:r>
      <w:r>
        <w:rPr>
          <w:sz w:val="20"/>
          <w:szCs w:val="20"/>
          <w:color w:val="auto"/>
        </w:rPr>
        <w:tab/>
      </w:r>
      <w:r>
        <w:rPr>
          <w:rFonts w:ascii="Arial" w:cs="Arial" w:eastAsia="Arial" w:hAnsi="Arial"/>
          <w:sz w:val="14"/>
          <w:szCs w:val="14"/>
          <w:color w:val="0E2A35"/>
        </w:rPr>
        <w:t>greater vote, any merger or share exchange requires</w:t>
      </w:r>
    </w:p>
    <w:p>
      <w:pPr>
        <w:spacing w:after="0" w:line="1" w:lineRule="exact"/>
        <w:rPr>
          <w:sz w:val="20"/>
          <w:szCs w:val="20"/>
          <w:color w:val="auto"/>
        </w:rPr>
      </w:pPr>
    </w:p>
    <w:p>
      <w:pPr>
        <w:jc w:val="both"/>
        <w:ind w:left="2660" w:right="160" w:hanging="1659"/>
        <w:spacing w:after="0" w:line="249" w:lineRule="auto"/>
        <w:tabs>
          <w:tab w:leader="none" w:pos="2640" w:val="left"/>
        </w:tabs>
        <w:rPr>
          <w:sz w:val="20"/>
          <w:szCs w:val="20"/>
          <w:color w:val="auto"/>
        </w:rPr>
      </w:pPr>
      <w:r>
        <w:rPr>
          <w:rFonts w:ascii="Arial" w:cs="Arial" w:eastAsia="Arial" w:hAnsi="Arial"/>
          <w:sz w:val="14"/>
          <w:szCs w:val="14"/>
          <w:b w:val="1"/>
          <w:bCs w:val="1"/>
          <w:color w:val="0E2A35"/>
        </w:rPr>
        <w:t>Company</w:t>
      </w:r>
      <w:r>
        <w:rPr>
          <w:sz w:val="20"/>
          <w:szCs w:val="20"/>
          <w:color w:val="auto"/>
        </w:rPr>
        <w:tab/>
      </w:r>
      <w:r>
        <w:rPr>
          <w:rFonts w:ascii="Arial" w:cs="Arial" w:eastAsia="Arial" w:hAnsi="Arial"/>
          <w:sz w:val="14"/>
          <w:szCs w:val="14"/>
          <w:color w:val="0E2A35"/>
        </w:rPr>
        <w:t>the affirmative vote of the holders of a majority of the outstanding shares of the corporation entitled to vote thereon.</w:t>
      </w:r>
    </w:p>
    <w:p>
      <w:pPr>
        <w:spacing w:after="0" w:line="147" w:lineRule="exact"/>
        <w:rPr>
          <w:sz w:val="20"/>
          <w:szCs w:val="20"/>
          <w:color w:val="auto"/>
        </w:rPr>
      </w:pPr>
    </w:p>
    <w:p>
      <w:pPr>
        <w:ind w:left="2660"/>
        <w:spacing w:after="0" w:line="258" w:lineRule="auto"/>
        <w:rPr>
          <w:sz w:val="20"/>
          <w:szCs w:val="20"/>
          <w:color w:val="auto"/>
        </w:rPr>
      </w:pPr>
      <w:r>
        <w:rPr>
          <w:rFonts w:ascii="Arial" w:cs="Arial" w:eastAsia="Arial" w:hAnsi="Arial"/>
          <w:sz w:val="14"/>
          <w:szCs w:val="14"/>
          <w:color w:val="0E2A35"/>
        </w:rPr>
        <w:t>Neither the Iowa Articles nor Iowa By-Laws require any greater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51435</wp:posOffset>
            </wp:positionV>
            <wp:extent cx="58978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020"/>
        <w:spacing w:after="0" w:line="245" w:lineRule="auto"/>
        <w:rPr>
          <w:sz w:val="20"/>
          <w:szCs w:val="20"/>
          <w:color w:val="auto"/>
        </w:rPr>
      </w:pPr>
      <w:r>
        <w:rPr>
          <w:rFonts w:ascii="Arial" w:cs="Arial" w:eastAsia="Arial" w:hAnsi="Arial"/>
          <w:sz w:val="14"/>
          <w:szCs w:val="14"/>
          <w:color w:val="0E2A35"/>
        </w:rPr>
        <w:t>The MBCA provides that any sale, lease or exchange of all or substantially all of a corporation’s property or assets, merger, statutory share exchange or voluntary dissolution must be approved by the holders of a majority of the voting power of all shares entitled to vote thereon.</w:t>
      </w:r>
    </w:p>
    <w:p>
      <w:pPr>
        <w:spacing w:after="0" w:line="847" w:lineRule="exact"/>
        <w:rPr>
          <w:sz w:val="20"/>
          <w:szCs w:val="20"/>
          <w:color w:val="auto"/>
        </w:rPr>
      </w:pPr>
    </w:p>
    <w:p>
      <w:pPr>
        <w:sectPr>
          <w:pgSz w:w="11900" w:h="16838" w:orient="portrait"/>
          <w:cols w:equalWidth="0" w:num="2">
            <w:col w:w="6180" w:space="260"/>
            <w:col w:w="45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680" w:type="dxa"/>
            <w:vAlign w:val="bottom"/>
          </w:tcPr>
          <w:p>
            <w:pPr>
              <w:ind w:left="140"/>
              <w:spacing w:after="0"/>
              <w:rPr>
                <w:sz w:val="20"/>
                <w:szCs w:val="20"/>
                <w:color w:val="auto"/>
              </w:rPr>
            </w:pPr>
            <w:r>
              <w:rPr>
                <w:rFonts w:ascii="Arial" w:cs="Arial" w:eastAsia="Arial" w:hAnsi="Arial"/>
                <w:sz w:val="14"/>
                <w:szCs w:val="14"/>
                <w:b w:val="1"/>
                <w:bCs w:val="1"/>
                <w:color w:val="0E2A35"/>
              </w:rPr>
              <w:t>Business</w:t>
            </w:r>
          </w:p>
        </w:tc>
        <w:tc>
          <w:tcPr>
            <w:tcW w:w="3760" w:type="dxa"/>
            <w:vAlign w:val="bottom"/>
          </w:tcPr>
          <w:p>
            <w:pPr>
              <w:ind w:left="120"/>
              <w:spacing w:after="0"/>
              <w:rPr>
                <w:sz w:val="20"/>
                <w:szCs w:val="20"/>
                <w:color w:val="auto"/>
              </w:rPr>
            </w:pPr>
            <w:r>
              <w:rPr>
                <w:rFonts w:ascii="Arial" w:cs="Arial" w:eastAsia="Arial" w:hAnsi="Arial"/>
                <w:sz w:val="14"/>
                <w:szCs w:val="14"/>
                <w:color w:val="0E2A35"/>
              </w:rPr>
              <w:t>The IBCA prohibits transactions between a corporation</w:t>
            </w:r>
          </w:p>
        </w:tc>
        <w:tc>
          <w:tcPr>
            <w:tcW w:w="3680" w:type="dxa"/>
            <w:vAlign w:val="bottom"/>
          </w:tcPr>
          <w:p>
            <w:pPr>
              <w:ind w:left="140"/>
              <w:spacing w:after="0"/>
              <w:rPr>
                <w:sz w:val="20"/>
                <w:szCs w:val="20"/>
                <w:color w:val="auto"/>
              </w:rPr>
            </w:pPr>
            <w:r>
              <w:rPr>
                <w:rFonts w:ascii="Arial" w:cs="Arial" w:eastAsia="Arial" w:hAnsi="Arial"/>
                <w:sz w:val="14"/>
                <w:szCs w:val="14"/>
                <w:color w:val="0E2A35"/>
              </w:rPr>
              <w:t>The MBCA provides that a corporation with a class of</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860" w:type="dxa"/>
            <w:vAlign w:val="bottom"/>
          </w:tcPr>
          <w:p>
            <w:pPr>
              <w:spacing w:after="0"/>
              <w:rPr>
                <w:sz w:val="15"/>
                <w:szCs w:val="15"/>
                <w:color w:val="auto"/>
              </w:rPr>
            </w:pPr>
          </w:p>
        </w:tc>
        <w:tc>
          <w:tcPr>
            <w:tcW w:w="1680" w:type="dxa"/>
            <w:vAlign w:val="bottom"/>
          </w:tcPr>
          <w:p>
            <w:pPr>
              <w:ind w:left="140"/>
              <w:spacing w:after="0"/>
              <w:rPr>
                <w:sz w:val="20"/>
                <w:szCs w:val="20"/>
                <w:color w:val="auto"/>
              </w:rPr>
            </w:pPr>
            <w:r>
              <w:rPr>
                <w:rFonts w:ascii="Arial" w:cs="Arial" w:eastAsia="Arial" w:hAnsi="Arial"/>
                <w:sz w:val="14"/>
                <w:szCs w:val="14"/>
                <w:b w:val="1"/>
                <w:bCs w:val="1"/>
                <w:color w:val="0E2A35"/>
              </w:rPr>
              <w:t>Combination Statute</w:t>
            </w:r>
          </w:p>
        </w:tc>
        <w:tc>
          <w:tcPr>
            <w:tcW w:w="3760" w:type="dxa"/>
            <w:vAlign w:val="bottom"/>
          </w:tcPr>
          <w:p>
            <w:pPr>
              <w:ind w:left="120"/>
              <w:spacing w:after="0"/>
              <w:rPr>
                <w:sz w:val="20"/>
                <w:szCs w:val="20"/>
                <w:color w:val="auto"/>
              </w:rPr>
            </w:pPr>
            <w:r>
              <w:rPr>
                <w:rFonts w:ascii="Arial" w:cs="Arial" w:eastAsia="Arial" w:hAnsi="Arial"/>
                <w:sz w:val="14"/>
                <w:szCs w:val="14"/>
                <w:color w:val="0E2A35"/>
              </w:rPr>
              <w:t>and an interested shareholder for three years following</w:t>
            </w:r>
          </w:p>
        </w:tc>
        <w:tc>
          <w:tcPr>
            <w:tcW w:w="4720" w:type="dxa"/>
            <w:vAlign w:val="bottom"/>
            <w:gridSpan w:val="3"/>
          </w:tcPr>
          <w:p>
            <w:pPr>
              <w:ind w:left="140"/>
              <w:spacing w:after="0"/>
              <w:rPr>
                <w:sz w:val="20"/>
                <w:szCs w:val="20"/>
                <w:color w:val="auto"/>
              </w:rPr>
            </w:pPr>
            <w:r>
              <w:rPr>
                <w:rFonts w:ascii="Arial" w:cs="Arial" w:eastAsia="Arial" w:hAnsi="Arial"/>
                <w:sz w:val="14"/>
                <w:szCs w:val="14"/>
                <w:color w:val="0E2A35"/>
              </w:rPr>
              <w:t>equity securities registered pursuant to Section 12 of the</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0E2A35"/>
              </w:rPr>
              <w:t>the time such shareholder</w:t>
            </w:r>
          </w:p>
        </w:tc>
        <w:tc>
          <w:tcPr>
            <w:tcW w:w="3680" w:type="dxa"/>
            <w:vAlign w:val="bottom"/>
          </w:tcPr>
          <w:p>
            <w:pPr>
              <w:ind w:left="140"/>
              <w:spacing w:after="0"/>
              <w:rPr>
                <w:sz w:val="20"/>
                <w:szCs w:val="20"/>
                <w:color w:val="auto"/>
              </w:rPr>
            </w:pPr>
            <w:r>
              <w:rPr>
                <w:rFonts w:ascii="Arial" w:cs="Arial" w:eastAsia="Arial" w:hAnsi="Arial"/>
                <w:sz w:val="14"/>
                <w:szCs w:val="14"/>
                <w:color w:val="0E2A35"/>
              </w:rPr>
              <w:t>Exchange Act is prohibited from conducting a business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760" w:type="dxa"/>
            <w:vAlign w:val="bottom"/>
          </w:tcPr>
          <w:p>
            <w:pPr>
              <w:ind w:left="120"/>
              <w:spacing w:after="0"/>
              <w:rPr>
                <w:sz w:val="20"/>
                <w:szCs w:val="20"/>
                <w:color w:val="auto"/>
              </w:rPr>
            </w:pPr>
            <w:r>
              <w:rPr>
                <w:rFonts w:ascii="Arial" w:cs="Arial" w:eastAsia="Arial" w:hAnsi="Arial"/>
                <w:sz w:val="14"/>
                <w:szCs w:val="14"/>
                <w:color w:val="0E2A35"/>
              </w:rPr>
              <w:t>became an interested shareholder, unless the</w:t>
            </w:r>
          </w:p>
        </w:tc>
        <w:tc>
          <w:tcPr>
            <w:tcW w:w="3680" w:type="dxa"/>
            <w:vAlign w:val="bottom"/>
          </w:tcPr>
          <w:p>
            <w:pPr>
              <w:ind w:left="140"/>
              <w:spacing w:after="0"/>
              <w:rPr>
                <w:sz w:val="20"/>
                <w:szCs w:val="20"/>
                <w:color w:val="auto"/>
              </w:rPr>
            </w:pPr>
            <w:r>
              <w:rPr>
                <w:rFonts w:ascii="Arial" w:cs="Arial" w:eastAsia="Arial" w:hAnsi="Arial"/>
                <w:sz w:val="14"/>
                <w:szCs w:val="14"/>
                <w:color w:val="0E2A35"/>
              </w:rPr>
              <w:t>combination with,</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9"/>
        </w:trPr>
        <w:tc>
          <w:tcPr>
            <w:tcW w:w="860" w:type="dxa"/>
            <w:vAlign w:val="bottom"/>
          </w:tcPr>
          <w:p>
            <w:pPr>
              <w:spacing w:after="0"/>
              <w:rPr>
                <w:sz w:val="3"/>
                <w:szCs w:val="3"/>
                <w:color w:val="auto"/>
              </w:rPr>
            </w:pPr>
          </w:p>
        </w:tc>
        <w:tc>
          <w:tcPr>
            <w:tcW w:w="1680" w:type="dxa"/>
            <w:vAlign w:val="bottom"/>
            <w:tcBorders>
              <w:bottom w:val="single" w:sz="8" w:color="0E2A35"/>
            </w:tcBorders>
          </w:tcPr>
          <w:p>
            <w:pPr>
              <w:spacing w:after="0"/>
              <w:rPr>
                <w:sz w:val="3"/>
                <w:szCs w:val="3"/>
                <w:color w:val="auto"/>
              </w:rPr>
            </w:pPr>
          </w:p>
        </w:tc>
        <w:tc>
          <w:tcPr>
            <w:tcW w:w="3760" w:type="dxa"/>
            <w:vAlign w:val="bottom"/>
            <w:tcBorders>
              <w:bottom w:val="single" w:sz="8" w:color="0E2A35"/>
            </w:tcBorders>
          </w:tcPr>
          <w:p>
            <w:pPr>
              <w:spacing w:after="0"/>
              <w:rPr>
                <w:sz w:val="3"/>
                <w:szCs w:val="3"/>
                <w:color w:val="auto"/>
              </w:rPr>
            </w:pPr>
          </w:p>
        </w:tc>
        <w:tc>
          <w:tcPr>
            <w:tcW w:w="3680" w:type="dxa"/>
            <w:vAlign w:val="bottom"/>
            <w:tcBorders>
              <w:bottom w:val="single" w:sz="8" w:color="0E2A35"/>
            </w:tcBorders>
          </w:tcPr>
          <w:p>
            <w:pPr>
              <w:spacing w:after="0"/>
              <w:rPr>
                <w:sz w:val="3"/>
                <w:szCs w:val="3"/>
                <w:color w:val="auto"/>
              </w:rPr>
            </w:pPr>
          </w:p>
        </w:tc>
        <w:tc>
          <w:tcPr>
            <w:tcW w:w="160" w:type="dxa"/>
            <w:vAlign w:val="bottom"/>
            <w:tcBorders>
              <w:bottom w:val="single" w:sz="8" w:color="0E2A35"/>
            </w:tcBorders>
          </w:tcPr>
          <w:p>
            <w:pPr>
              <w:spacing w:after="0"/>
              <w:rPr>
                <w:sz w:val="3"/>
                <w:szCs w:val="3"/>
                <w:color w:val="auto"/>
              </w:rPr>
            </w:pPr>
          </w:p>
        </w:tc>
        <w:tc>
          <w:tcPr>
            <w:tcW w:w="880" w:type="dxa"/>
            <w:vAlign w:val="bottom"/>
          </w:tcPr>
          <w:p>
            <w:pPr>
              <w:spacing w:after="0"/>
              <w:rPr>
                <w:sz w:val="3"/>
                <w:szCs w:val="3"/>
                <w:color w:val="auto"/>
              </w:rPr>
            </w:pPr>
          </w:p>
        </w:tc>
      </w:tr>
      <w:tr>
        <w:trPr>
          <w:trHeight w:val="463"/>
        </w:trPr>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80" w:type="dxa"/>
            <w:vAlign w:val="bottom"/>
          </w:tcPr>
          <w:p>
            <w:pPr>
              <w:ind w:left="1120"/>
              <w:spacing w:after="0"/>
              <w:rPr>
                <w:sz w:val="20"/>
                <w:szCs w:val="20"/>
                <w:color w:val="auto"/>
              </w:rPr>
            </w:pPr>
            <w:r>
              <w:rPr>
                <w:rFonts w:ascii="Arial" w:cs="Arial" w:eastAsia="Arial" w:hAnsi="Arial"/>
                <w:sz w:val="13"/>
                <w:szCs w:val="13"/>
                <w:color w:val="0E2A35"/>
              </w:rPr>
              <w:t>Proxy Statement for 2021 Annual Meeting</w:t>
            </w:r>
          </w:p>
        </w:tc>
        <w:tc>
          <w:tcPr>
            <w:tcW w:w="104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0E2A35"/>
                <w:w w:val="96"/>
              </w:rPr>
              <w:t>76</w:t>
            </w:r>
          </w:p>
        </w:tc>
      </w:tr>
      <w:tr>
        <w:trPr>
          <w:trHeight w:val="253"/>
        </w:trPr>
        <w:tc>
          <w:tcPr>
            <w:tcW w:w="8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1" w:name="page82"/>
    <w:bookmarkEnd w:id="8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right="40"/>
        <w:spacing w:after="0" w:line="245" w:lineRule="auto"/>
        <w:rPr>
          <w:sz w:val="20"/>
          <w:szCs w:val="20"/>
          <w:color w:val="auto"/>
        </w:rPr>
      </w:pPr>
      <w:r>
        <w:rPr>
          <w:rFonts w:ascii="Arial" w:cs="Arial" w:eastAsia="Arial" w:hAnsi="Arial"/>
          <w:sz w:val="14"/>
          <w:szCs w:val="14"/>
          <w:color w:val="0E2A35"/>
        </w:rPr>
        <w:t>articles of incorporation or bylaws expressly elect not to be governed by this statute or certain other conditions are met. Neither the Iowa Articles nor the Iowa By-Laws contain any provision expressly electing not to be governed by this statute.</w:t>
      </w:r>
    </w:p>
    <w:p>
      <w:pPr>
        <w:spacing w:after="0" w:line="150" w:lineRule="exact"/>
        <w:rPr>
          <w:sz w:val="20"/>
          <w:szCs w:val="20"/>
          <w:color w:val="auto"/>
        </w:rPr>
      </w:pPr>
    </w:p>
    <w:p>
      <w:pPr>
        <w:ind w:left="2660"/>
        <w:spacing w:after="0" w:line="245" w:lineRule="auto"/>
        <w:rPr>
          <w:sz w:val="20"/>
          <w:szCs w:val="20"/>
          <w:color w:val="auto"/>
        </w:rPr>
      </w:pPr>
      <w:r>
        <w:rPr>
          <w:rFonts w:ascii="Arial" w:cs="Arial" w:eastAsia="Arial" w:hAnsi="Arial"/>
          <w:sz w:val="14"/>
          <w:szCs w:val="14"/>
          <w:color w:val="0E2A35"/>
        </w:rPr>
        <w:t>Generally, an interested shareholder is any person (including the person’s affiliates and associates) who owns 10% or more of the outstanding voting stock of a corporation. The interested shareholder can engage in a business combination:</w:t>
      </w:r>
    </w:p>
    <w:p>
      <w:pPr>
        <w:spacing w:after="0" w:line="150" w:lineRule="exact"/>
        <w:rPr>
          <w:sz w:val="20"/>
          <w:szCs w:val="20"/>
          <w:color w:val="auto"/>
        </w:rPr>
      </w:pPr>
    </w:p>
    <w:p>
      <w:pPr>
        <w:ind w:left="2780" w:right="60" w:hanging="111"/>
        <w:spacing w:after="0" w:line="245" w:lineRule="auto"/>
        <w:tabs>
          <w:tab w:leader="none" w:pos="2767" w:val="left"/>
        </w:tabs>
        <w:numPr>
          <w:ilvl w:val="0"/>
          <w:numId w:val="65"/>
        </w:numPr>
        <w:rPr>
          <w:rFonts w:ascii="Arial" w:cs="Arial" w:eastAsia="Arial" w:hAnsi="Arial"/>
          <w:sz w:val="14"/>
          <w:szCs w:val="14"/>
          <w:color w:val="0E2A35"/>
        </w:rPr>
      </w:pPr>
      <w:r>
        <w:rPr>
          <w:rFonts w:ascii="Arial" w:cs="Arial" w:eastAsia="Arial" w:hAnsi="Arial"/>
          <w:sz w:val="14"/>
          <w:szCs w:val="14"/>
          <w:color w:val="0E2A35"/>
        </w:rPr>
        <w:t>if, prior to the time the shareholder became an interested shareholder, the business combination or the transaction that resulted in the shareholder becoming an interested shareholder was approved by the board of directors;</w:t>
      </w:r>
    </w:p>
    <w:p>
      <w:pPr>
        <w:spacing w:after="0" w:line="150" w:lineRule="exact"/>
        <w:rPr>
          <w:rFonts w:ascii="Arial" w:cs="Arial" w:eastAsia="Arial" w:hAnsi="Arial"/>
          <w:sz w:val="14"/>
          <w:szCs w:val="14"/>
          <w:color w:val="0E2A35"/>
        </w:rPr>
      </w:pPr>
    </w:p>
    <w:p>
      <w:pPr>
        <w:ind w:left="2780" w:right="20" w:hanging="111"/>
        <w:spacing w:after="0" w:line="243" w:lineRule="auto"/>
        <w:tabs>
          <w:tab w:leader="none" w:pos="2767" w:val="left"/>
        </w:tabs>
        <w:numPr>
          <w:ilvl w:val="0"/>
          <w:numId w:val="65"/>
        </w:numPr>
        <w:rPr>
          <w:rFonts w:ascii="Arial" w:cs="Arial" w:eastAsia="Arial" w:hAnsi="Arial"/>
          <w:sz w:val="14"/>
          <w:szCs w:val="14"/>
          <w:color w:val="0E2A35"/>
        </w:rPr>
      </w:pPr>
      <w:r>
        <w:rPr>
          <w:rFonts w:ascii="Arial" w:cs="Arial" w:eastAsia="Arial" w:hAnsi="Arial"/>
          <w:sz w:val="14"/>
          <w:szCs w:val="14"/>
          <w:color w:val="0E2A35"/>
        </w:rPr>
        <w:t>if, upon consummation of the transaction that resulted in the shareholder becoming an interested shareholder, the interested shareholder owned at least 85% of the voting stock of the corporation outstanding at the time the transaction commenced, excluding, for purposes of determining the number of shares outstanding, those shares owned by directors and officers, and by employee stock plans in which employee participants do not have the right to determine confidentially whether shares held subject to the plan will be tendered in a tender or exchange offer; or</w:t>
      </w:r>
    </w:p>
    <w:p>
      <w:pPr>
        <w:spacing w:after="0" w:line="312" w:lineRule="exact"/>
        <w:rPr>
          <w:rFonts w:ascii="Arial" w:cs="Arial" w:eastAsia="Arial" w:hAnsi="Arial"/>
          <w:sz w:val="14"/>
          <w:szCs w:val="14"/>
          <w:color w:val="0E2A35"/>
        </w:rPr>
      </w:pPr>
    </w:p>
    <w:p>
      <w:pPr>
        <w:ind w:left="2780" w:right="20" w:hanging="111"/>
        <w:spacing w:after="0" w:line="244" w:lineRule="auto"/>
        <w:tabs>
          <w:tab w:leader="none" w:pos="2767" w:val="left"/>
        </w:tabs>
        <w:numPr>
          <w:ilvl w:val="0"/>
          <w:numId w:val="65"/>
        </w:numPr>
        <w:rPr>
          <w:rFonts w:ascii="Arial" w:cs="Arial" w:eastAsia="Arial" w:hAnsi="Arial"/>
          <w:sz w:val="14"/>
          <w:szCs w:val="14"/>
          <w:color w:val="0E2A35"/>
        </w:rPr>
      </w:pPr>
      <w:r>
        <w:rPr>
          <w:rFonts w:ascii="Arial" w:cs="Arial" w:eastAsia="Arial" w:hAnsi="Arial"/>
          <w:sz w:val="14"/>
          <w:szCs w:val="14"/>
          <w:color w:val="0E2A35"/>
        </w:rPr>
        <w:t>if at or subsequent to the time the shareholder became an interested shareholder, the business combination is approved by the board of directors and authorized at a meeting of shareholders by the affirmative vote of at least 66 2/3% of the outstanding voting stock that is not owned by the interested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59055</wp:posOffset>
            </wp:positionV>
            <wp:extent cx="58978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100"/>
        <w:spacing w:after="0" w:line="243" w:lineRule="auto"/>
        <w:rPr>
          <w:sz w:val="20"/>
          <w:szCs w:val="20"/>
          <w:color w:val="auto"/>
        </w:rPr>
      </w:pPr>
      <w:r>
        <w:rPr>
          <w:rFonts w:ascii="Arial" w:cs="Arial" w:eastAsia="Arial" w:hAnsi="Arial"/>
          <w:sz w:val="14"/>
          <w:szCs w:val="14"/>
          <w:color w:val="0E2A35"/>
        </w:rPr>
        <w:t>proposed by or on behalf of, an interested shareholder (or any affiliate or associate of any interested shareholder) for four years after the shareholder became an interested shareholder unless either the business combination or the interested shareholder's acquisition of shares was approved by a committee of disinterested directors before the shareholder became an interested shareholder.</w:t>
      </w:r>
    </w:p>
    <w:p>
      <w:pPr>
        <w:spacing w:after="0" w:line="154" w:lineRule="exact"/>
        <w:rPr>
          <w:sz w:val="20"/>
          <w:szCs w:val="20"/>
          <w:color w:val="auto"/>
        </w:rPr>
      </w:pPr>
    </w:p>
    <w:p>
      <w:pPr>
        <w:ind w:right="1060"/>
        <w:spacing w:after="0" w:line="244" w:lineRule="auto"/>
        <w:rPr>
          <w:sz w:val="20"/>
          <w:szCs w:val="20"/>
          <w:color w:val="auto"/>
        </w:rPr>
      </w:pPr>
      <w:r>
        <w:rPr>
          <w:rFonts w:ascii="Arial" w:cs="Arial" w:eastAsia="Arial" w:hAnsi="Arial"/>
          <w:sz w:val="14"/>
          <w:szCs w:val="14"/>
          <w:color w:val="0E2A35"/>
        </w:rPr>
        <w:t>An interested shareholder is either (a) a shareholder who directly or indirectly owns 10% or more of the voting power of the corporation's outstanding shares entitled to vote, or (b) an affiliate of the corporation who at any time within the past four years owned 10% or more of the voting power of the corporation's then outstanding shares entitled to vote.</w:t>
      </w:r>
    </w:p>
    <w:p>
      <w:pPr>
        <w:spacing w:after="0" w:line="150" w:lineRule="exact"/>
        <w:rPr>
          <w:sz w:val="20"/>
          <w:szCs w:val="20"/>
          <w:color w:val="auto"/>
        </w:rPr>
      </w:pPr>
    </w:p>
    <w:p>
      <w:pPr>
        <w:ind w:right="1040"/>
        <w:spacing w:after="0" w:line="244" w:lineRule="auto"/>
        <w:rPr>
          <w:sz w:val="20"/>
          <w:szCs w:val="20"/>
          <w:color w:val="auto"/>
        </w:rPr>
      </w:pPr>
      <w:r>
        <w:rPr>
          <w:rFonts w:ascii="Arial" w:cs="Arial" w:eastAsia="Arial" w:hAnsi="Arial"/>
          <w:sz w:val="14"/>
          <w:szCs w:val="14"/>
          <w:color w:val="0E2A35"/>
        </w:rPr>
        <w:t>If a good faith definitive proposal regarding a business combination or share acquisition is made in writing to the board of directors, a committee of disinterested directors must consider and take action on the proposal and respond in writing within 30 days setting forth its decision regarding the proposal.</w:t>
      </w:r>
    </w:p>
    <w:p>
      <w:pPr>
        <w:spacing w:after="0" w:line="2468"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Control Share</w:t>
      </w:r>
      <w:r>
        <w:rPr>
          <w:sz w:val="20"/>
          <w:szCs w:val="20"/>
          <w:color w:val="auto"/>
        </w:rPr>
        <w:tab/>
      </w:r>
      <w:r>
        <w:rPr>
          <w:rFonts w:ascii="Arial" w:cs="Arial" w:eastAsia="Arial" w:hAnsi="Arial"/>
          <w:sz w:val="14"/>
          <w:szCs w:val="14"/>
          <w:color w:val="0E2A35"/>
        </w:rPr>
        <w:t>The IBCA does not contain a control share acquisition</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Acquisition Statute</w:t>
      </w:r>
      <w:r>
        <w:rPr>
          <w:sz w:val="20"/>
          <w:szCs w:val="20"/>
          <w:color w:val="auto"/>
        </w:rPr>
        <w:tab/>
      </w:r>
      <w:r>
        <w:rPr>
          <w:rFonts w:ascii="Arial" w:cs="Arial" w:eastAsia="Arial" w:hAnsi="Arial"/>
          <w:sz w:val="14"/>
          <w:szCs w:val="14"/>
          <w:color w:val="0E2A35"/>
        </w:rPr>
        <w:t>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1300480</wp:posOffset>
            </wp:positionV>
            <wp:extent cx="58978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0"/>
        <w:spacing w:after="0" w:line="243" w:lineRule="auto"/>
        <w:rPr>
          <w:sz w:val="20"/>
          <w:szCs w:val="20"/>
          <w:color w:val="auto"/>
        </w:rPr>
      </w:pPr>
      <w:r>
        <w:rPr>
          <w:rFonts w:ascii="Arial" w:cs="Arial" w:eastAsia="Arial" w:hAnsi="Arial"/>
          <w:sz w:val="14"/>
          <w:szCs w:val="14"/>
          <w:color w:val="0E2A35"/>
        </w:rPr>
        <w:t>No change. The MBCA provides that a shareholder who holds over certain thresholds (20%, 33.33% or 50%) of the outstanding shares of a public corporation is restricted from voting its shares that exceed the applicable threshold of the corporation's outstanding voting shares until special shareholder approval is obtained or other conditions are satisfied. A Minnesota corporation may expressly opt out of the control share acquisition statute in its articles of incorporation or bylaws.</w:t>
      </w:r>
    </w:p>
    <w:p>
      <w:pPr>
        <w:spacing w:after="0" w:line="152" w:lineRule="exact"/>
        <w:rPr>
          <w:sz w:val="20"/>
          <w:szCs w:val="20"/>
          <w:color w:val="auto"/>
        </w:rPr>
      </w:pPr>
    </w:p>
    <w:p>
      <w:pPr>
        <w:ind w:right="1260"/>
        <w:spacing w:after="0" w:line="249" w:lineRule="auto"/>
        <w:rPr>
          <w:sz w:val="20"/>
          <w:szCs w:val="20"/>
          <w:color w:val="auto"/>
        </w:rPr>
      </w:pPr>
      <w:r>
        <w:rPr>
          <w:rFonts w:ascii="Arial" w:cs="Arial" w:eastAsia="Arial" w:hAnsi="Arial"/>
          <w:sz w:val="14"/>
          <w:szCs w:val="14"/>
          <w:color w:val="0E2A35"/>
        </w:rPr>
        <w:t xml:space="preserve">The proposed Minnesota Articles provide that Minnesota's control share acquisition statute will </w:t>
      </w:r>
      <w:r>
        <w:rPr>
          <w:rFonts w:ascii="Arial" w:cs="Arial" w:eastAsia="Arial" w:hAnsi="Arial"/>
          <w:sz w:val="14"/>
          <w:szCs w:val="14"/>
          <w:u w:val="single" w:color="auto"/>
          <w:color w:val="0E2A35"/>
        </w:rPr>
        <w:t>not</w:t>
      </w:r>
      <w:r>
        <w:rPr>
          <w:rFonts w:ascii="Arial" w:cs="Arial" w:eastAsia="Arial" w:hAnsi="Arial"/>
          <w:sz w:val="14"/>
          <w:szCs w:val="14"/>
          <w:color w:val="0E2A35"/>
        </w:rPr>
        <w:t xml:space="preserve"> apply to the Minnesota Company.</w:t>
      </w:r>
    </w:p>
    <w:p>
      <w:pPr>
        <w:spacing w:after="0" w:line="196" w:lineRule="exact"/>
        <w:rPr>
          <w:sz w:val="20"/>
          <w:szCs w:val="20"/>
          <w:color w:val="auto"/>
        </w:rPr>
      </w:pPr>
    </w:p>
    <w:p>
      <w:pPr>
        <w:sectPr>
          <w:pgSz w:w="11900" w:h="16838" w:orient="portrait"/>
          <w:cols w:equalWidth="0" w:num="2">
            <w:col w:w="6100" w:space="340"/>
            <w:col w:w="4580"/>
          </w:cols>
          <w:pgMar w:left="440" w:top="265" w:right="439" w:bottom="1440" w:gutter="0" w:footer="0" w:header="0"/>
          <w:type w:val="continuous"/>
        </w:sectPr>
      </w:pPr>
    </w:p>
    <w:tbl>
      <w:tblPr>
        <w:tblLayout w:type="fixed"/>
        <w:tblInd w:w="100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Arial" w:cs="Arial" w:eastAsia="Arial" w:hAnsi="Arial"/>
                <w:sz w:val="14"/>
                <w:szCs w:val="14"/>
                <w:b w:val="1"/>
                <w:bCs w:val="1"/>
                <w:color w:val="0E2A35"/>
              </w:rPr>
              <w:t>Indemnification and</w:t>
            </w: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Under the IBCA, a corporation may indemnify a director</w:t>
            </w: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0E2A35"/>
              </w:rPr>
              <w:t>Advancement of</w:t>
            </w:r>
          </w:p>
        </w:tc>
        <w:tc>
          <w:tcPr>
            <w:tcW w:w="2120" w:type="dxa"/>
            <w:vAlign w:val="bottom"/>
          </w:tcPr>
          <w:p>
            <w:pPr>
              <w:spacing w:after="0" w:line="20" w:lineRule="exact"/>
              <w:rPr>
                <w:sz w:val="1"/>
                <w:szCs w:val="1"/>
                <w:color w:val="auto"/>
              </w:rPr>
            </w:pPr>
          </w:p>
        </w:tc>
        <w:tc>
          <w:tcPr>
            <w:tcW w:w="260" w:type="dxa"/>
            <w:vAlign w:val="bottom"/>
            <w:shd w:val="clear" w:color="auto" w:fill="0E2A3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3680" w:type="dxa"/>
            <w:vAlign w:val="bottom"/>
            <w:gridSpan w:val="3"/>
          </w:tcPr>
          <w:p>
            <w:pPr>
              <w:ind w:left="140"/>
              <w:spacing w:after="0" w:line="143" w:lineRule="exact"/>
              <w:rPr>
                <w:sz w:val="20"/>
                <w:szCs w:val="20"/>
                <w:color w:val="auto"/>
              </w:rPr>
            </w:pPr>
            <w:r>
              <w:rPr>
                <w:rFonts w:ascii="Arial" w:cs="Arial" w:eastAsia="Arial" w:hAnsi="Arial"/>
                <w:sz w:val="14"/>
                <w:szCs w:val="14"/>
                <w:color w:val="0E2A35"/>
              </w:rPr>
              <w:t>who is a party or is threatened to be made a party to a</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20"/>
                <w:szCs w:val="20"/>
                <w:color w:val="auto"/>
              </w:rPr>
            </w:pPr>
            <w:r>
              <w:rPr>
                <w:rFonts w:ascii="Arial" w:cs="Arial" w:eastAsia="Arial" w:hAnsi="Arial"/>
                <w:sz w:val="14"/>
                <w:szCs w:val="14"/>
                <w:b w:val="1"/>
                <w:bCs w:val="1"/>
                <w:color w:val="0E2A35"/>
              </w:rPr>
              <w:t>Expenses</w:t>
            </w: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threatened, pending or completed action, suit or</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proceeding, whether civil, criminal, administrative or</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investigative (or brought by or in the right of the</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corporation) by reason of the fact that he or she is or</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was a director of the corporation, or is or was serving at</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0E2A35"/>
              </w:rPr>
              <w:t>the request of the corporation as a director 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127635</wp:posOffset>
            </wp:positionV>
            <wp:extent cx="58978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20"/>
        <w:spacing w:after="0" w:line="243" w:lineRule="auto"/>
        <w:rPr>
          <w:sz w:val="20"/>
          <w:szCs w:val="20"/>
          <w:color w:val="auto"/>
        </w:rPr>
      </w:pPr>
      <w:r>
        <w:rPr>
          <w:rFonts w:ascii="Arial" w:cs="Arial" w:eastAsia="Arial" w:hAnsi="Arial"/>
          <w:sz w:val="14"/>
          <w:szCs w:val="14"/>
          <w:color w:val="0E2A35"/>
        </w:rPr>
        <w:t>Minnesota law provides that, unless prohibited or conditioned by the articles of incorporation or bylaws, a corporation must indemnify a person made or threatened to be made a party to a proceeding because of the person's former or present official capacity in the corporation against judgments, penalties, fines, including, without limitation, excise taxes assessed against the person with respect to an employee benefit plan,</w:t>
      </w:r>
    </w:p>
    <w:p>
      <w:pPr>
        <w:spacing w:after="0" w:line="202" w:lineRule="exact"/>
        <w:rPr>
          <w:sz w:val="20"/>
          <w:szCs w:val="20"/>
          <w:color w:val="auto"/>
        </w:rPr>
      </w:pPr>
    </w:p>
    <w:p>
      <w:pPr>
        <w:sectPr>
          <w:pgSz w:w="11900" w:h="16838" w:orient="portrait"/>
          <w:cols w:equalWidth="0" w:num="2">
            <w:col w:w="6200" w:space="240"/>
            <w:col w:w="4580"/>
          </w:cols>
          <w:pgMar w:left="440" w:top="265" w:right="439" w:bottom="1440" w:gutter="0" w:footer="0" w:header="0"/>
          <w:type w:val="continuous"/>
        </w:sect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77</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2" w:name="page83"/>
    <w:bookmarkEnd w:id="8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line="242" w:lineRule="auto"/>
        <w:rPr>
          <w:sz w:val="20"/>
          <w:szCs w:val="20"/>
          <w:color w:val="auto"/>
        </w:rPr>
      </w:pPr>
      <w:r>
        <w:rPr>
          <w:rFonts w:ascii="Arial" w:cs="Arial" w:eastAsia="Arial" w:hAnsi="Arial"/>
          <w:sz w:val="14"/>
          <w:szCs w:val="14"/>
          <w:color w:val="0E2A35"/>
        </w:rPr>
        <w:t xml:space="preserve">agent of another corporation, partnership, joint venture, trust or other entity, against judgments, settlements, penalties, fines, including excise taxes assessed with respect to an employee benefit plan, or expenses incurred with respect to the action, suit or proceeding (or expenses incurred with respect to proceedings by or in the right of the corporation) if the person acted in good faith and in a manner he or she reasonably believed to be in or (in certain cases) at least not opposed to the best interests of the corporation or its shareholders, and with respect to any criminal action or proceeding, if the person had no reasonable cause to believe his or her conduct was unlawful. The termination of a proceeding by judgment, order, settlement, conviction, or upon a plea of nolo contendere or its equivalent is not, of itself, determinative that the director did not meet the standard set forth above. Further, a corporation </w:t>
      </w:r>
      <w:r>
        <w:rPr>
          <w:rFonts w:ascii="Arial" w:cs="Arial" w:eastAsia="Arial" w:hAnsi="Arial"/>
          <w:sz w:val="14"/>
          <w:szCs w:val="14"/>
          <w:u w:val="single" w:color="auto"/>
          <w:color w:val="0E2A35"/>
        </w:rPr>
        <w:t>must</w:t>
      </w:r>
      <w:r>
        <w:rPr>
          <w:rFonts w:ascii="Arial" w:cs="Arial" w:eastAsia="Arial" w:hAnsi="Arial"/>
          <w:sz w:val="14"/>
          <w:szCs w:val="14"/>
          <w:color w:val="0E2A35"/>
        </w:rPr>
        <w:t xml:space="preserve"> indemnify a director who was wholly successful in the defense of such a proceeding against such expenses reasonably incurred in connection with the proceeding.</w:t>
      </w:r>
    </w:p>
    <w:p>
      <w:pPr>
        <w:spacing w:after="0" w:line="155" w:lineRule="exact"/>
        <w:rPr>
          <w:sz w:val="20"/>
          <w:szCs w:val="20"/>
          <w:color w:val="auto"/>
        </w:rPr>
      </w:pPr>
    </w:p>
    <w:p>
      <w:pPr>
        <w:ind w:left="2660" w:right="40"/>
        <w:spacing w:after="0" w:line="243" w:lineRule="auto"/>
        <w:rPr>
          <w:sz w:val="20"/>
          <w:szCs w:val="20"/>
          <w:color w:val="auto"/>
        </w:rPr>
      </w:pPr>
      <w:r>
        <w:rPr>
          <w:rFonts w:ascii="Arial" w:cs="Arial" w:eastAsia="Arial" w:hAnsi="Arial"/>
          <w:sz w:val="14"/>
          <w:szCs w:val="14"/>
          <w:color w:val="0E2A35"/>
        </w:rPr>
        <w:t>The IBCA affords officers the same indemnification protection (except as to mandatory indemnification) and to such further extent provided by the articles of incorporation, the bylaws, the board of directors, or contract, except in the case of an officer’s receipt of a financial benefit to which the officer is not entitled, an intentional infliction of harm on the corporation or the shareholders or an intentional violation of criminal law.</w:t>
      </w:r>
    </w:p>
    <w:p>
      <w:pPr>
        <w:spacing w:after="0" w:line="154" w:lineRule="exact"/>
        <w:rPr>
          <w:sz w:val="20"/>
          <w:szCs w:val="20"/>
          <w:color w:val="auto"/>
        </w:rPr>
      </w:pPr>
    </w:p>
    <w:p>
      <w:pPr>
        <w:ind w:left="2660" w:right="20"/>
        <w:spacing w:after="0" w:line="244" w:lineRule="auto"/>
        <w:rPr>
          <w:sz w:val="20"/>
          <w:szCs w:val="20"/>
          <w:color w:val="auto"/>
        </w:rPr>
      </w:pPr>
      <w:r>
        <w:rPr>
          <w:rFonts w:ascii="Arial" w:cs="Arial" w:eastAsia="Arial" w:hAnsi="Arial"/>
          <w:sz w:val="14"/>
          <w:szCs w:val="14"/>
          <w:color w:val="0E2A35"/>
        </w:rPr>
        <w:t>The IBCA also provides that a corporation may advance expenses incurred by a director who is a party or threatened to be made a party to a proceeding if the director provides a written undertaking to repay the advance if it is ultimately determined that he or she is not entitled to indemnification.</w:t>
      </w:r>
    </w:p>
    <w:p>
      <w:pPr>
        <w:spacing w:after="0" w:line="152" w:lineRule="exact"/>
        <w:rPr>
          <w:sz w:val="20"/>
          <w:szCs w:val="20"/>
          <w:color w:val="auto"/>
        </w:rPr>
      </w:pPr>
    </w:p>
    <w:p>
      <w:pPr>
        <w:ind w:left="2660" w:right="20"/>
        <w:spacing w:after="0" w:line="245" w:lineRule="auto"/>
        <w:rPr>
          <w:sz w:val="20"/>
          <w:szCs w:val="20"/>
          <w:color w:val="auto"/>
        </w:rPr>
      </w:pPr>
      <w:r>
        <w:rPr>
          <w:rFonts w:ascii="Arial" w:cs="Arial" w:eastAsia="Arial" w:hAnsi="Arial"/>
          <w:sz w:val="14"/>
          <w:szCs w:val="14"/>
          <w:color w:val="0E2A35"/>
        </w:rPr>
        <w:t>Under the IBCA, a director may apply for court-ordered indemnification or advancement of expenses, and the court must order such indemnification or advancement if it is mandatory under the IBCA or if it determines that doing so is fair and reasonable.</w:t>
      </w:r>
    </w:p>
    <w:p>
      <w:pPr>
        <w:spacing w:after="0" w:line="150" w:lineRule="exact"/>
        <w:rPr>
          <w:sz w:val="20"/>
          <w:szCs w:val="20"/>
          <w:color w:val="auto"/>
        </w:rPr>
      </w:pPr>
    </w:p>
    <w:p>
      <w:pPr>
        <w:ind w:left="2660" w:right="100"/>
        <w:spacing w:after="0" w:line="249" w:lineRule="auto"/>
        <w:rPr>
          <w:sz w:val="20"/>
          <w:szCs w:val="20"/>
          <w:color w:val="auto"/>
        </w:rPr>
      </w:pPr>
      <w:r>
        <w:rPr>
          <w:rFonts w:ascii="Arial" w:cs="Arial" w:eastAsia="Arial" w:hAnsi="Arial"/>
          <w:sz w:val="14"/>
          <w:szCs w:val="14"/>
          <w:color w:val="0E2A35"/>
        </w:rPr>
        <w:t>The Iowa Articles require the Iowa Company to indemnify and protect any director of the corporation to the fullest extent permitted by the laws of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467360</wp:posOffset>
            </wp:positionV>
            <wp:extent cx="58978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360"/>
        <w:spacing w:after="0" w:line="245" w:lineRule="auto"/>
        <w:rPr>
          <w:sz w:val="20"/>
          <w:szCs w:val="20"/>
          <w:color w:val="auto"/>
        </w:rPr>
      </w:pPr>
      <w:r>
        <w:rPr>
          <w:rFonts w:ascii="Arial" w:cs="Arial" w:eastAsia="Arial" w:hAnsi="Arial"/>
          <w:sz w:val="14"/>
          <w:szCs w:val="14"/>
          <w:color w:val="0E2A35"/>
        </w:rPr>
        <w:t>settlements, and reasonable expenses, including attorneys' fees and disbursements, incurred by the person in connection with the proceeding, if, with respect to the acts or omissions of the person complained of in the proceeding, the person:</w:t>
      </w:r>
    </w:p>
    <w:p>
      <w:pPr>
        <w:spacing w:after="0" w:line="150" w:lineRule="exact"/>
        <w:rPr>
          <w:sz w:val="20"/>
          <w:szCs w:val="20"/>
          <w:color w:val="auto"/>
        </w:rPr>
      </w:pPr>
    </w:p>
    <w:p>
      <w:pPr>
        <w:ind w:right="1040" w:firstLine="9"/>
        <w:spacing w:after="0" w:line="247" w:lineRule="auto"/>
        <w:tabs>
          <w:tab w:leader="none" w:pos="216"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has not been indemnified by another organization or employee benefit plan for the same costs incurred by the person in connection with the proceeding with respect to the same acts or omissions;</w:t>
      </w:r>
    </w:p>
    <w:p>
      <w:pPr>
        <w:spacing w:after="0" w:line="147" w:lineRule="exact"/>
        <w:rPr>
          <w:rFonts w:ascii="Arial" w:cs="Arial" w:eastAsia="Arial" w:hAnsi="Arial"/>
          <w:sz w:val="14"/>
          <w:szCs w:val="14"/>
          <w:color w:val="0E2A35"/>
        </w:rPr>
      </w:pPr>
    </w:p>
    <w:p>
      <w:pPr>
        <w:ind w:left="220" w:hanging="211"/>
        <w:spacing w:after="0"/>
        <w:tabs>
          <w:tab w:leader="none" w:pos="220"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acted in good faith;</w:t>
      </w:r>
    </w:p>
    <w:p>
      <w:pPr>
        <w:spacing w:after="0" w:line="163" w:lineRule="exact"/>
        <w:rPr>
          <w:rFonts w:ascii="Arial" w:cs="Arial" w:eastAsia="Arial" w:hAnsi="Arial"/>
          <w:sz w:val="14"/>
          <w:szCs w:val="14"/>
          <w:color w:val="0E2A35"/>
        </w:rPr>
      </w:pPr>
    </w:p>
    <w:p>
      <w:pPr>
        <w:ind w:right="1200" w:firstLine="9"/>
        <w:spacing w:after="0" w:line="249" w:lineRule="auto"/>
        <w:tabs>
          <w:tab w:leader="none" w:pos="208"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received no improper personal benefit and, if applicable, the interested director transaction statute, summarized above, has been satisfied;</w:t>
      </w:r>
    </w:p>
    <w:p>
      <w:pPr>
        <w:spacing w:after="0" w:line="146" w:lineRule="exact"/>
        <w:rPr>
          <w:rFonts w:ascii="Arial" w:cs="Arial" w:eastAsia="Arial" w:hAnsi="Arial"/>
          <w:sz w:val="14"/>
          <w:szCs w:val="14"/>
          <w:color w:val="0E2A35"/>
        </w:rPr>
      </w:pPr>
    </w:p>
    <w:p>
      <w:pPr>
        <w:ind w:right="1100" w:firstLine="9"/>
        <w:spacing w:after="0" w:line="249" w:lineRule="auto"/>
        <w:tabs>
          <w:tab w:leader="none" w:pos="216"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in the case of a criminal proceeding, had no reasonable cause to believe the conduct was unlawful; and</w:t>
      </w:r>
    </w:p>
    <w:p>
      <w:pPr>
        <w:spacing w:after="0" w:line="146" w:lineRule="exact"/>
        <w:rPr>
          <w:rFonts w:ascii="Arial" w:cs="Arial" w:eastAsia="Arial" w:hAnsi="Arial"/>
          <w:sz w:val="14"/>
          <w:szCs w:val="14"/>
          <w:color w:val="0E2A35"/>
        </w:rPr>
      </w:pPr>
    </w:p>
    <w:p>
      <w:pPr>
        <w:ind w:right="1040" w:firstLine="9"/>
        <w:spacing w:after="0" w:line="249" w:lineRule="auto"/>
        <w:tabs>
          <w:tab w:leader="none" w:pos="216" w:val="left"/>
        </w:tabs>
        <w:numPr>
          <w:ilvl w:val="0"/>
          <w:numId w:val="66"/>
        </w:numPr>
        <w:rPr>
          <w:rFonts w:ascii="Arial" w:cs="Arial" w:eastAsia="Arial" w:hAnsi="Arial"/>
          <w:sz w:val="14"/>
          <w:szCs w:val="14"/>
          <w:color w:val="0E2A35"/>
        </w:rPr>
      </w:pPr>
      <w:r>
        <w:rPr>
          <w:rFonts w:ascii="Arial" w:cs="Arial" w:eastAsia="Arial" w:hAnsi="Arial"/>
          <w:sz w:val="14"/>
          <w:szCs w:val="14"/>
          <w:color w:val="0E2A35"/>
        </w:rPr>
        <w:t>reasonably believed that the conduct was in or (in certain cases) at least not opposed to the best interests of the corporation.</w:t>
      </w:r>
    </w:p>
    <w:p>
      <w:pPr>
        <w:spacing w:after="0" w:line="147" w:lineRule="exact"/>
        <w:rPr>
          <w:sz w:val="20"/>
          <w:szCs w:val="20"/>
          <w:color w:val="auto"/>
        </w:rPr>
      </w:pPr>
    </w:p>
    <w:p>
      <w:pPr>
        <w:ind w:right="1020"/>
        <w:spacing w:after="0" w:line="247" w:lineRule="auto"/>
        <w:rPr>
          <w:sz w:val="20"/>
          <w:szCs w:val="20"/>
          <w:color w:val="auto"/>
        </w:rPr>
      </w:pPr>
      <w:r>
        <w:rPr>
          <w:rFonts w:ascii="Arial" w:cs="Arial" w:eastAsia="Arial" w:hAnsi="Arial"/>
          <w:sz w:val="14"/>
          <w:szCs w:val="14"/>
          <w:color w:val="0E2A35"/>
        </w:rPr>
        <w:t>The termination of a proceeding by judgment, order, settlement, conviction, or upon a plea of nolo contendere or its equivalent does not, of itself, establish that the person did not meet the criteria set forth above.</w:t>
      </w:r>
    </w:p>
    <w:p>
      <w:pPr>
        <w:spacing w:after="0" w:line="147" w:lineRule="exact"/>
        <w:rPr>
          <w:sz w:val="20"/>
          <w:szCs w:val="20"/>
          <w:color w:val="auto"/>
        </w:rPr>
      </w:pPr>
    </w:p>
    <w:p>
      <w:pPr>
        <w:ind w:right="980"/>
        <w:spacing w:after="0" w:line="242" w:lineRule="auto"/>
        <w:rPr>
          <w:sz w:val="20"/>
          <w:szCs w:val="20"/>
          <w:color w:val="auto"/>
        </w:rPr>
      </w:pPr>
      <w:r>
        <w:rPr>
          <w:rFonts w:ascii="Arial" w:cs="Arial" w:eastAsia="Arial" w:hAnsi="Arial"/>
          <w:sz w:val="14"/>
          <w:szCs w:val="14"/>
          <w:color w:val="0E2A35"/>
        </w:rPr>
        <w:t>Minnesota law provides that unless prohibited by the articles or bylaws, if a person is made or threatened to be made a party to a proceeding, the person is entitled, upon written request to the corporation, to payment or reimbursement by the corporation of reasonable expenses, including attorneys' fees and disbursements, incurred by the person in advance of the final disposition of the proceeding, (a) upon receipt by the corporation of a written affirmation by the person of a good faith belief that the criteria for indemnification set forth above has been satisfied and a written undertaking by the person to repay all amounts so paid or reimbursed by the corporation if it is ultimately determined that the criteria for indemnification have not been satisfied, and (b) after a determination that the facts then known to those making the determination would not preclude indemnification as described above.</w:t>
      </w:r>
    </w:p>
    <w:p>
      <w:pPr>
        <w:spacing w:after="0" w:line="156" w:lineRule="exact"/>
        <w:rPr>
          <w:sz w:val="20"/>
          <w:szCs w:val="20"/>
          <w:color w:val="auto"/>
        </w:rPr>
      </w:pPr>
    </w:p>
    <w:p>
      <w:pPr>
        <w:ind w:right="980"/>
        <w:spacing w:after="0" w:line="258" w:lineRule="auto"/>
        <w:rPr>
          <w:sz w:val="20"/>
          <w:szCs w:val="20"/>
          <w:color w:val="auto"/>
        </w:rPr>
      </w:pPr>
      <w:r>
        <w:rPr>
          <w:rFonts w:ascii="Arial" w:cs="Arial" w:eastAsia="Arial" w:hAnsi="Arial"/>
          <w:sz w:val="14"/>
          <w:szCs w:val="14"/>
          <w:color w:val="0E2A35"/>
        </w:rPr>
        <w:t>The proposed Minnesota Articles and Minnesota Bylaws do not vary from Minnesota law.</w:t>
      </w:r>
    </w:p>
    <w:p>
      <w:pPr>
        <w:spacing w:after="0" w:line="189" w:lineRule="exact"/>
        <w:rPr>
          <w:sz w:val="20"/>
          <w:szCs w:val="20"/>
          <w:color w:val="auto"/>
        </w:rPr>
      </w:pPr>
    </w:p>
    <w:p>
      <w:pPr>
        <w:sectPr>
          <w:pgSz w:w="11900" w:h="16838" w:orient="portrait"/>
          <w:cols w:equalWidth="0" w:num="2">
            <w:col w:w="6260" w:space="180"/>
            <w:col w:w="4580"/>
          </w:cols>
          <w:pgMar w:left="440" w:top="265" w:right="439" w:bottom="1440" w:gutter="0" w:footer="0" w:header="0"/>
          <w:type w:val="continuous"/>
        </w:sect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Elimination of</w:t>
      </w:r>
      <w:r>
        <w:rPr>
          <w:sz w:val="20"/>
          <w:szCs w:val="20"/>
          <w:color w:val="auto"/>
        </w:rPr>
        <w:tab/>
      </w:r>
      <w:r>
        <w:rPr>
          <w:rFonts w:ascii="Arial" w:cs="Arial" w:eastAsia="Arial" w:hAnsi="Arial"/>
          <w:sz w:val="14"/>
          <w:szCs w:val="14"/>
          <w:color w:val="0E2A35"/>
        </w:rPr>
        <w:t>The IBCA provides that a corporation’s articles of</w:t>
      </w:r>
    </w:p>
    <w:p>
      <w:pPr>
        <w:spacing w:after="0" w:line="19"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Director Personal</w:t>
      </w:r>
      <w:r>
        <w:rPr>
          <w:sz w:val="20"/>
          <w:szCs w:val="20"/>
          <w:color w:val="auto"/>
        </w:rPr>
        <w:tab/>
      </w:r>
      <w:r>
        <w:rPr>
          <w:rFonts w:ascii="Arial" w:cs="Arial" w:eastAsia="Arial" w:hAnsi="Arial"/>
          <w:sz w:val="14"/>
          <w:szCs w:val="14"/>
          <w:color w:val="0E2A35"/>
        </w:rPr>
        <w:t>incorporation may include a provision eliminating or</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Liability for Monetary</w:t>
      </w:r>
      <w:r>
        <w:rPr>
          <w:sz w:val="20"/>
          <w:szCs w:val="20"/>
          <w:color w:val="auto"/>
        </w:rPr>
        <w:tab/>
      </w:r>
      <w:r>
        <w:rPr>
          <w:rFonts w:ascii="Arial" w:cs="Arial" w:eastAsia="Arial" w:hAnsi="Arial"/>
          <w:sz w:val="14"/>
          <w:szCs w:val="14"/>
          <w:color w:val="0E2A35"/>
        </w:rPr>
        <w:t>limiting a director’s liability to the corporation or its</w:t>
      </w:r>
    </w:p>
    <w:p>
      <w:pPr>
        <w:spacing w:after="0" w:line="1"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4"/>
          <w:szCs w:val="14"/>
          <w:b w:val="1"/>
          <w:bCs w:val="1"/>
          <w:color w:val="0E2A35"/>
        </w:rPr>
        <w:t>Damages</w:t>
      </w:r>
      <w:r>
        <w:rPr>
          <w:sz w:val="20"/>
          <w:szCs w:val="20"/>
          <w:color w:val="auto"/>
        </w:rPr>
        <w:tab/>
      </w:r>
      <w:r>
        <w:rPr>
          <w:rFonts w:ascii="Arial" w:cs="Arial" w:eastAsia="Arial" w:hAnsi="Arial"/>
          <w:sz w:val="14"/>
          <w:szCs w:val="14"/>
          <w:color w:val="0E2A35"/>
        </w:rPr>
        <w:t>shareholders for money damages for any action taken,</w:t>
      </w:r>
    </w:p>
    <w:p>
      <w:pPr>
        <w:spacing w:after="0" w:line="1" w:lineRule="exact"/>
        <w:rPr>
          <w:sz w:val="20"/>
          <w:szCs w:val="20"/>
          <w:color w:val="auto"/>
        </w:rPr>
      </w:pPr>
    </w:p>
    <w:p>
      <w:pPr>
        <w:ind w:left="2660"/>
        <w:spacing w:after="0" w:line="245" w:lineRule="auto"/>
        <w:rPr>
          <w:sz w:val="20"/>
          <w:szCs w:val="20"/>
          <w:color w:val="auto"/>
        </w:rPr>
      </w:pPr>
      <w:r>
        <w:rPr>
          <w:rFonts w:ascii="Arial" w:cs="Arial" w:eastAsia="Arial" w:hAnsi="Arial"/>
          <w:sz w:val="14"/>
          <w:szCs w:val="14"/>
          <w:color w:val="0E2A35"/>
        </w:rPr>
        <w:t>or any failure to take any action, as a director. A corporation’s articles, however, may not limit or eliminate a director’s personal liability for (a) the amount of a financial benefit received by a director to which he or she is not entitled,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24130</wp:posOffset>
            </wp:positionV>
            <wp:extent cx="58978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40"/>
        <w:spacing w:after="0" w:line="243" w:lineRule="auto"/>
        <w:rPr>
          <w:sz w:val="20"/>
          <w:szCs w:val="20"/>
          <w:color w:val="auto"/>
        </w:rPr>
      </w:pPr>
      <w:r>
        <w:rPr>
          <w:rFonts w:ascii="Arial" w:cs="Arial" w:eastAsia="Arial" w:hAnsi="Arial"/>
          <w:sz w:val="14"/>
          <w:szCs w:val="14"/>
          <w:color w:val="0E2A35"/>
        </w:rPr>
        <w:t>Substantially similar. The MBCA provides that a director's personal liability to the corporation or its shareholders for monetary damages for breach of fiduciary duty as a director may be eliminated or limited in the articles of incorporation. The articles may not eliminate or limit the liability of a director (a) for any breach of the director's duty of loyalty to the corporation or its shareholders, (b) for acts or omissions not in</w:t>
      </w:r>
    </w:p>
    <w:p>
      <w:pPr>
        <w:spacing w:after="0" w:line="365" w:lineRule="exact"/>
        <w:rPr>
          <w:sz w:val="20"/>
          <w:szCs w:val="20"/>
          <w:color w:val="auto"/>
        </w:rPr>
      </w:pPr>
    </w:p>
    <w:p>
      <w:pPr>
        <w:sectPr>
          <w:pgSz w:w="11900" w:h="16838" w:orient="portrait"/>
          <w:cols w:equalWidth="0" w:num="2">
            <w:col w:w="6240" w:space="200"/>
            <w:col w:w="4580"/>
          </w:cols>
          <w:pgMar w:left="440" w:top="265" w:right="439" w:bottom="1440" w:gutter="0" w:footer="0" w:header="0"/>
          <w:type w:val="continuous"/>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78</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3" w:name="page84"/>
    <w:bookmarkEnd w:id="8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222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11" w:lineRule="exact"/>
        <w:rPr>
          <w:sz w:val="20"/>
          <w:szCs w:val="20"/>
          <w:color w:val="auto"/>
        </w:rPr>
      </w:pPr>
    </w:p>
    <w:p>
      <w:pPr>
        <w:ind w:left="1000"/>
        <w:spacing w:after="0"/>
        <w:tabs>
          <w:tab w:leader="none" w:pos="3680" w:val="left"/>
          <w:tab w:leader="none" w:pos="6700" w:val="left"/>
        </w:tabs>
        <w:rPr>
          <w:sz w:val="20"/>
          <w:szCs w:val="20"/>
          <w:color w:val="auto"/>
        </w:rPr>
      </w:pPr>
      <w:r>
        <w:rPr>
          <w:rFonts w:ascii="Arial" w:cs="Arial" w:eastAsia="Arial" w:hAnsi="Arial"/>
          <w:sz w:val="13"/>
          <w:szCs w:val="13"/>
          <w:b w:val="1"/>
          <w:bCs w:val="1"/>
          <w:color w:val="FFFFFF"/>
        </w:rPr>
        <w:t>Provision</w:t>
      </w:r>
      <w:r>
        <w:rPr>
          <w:sz w:val="20"/>
          <w:szCs w:val="20"/>
          <w:color w:val="auto"/>
        </w:rPr>
        <w:tab/>
      </w:r>
      <w:r>
        <w:rPr>
          <w:rFonts w:ascii="Arial" w:cs="Arial" w:eastAsia="Arial" w:hAnsi="Arial"/>
          <w:sz w:val="13"/>
          <w:szCs w:val="13"/>
          <w:b w:val="1"/>
          <w:bCs w:val="1"/>
          <w:color w:val="FFFFFF"/>
        </w:rPr>
        <w:t>Current Provisions (Iowa)</w:t>
      </w:r>
      <w:r>
        <w:rPr>
          <w:sz w:val="20"/>
          <w:szCs w:val="20"/>
          <w:color w:val="auto"/>
        </w:rPr>
        <w:tab/>
      </w:r>
      <w:r>
        <w:rPr>
          <w:rFonts w:ascii="Arial" w:cs="Arial" w:eastAsia="Arial" w:hAnsi="Arial"/>
          <w:sz w:val="12"/>
          <w:szCs w:val="12"/>
          <w:b w:val="1"/>
          <w:bCs w:val="1"/>
          <w:color w:val="FFFFFF"/>
        </w:rPr>
        <w:t>Proposed Change for Reincorporation (Minnesota)</w:t>
      </w:r>
    </w:p>
    <w:p>
      <w:pPr>
        <w:sectPr>
          <w:pgSz w:w="11900" w:h="16838" w:orient="portrait"/>
          <w:cols w:equalWidth="0" w:num="1">
            <w:col w:w="11020"/>
          </w:cols>
          <w:pgMar w:left="440" w:top="265" w:right="439" w:bottom="1440" w:gutter="0" w:footer="0" w:header="0"/>
        </w:sectPr>
      </w:pPr>
    </w:p>
    <w:p>
      <w:pPr>
        <w:spacing w:after="0" w:line="228" w:lineRule="exact"/>
        <w:rPr>
          <w:sz w:val="20"/>
          <w:szCs w:val="20"/>
          <w:color w:val="auto"/>
        </w:rPr>
      </w:pPr>
    </w:p>
    <w:p>
      <w:pPr>
        <w:ind w:left="2660"/>
        <w:spacing w:after="0" w:line="247" w:lineRule="auto"/>
        <w:rPr>
          <w:sz w:val="20"/>
          <w:szCs w:val="20"/>
          <w:color w:val="auto"/>
        </w:rPr>
      </w:pPr>
      <w:r>
        <w:rPr>
          <w:rFonts w:ascii="Arial" w:cs="Arial" w:eastAsia="Arial" w:hAnsi="Arial"/>
          <w:sz w:val="14"/>
          <w:szCs w:val="14"/>
          <w:color w:val="0E2A35"/>
        </w:rPr>
        <w:t>an intentional infliction of harm on the corporation or the shareholders, (c) a declaration of unlawful dividends or distributions to shareholders, or (d) an intentional criminal act.</w:t>
      </w:r>
    </w:p>
    <w:p>
      <w:pPr>
        <w:spacing w:after="0" w:line="147" w:lineRule="exact"/>
        <w:rPr>
          <w:sz w:val="20"/>
          <w:szCs w:val="20"/>
          <w:color w:val="auto"/>
        </w:rPr>
      </w:pPr>
    </w:p>
    <w:p>
      <w:pPr>
        <w:ind w:left="2660" w:right="160"/>
        <w:spacing w:after="0" w:line="247" w:lineRule="auto"/>
        <w:rPr>
          <w:sz w:val="20"/>
          <w:szCs w:val="20"/>
          <w:color w:val="auto"/>
        </w:rPr>
      </w:pPr>
      <w:r>
        <w:rPr>
          <w:rFonts w:ascii="Arial" w:cs="Arial" w:eastAsia="Arial" w:hAnsi="Arial"/>
          <w:sz w:val="14"/>
          <w:szCs w:val="14"/>
          <w:color w:val="0E2A35"/>
        </w:rPr>
        <w:t>The Iowa Articles provide that no director of the Company will be liable to the Company or its shareholders for monetary damages for a breach of a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433070</wp:posOffset>
            </wp:positionV>
            <wp:extent cx="58978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000"/>
        <w:spacing w:after="0" w:line="244" w:lineRule="auto"/>
        <w:rPr>
          <w:sz w:val="20"/>
          <w:szCs w:val="20"/>
          <w:color w:val="auto"/>
        </w:rPr>
      </w:pPr>
      <w:r>
        <w:rPr>
          <w:rFonts w:ascii="Arial" w:cs="Arial" w:eastAsia="Arial" w:hAnsi="Arial"/>
          <w:sz w:val="14"/>
          <w:szCs w:val="14"/>
          <w:color w:val="0E2A35"/>
        </w:rPr>
        <w:t>good faith or that involve intentional misconduct or a knowing violation of law, (c) for illegal distributions or violations of Minnesota securities laws, (d) for any transaction from which the director derived an improper personal benefit, or (e) for any act or omission occurring prior to the date when the provision in the articles eliminating or limiting liability becomes effective.</w:t>
      </w:r>
    </w:p>
    <w:p>
      <w:pPr>
        <w:spacing w:after="0" w:line="150" w:lineRule="exact"/>
        <w:rPr>
          <w:sz w:val="20"/>
          <w:szCs w:val="20"/>
          <w:color w:val="auto"/>
        </w:rPr>
      </w:pPr>
    </w:p>
    <w:p>
      <w:pPr>
        <w:ind w:right="1020"/>
        <w:spacing w:after="0" w:line="245" w:lineRule="auto"/>
        <w:rPr>
          <w:sz w:val="20"/>
          <w:szCs w:val="20"/>
          <w:color w:val="auto"/>
        </w:rPr>
      </w:pPr>
      <w:r>
        <w:rPr>
          <w:rFonts w:ascii="Arial" w:cs="Arial" w:eastAsia="Arial" w:hAnsi="Arial"/>
          <w:sz w:val="14"/>
          <w:szCs w:val="14"/>
          <w:color w:val="0E2A35"/>
        </w:rPr>
        <w:t>The proposed Minnesota Articles provide that no director of the Minnesota Company will be personally liable to the Company or its shareholders for monetary damages for breach of fiduciary duty as a director to the fullest extent permitted by Minnesota law.</w:t>
      </w:r>
    </w:p>
    <w:p>
      <w:pPr>
        <w:spacing w:after="0" w:line="200" w:lineRule="exact"/>
        <w:rPr>
          <w:sz w:val="20"/>
          <w:szCs w:val="20"/>
          <w:color w:val="auto"/>
        </w:rPr>
      </w:pPr>
    </w:p>
    <w:p>
      <w:pPr>
        <w:sectPr>
          <w:pgSz w:w="11900" w:h="16838" w:orient="portrait"/>
          <w:cols w:equalWidth="0" w:num="2">
            <w:col w:w="6220" w:space="220"/>
            <w:col w:w="4580"/>
          </w:cols>
          <w:pgMar w:left="440" w:top="265" w:right="439" w:bottom="1440" w:gutter="0" w:footer="0" w:header="0"/>
          <w:type w:val="continuous"/>
        </w:sectPr>
      </w:pPr>
    </w:p>
    <w:p>
      <w:pPr>
        <w:spacing w:after="0" w:line="22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Certain Federal Income Tax Consequences of Reincorporation</w:t>
      </w:r>
    </w:p>
    <w:p>
      <w:pPr>
        <w:spacing w:after="0" w:line="200" w:lineRule="exact"/>
        <w:rPr>
          <w:sz w:val="20"/>
          <w:szCs w:val="20"/>
          <w:color w:val="auto"/>
        </w:rPr>
      </w:pPr>
    </w:p>
    <w:p>
      <w:pPr>
        <w:ind w:left="860" w:right="900"/>
        <w:spacing w:after="0" w:line="249" w:lineRule="auto"/>
        <w:rPr>
          <w:sz w:val="20"/>
          <w:szCs w:val="20"/>
          <w:color w:val="auto"/>
        </w:rPr>
      </w:pPr>
      <w:r>
        <w:rPr>
          <w:rFonts w:ascii="Arial" w:cs="Arial" w:eastAsia="Arial" w:hAnsi="Arial"/>
          <w:sz w:val="16"/>
          <w:szCs w:val="16"/>
          <w:color w:val="0E2A35"/>
        </w:rPr>
        <w:t>The following discussion of the material U.S. federal income tax consequences to our shareholders of the Reincorporation is based upon the Code, Treasury regulations promulgated thereunder, Internal Revenue Service (IRS) rulings and pronouncements, and judicial decisions, all as in effect as of the date of this proxy statement, and all of which are subject to change, possibly with retroactive effect. Any such change could alter the tax consequences described in this proxy statement. We have not sought and will not seek an opinion of counsel or a ruling from the IRS regarding the federal income tax consequences of the Reincorporation.</w:t>
      </w:r>
    </w:p>
    <w:p>
      <w:pPr>
        <w:spacing w:after="0" w:line="369" w:lineRule="exact"/>
        <w:rPr>
          <w:sz w:val="20"/>
          <w:szCs w:val="20"/>
          <w:color w:val="auto"/>
        </w:rPr>
      </w:pPr>
    </w:p>
    <w:p>
      <w:pPr>
        <w:ind w:left="860" w:right="940"/>
        <w:spacing w:after="0" w:line="246" w:lineRule="auto"/>
        <w:rPr>
          <w:sz w:val="20"/>
          <w:szCs w:val="20"/>
          <w:color w:val="auto"/>
        </w:rPr>
      </w:pPr>
      <w:r>
        <w:rPr>
          <w:rFonts w:ascii="Arial" w:cs="Arial" w:eastAsia="Arial" w:hAnsi="Arial"/>
          <w:sz w:val="16"/>
          <w:szCs w:val="16"/>
          <w:color w:val="0E2A35"/>
        </w:rPr>
        <w:t>This discussion is for general information purposes only to shareholders who hold their shares as capital assets. This discussion does not address every aspect of U.S. federal income taxation that may be relevant to a particular Company shareholder in light of the shareholder’s particular circumstances or to persons who are otherwise subject to special tax treatment, including, without limitation: (i) a partnership, subchapter S corporation or other pass-through entity; (ii) dealers in securities; (iii) banks or other financial institutions; (iv) insurance companies; (v) mutual funds; (vi) tax exempt organizations or pension funds; (vii) a foreign person, foreign entity or U.S. expatriate; (viii) persons who may be subject to the alternative minimum tax provisions of the Code;</w:t>
      </w:r>
    </w:p>
    <w:p>
      <w:pPr>
        <w:spacing w:after="0" w:line="2" w:lineRule="exact"/>
        <w:rPr>
          <w:sz w:val="20"/>
          <w:szCs w:val="20"/>
          <w:color w:val="auto"/>
        </w:rPr>
      </w:pPr>
    </w:p>
    <w:p>
      <w:pPr>
        <w:ind w:left="860" w:right="880"/>
        <w:spacing w:after="0" w:line="249" w:lineRule="auto"/>
        <w:tabs>
          <w:tab w:leader="none" w:pos="1130" w:val="left"/>
        </w:tabs>
        <w:numPr>
          <w:ilvl w:val="0"/>
          <w:numId w:val="67"/>
        </w:numPr>
        <w:rPr>
          <w:rFonts w:ascii="Arial" w:cs="Arial" w:eastAsia="Arial" w:hAnsi="Arial"/>
          <w:sz w:val="16"/>
          <w:szCs w:val="16"/>
          <w:color w:val="0E2A35"/>
        </w:rPr>
      </w:pPr>
      <w:r>
        <w:rPr>
          <w:rFonts w:ascii="Arial" w:cs="Arial" w:eastAsia="Arial" w:hAnsi="Arial"/>
          <w:sz w:val="16"/>
          <w:szCs w:val="16"/>
          <w:color w:val="0E2A35"/>
        </w:rPr>
        <w:t>a shareholder whose functional currency is not the U.S. dollar; (x) persons who acquired their common stock in connection with stock option or stock purchase plans or in other compensatory transactions; or (xi) persons who hold their common stock as part of a hedging, straddle, conversion or other risk reduction transaction. This discussion does not address the tax consequences to any holders of our options, warrants or convertible debt. The state and local tax consequences of the Reincorporation may vary significantly as to each shareholder, depending upon the jurisdiction in which such shareholder resides. You are urged to consult your own tax advisors to determine the particular consequences to you.</w:t>
      </w:r>
    </w:p>
    <w:p>
      <w:pPr>
        <w:spacing w:after="0" w:line="164" w:lineRule="exact"/>
        <w:rPr>
          <w:sz w:val="20"/>
          <w:szCs w:val="20"/>
          <w:color w:val="auto"/>
        </w:rPr>
      </w:pPr>
    </w:p>
    <w:p>
      <w:pPr>
        <w:ind w:left="860" w:right="900"/>
        <w:spacing w:after="0" w:line="248" w:lineRule="auto"/>
        <w:rPr>
          <w:sz w:val="20"/>
          <w:szCs w:val="20"/>
          <w:color w:val="auto"/>
        </w:rPr>
      </w:pPr>
      <w:r>
        <w:rPr>
          <w:rFonts w:ascii="Arial" w:cs="Arial" w:eastAsia="Arial" w:hAnsi="Arial"/>
          <w:sz w:val="16"/>
          <w:szCs w:val="16"/>
          <w:color w:val="0E2A35"/>
        </w:rPr>
        <w:t>We believe that the domestication and conversion of the Company into the Minnesota Company, which will result in the Reincorporation, will qualify as a reorganization, under section 368(a)(1)(F) of the Code. As a result, the material federal income tax consequences of the Reincorporation, would be as follows: (i) we and the Minnesota Company will not recognize any gain or loss as a result of the Reincorporation; (ii) no gain or loss will be recognized by holders of common stock on the conversion of the common stock in the Company into the common stock of the Minnesota Company; (iii) the aggregate adjusted tax basis of the common stock of the Minnesota Company received by a shareholder in connection with the Reincorporation will be the same as the aggregate adjusted tax basis of the common stock converted in connection with the Reincorporation; and (iv) the holding period, for U.S. federal income tax purposes, for the Minnesota Company common stock received in connection with the Reincorporation by a shareholder will include the period during which the holder held the converted common stock.</w:t>
      </w:r>
    </w:p>
    <w:p>
      <w:pPr>
        <w:spacing w:after="0" w:line="165" w:lineRule="exact"/>
        <w:rPr>
          <w:sz w:val="20"/>
          <w:szCs w:val="20"/>
          <w:color w:val="auto"/>
        </w:rPr>
      </w:pPr>
    </w:p>
    <w:p>
      <w:pPr>
        <w:ind w:left="860" w:right="1060"/>
        <w:spacing w:after="0" w:line="250" w:lineRule="auto"/>
        <w:rPr>
          <w:sz w:val="20"/>
          <w:szCs w:val="20"/>
          <w:color w:val="auto"/>
        </w:rPr>
      </w:pPr>
      <w:r>
        <w:rPr>
          <w:rFonts w:ascii="Arial" w:cs="Arial" w:eastAsia="Arial" w:hAnsi="Arial"/>
          <w:sz w:val="16"/>
          <w:szCs w:val="16"/>
          <w:color w:val="0E2A35"/>
        </w:rPr>
        <w:t>If the Reincorporation fails to qualify for tax-free treatment, either under section 368(a)(1)(F) or any other provision of the Code, then shareholders may recognize gain or loss for U.S. federal income tax purposes equal to the difference between the fair market value of the shares of stock received in connection with the Reincorporation and the shareholders’ adjusted tax basis in the shares stock converted in connection with the Reincorporation. Further, we would recognize taxable gain as if we sold all of our assets, subject to our liabilities, at fair market value.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79</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6"/>
          <w:szCs w:val="16"/>
          <w:color w:val="0E2A35"/>
        </w:rPr>
        <w:t>Each shareholder who qualifies as a “significant holder” that receives stock in connection with the Reincorporation will be required to file a statement with his, her or its federal income tax return setting forth his, her or its tax basis in the stock surrendered and the fair market value of the stock of the Minnesota Company, if any, received in the Reincorporation, and to retain permanent records of these facts relating to the Reincorporation. A “significant holder” is a Company shareholder who, immediately before the Reincorporation owned at least five percent (by vote or value) of our outstanding stock or owned our securities with an adjusted tax basis of $1,000,000 or more.</w:t>
      </w:r>
    </w:p>
    <w:p>
      <w:pPr>
        <w:spacing w:after="0" w:line="158" w:lineRule="exact"/>
        <w:rPr>
          <w:sz w:val="20"/>
          <w:szCs w:val="20"/>
          <w:color w:val="auto"/>
        </w:rPr>
      </w:pPr>
    </w:p>
    <w:p>
      <w:pPr>
        <w:ind w:right="920"/>
        <w:spacing w:after="0" w:line="263" w:lineRule="auto"/>
        <w:rPr>
          <w:sz w:val="20"/>
          <w:szCs w:val="20"/>
          <w:color w:val="auto"/>
        </w:rPr>
      </w:pPr>
      <w:r>
        <w:rPr>
          <w:rFonts w:ascii="Arial" w:cs="Arial" w:eastAsia="Arial" w:hAnsi="Arial"/>
          <w:sz w:val="16"/>
          <w:szCs w:val="16"/>
          <w:b w:val="1"/>
          <w:bCs w:val="1"/>
          <w:color w:val="0E2A35"/>
        </w:rPr>
        <w:t>Our shareholders are urged to consult their own tax advisors regarding the tax consequences to them of the Reincorporation, including the applicable federal, state, local and foreign tax consequences.</w:t>
      </w:r>
    </w:p>
    <w:p>
      <w:pPr>
        <w:jc w:val="center"/>
        <w:ind w:right="-19"/>
        <w:spacing w:after="0" w:line="475" w:lineRule="exact"/>
        <w:tabs>
          <w:tab w:leader="none" w:pos="180" w:val="left"/>
          <w:tab w:leader="none" w:pos="240" w:val="left"/>
        </w:tabs>
        <w:rPr>
          <w:sz w:val="20"/>
          <w:szCs w:val="20"/>
          <w:color w:val="auto"/>
        </w:rPr>
      </w:pPr>
      <w:r>
        <w:rPr>
          <w:rFonts w:ascii="MS PGothic" w:cs="MS PGothic" w:eastAsia="MS PGothic" w:hAnsi="MS PGothic"/>
          <w:sz w:val="55"/>
          <w:szCs w:val="55"/>
          <w:color w:val="FFFFFF"/>
          <w:vertAlign w:val="subscript"/>
        </w:rPr>
        <w:t>✔</w:t>
      </w:r>
      <w:r>
        <w:rPr>
          <w:sz w:val="20"/>
          <w:szCs w:val="20"/>
          <w:color w:val="auto"/>
        </w:rPr>
        <w:tab/>
      </w:r>
      <w:r>
        <w:rPr>
          <w:rFonts w:ascii="Arial" w:cs="Arial" w:eastAsia="Arial" w:hAnsi="Arial"/>
          <w:sz w:val="20"/>
          <w:szCs w:val="20"/>
          <w:b w:val="1"/>
          <w:bCs w:val="1"/>
          <w:color w:val="FFFFFF"/>
        </w:rPr>
        <w:t>YOUR BOARD OF DIRECTORS UNANIMOUSLY RECOMMENDS THAT</w:t>
        <w:tab/>
        <w:t>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-262255</wp:posOffset>
            </wp:positionV>
            <wp:extent cx="5074920" cy="6000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74920" cy="600075"/>
                    </a:xfrm>
                    <a:prstGeom prst="rect">
                      <a:avLst/>
                    </a:prstGeom>
                    <a:noFill/>
                  </pic:spPr>
                </pic:pic>
              </a:graphicData>
            </a:graphic>
          </wp:anchor>
        </w:drawing>
      </w:r>
    </w:p>
    <w:p>
      <w:pPr>
        <w:ind w:left="1480" w:right="1540"/>
        <w:spacing w:after="0" w:line="236" w:lineRule="auto"/>
        <w:rPr>
          <w:sz w:val="20"/>
          <w:szCs w:val="20"/>
          <w:color w:val="auto"/>
        </w:rPr>
      </w:pPr>
      <w:r>
        <w:rPr>
          <w:rFonts w:ascii="Arial" w:cs="Arial" w:eastAsia="Arial" w:hAnsi="Arial"/>
          <w:sz w:val="20"/>
          <w:szCs w:val="20"/>
          <w:b w:val="1"/>
          <w:bCs w:val="1"/>
          <w:color w:val="FFFFFF"/>
        </w:rPr>
        <w:t>VOTE FOR THE PROPOSAL TO REINCORPORATE FROM IOWA TO MINNESOTA.</w:t>
      </w:r>
    </w:p>
    <w:p>
      <w:pPr>
        <w:spacing w:after="0" w:line="38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0E2A35"/>
        </w:rPr>
        <w:t>Proxy Statement for 2021 Annual Meeting</w:t>
      </w:r>
      <w:r>
        <w:rPr>
          <w:sz w:val="20"/>
          <w:szCs w:val="20"/>
          <w:color w:val="auto"/>
        </w:rPr>
        <w:tab/>
      </w:r>
      <w:r>
        <w:rPr>
          <w:rFonts w:ascii="Arial" w:cs="Arial" w:eastAsia="Arial" w:hAnsi="Arial"/>
          <w:sz w:val="12"/>
          <w:szCs w:val="12"/>
          <w:b w:val="1"/>
          <w:bCs w:val="1"/>
          <w:color w:val="0E2A35"/>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158750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5" w:name="page86"/>
    <w:bookmarkEnd w:id="8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right="1940"/>
        <w:spacing w:after="0" w:line="286" w:lineRule="auto"/>
        <w:rPr>
          <w:sz w:val="20"/>
          <w:szCs w:val="20"/>
          <w:color w:val="auto"/>
        </w:rPr>
      </w:pPr>
      <w:r>
        <w:rPr>
          <w:rFonts w:ascii="Arial" w:cs="Arial" w:eastAsia="Arial" w:hAnsi="Arial"/>
          <w:sz w:val="32"/>
          <w:szCs w:val="32"/>
          <w:b w:val="1"/>
          <w:bCs w:val="1"/>
          <w:color w:val="0E2A35"/>
        </w:rPr>
        <w:t>Security Ownership of Certain Beneficial Owners and Management</w:t>
      </w:r>
    </w:p>
    <w:p>
      <w:pPr>
        <w:spacing w:after="0" w:line="93" w:lineRule="exact"/>
        <w:rPr>
          <w:sz w:val="20"/>
          <w:szCs w:val="20"/>
          <w:color w:val="auto"/>
        </w:rPr>
      </w:pPr>
    </w:p>
    <w:p>
      <w:pPr>
        <w:ind w:left="860" w:right="1040"/>
        <w:spacing w:after="0" w:line="251" w:lineRule="auto"/>
        <w:rPr>
          <w:sz w:val="20"/>
          <w:szCs w:val="20"/>
          <w:color w:val="auto"/>
        </w:rPr>
      </w:pPr>
      <w:r>
        <w:rPr>
          <w:rFonts w:ascii="Arial" w:cs="Arial" w:eastAsia="Arial" w:hAnsi="Arial"/>
          <w:sz w:val="16"/>
          <w:szCs w:val="16"/>
          <w:color w:val="0E2A35"/>
        </w:rPr>
        <w:t>The following table contains information with respect to the ownership of common stock by each person known to us who is the beneficial owner of more than 5% of our outstanding common stock. This information is based on ownership reported as of October 19, 2021 according to SEC filings of the beneficial owners listed below unless more recent information was appropriate to be used.</w:t>
      </w:r>
    </w:p>
    <w:p>
      <w:pPr>
        <w:spacing w:after="0" w:line="52"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4380" w:type="dxa"/>
            <w:vAlign w:val="bottom"/>
            <w:shd w:val="clear" w:color="auto" w:fill="0E2A35"/>
          </w:tcPr>
          <w:p>
            <w:pPr>
              <w:spacing w:after="0"/>
              <w:rPr>
                <w:sz w:val="19"/>
                <w:szCs w:val="19"/>
                <w:color w:val="auto"/>
              </w:rPr>
            </w:pPr>
          </w:p>
        </w:tc>
        <w:tc>
          <w:tcPr>
            <w:tcW w:w="3760" w:type="dxa"/>
            <w:vAlign w:val="bottom"/>
            <w:shd w:val="clear" w:color="auto" w:fill="0E2A35"/>
          </w:tcPr>
          <w:p>
            <w:pPr>
              <w:jc w:val="center"/>
              <w:ind w:left="1654"/>
              <w:spacing w:after="0"/>
              <w:rPr>
                <w:sz w:val="20"/>
                <w:szCs w:val="20"/>
                <w:color w:val="auto"/>
              </w:rPr>
            </w:pPr>
            <w:r>
              <w:rPr>
                <w:rFonts w:ascii="Arial" w:cs="Arial" w:eastAsia="Arial" w:hAnsi="Arial"/>
                <w:sz w:val="13"/>
                <w:szCs w:val="13"/>
                <w:b w:val="1"/>
                <w:bCs w:val="1"/>
                <w:color w:val="FFFFFF"/>
                <w:w w:val="96"/>
              </w:rPr>
              <w:t>Amount and Nature</w:t>
            </w:r>
          </w:p>
        </w:tc>
        <w:tc>
          <w:tcPr>
            <w:tcW w:w="1140" w:type="dxa"/>
            <w:vAlign w:val="bottom"/>
            <w:shd w:val="clear" w:color="auto" w:fill="0E2A35"/>
          </w:tcPr>
          <w:p>
            <w:pPr>
              <w:jc w:val="center"/>
              <w:ind w:left="213"/>
              <w:spacing w:after="0"/>
              <w:rPr>
                <w:sz w:val="20"/>
                <w:szCs w:val="20"/>
                <w:color w:val="auto"/>
              </w:rPr>
            </w:pPr>
            <w:r>
              <w:rPr>
                <w:rFonts w:ascii="Arial" w:cs="Arial" w:eastAsia="Arial" w:hAnsi="Arial"/>
                <w:sz w:val="13"/>
                <w:szCs w:val="13"/>
                <w:b w:val="1"/>
                <w:bCs w:val="1"/>
                <w:color w:val="FFFFFF"/>
                <w:w w:val="94"/>
              </w:rPr>
              <w:t>% of</w:t>
            </w:r>
          </w:p>
        </w:tc>
      </w:tr>
      <w:tr>
        <w:trPr>
          <w:trHeight w:val="131"/>
        </w:trPr>
        <w:tc>
          <w:tcPr>
            <w:tcW w:w="4380" w:type="dxa"/>
            <w:vAlign w:val="bottom"/>
            <w:shd w:val="clear" w:color="auto" w:fill="0E2A35"/>
          </w:tcPr>
          <w:p>
            <w:pPr>
              <w:spacing w:after="0"/>
              <w:rPr>
                <w:sz w:val="11"/>
                <w:szCs w:val="11"/>
                <w:color w:val="auto"/>
              </w:rPr>
            </w:pPr>
          </w:p>
        </w:tc>
        <w:tc>
          <w:tcPr>
            <w:tcW w:w="3760" w:type="dxa"/>
            <w:vAlign w:val="bottom"/>
            <w:shd w:val="clear" w:color="auto" w:fill="0E2A35"/>
          </w:tcPr>
          <w:p>
            <w:pPr>
              <w:jc w:val="center"/>
              <w:ind w:left="1654"/>
              <w:spacing w:after="0" w:line="131" w:lineRule="exact"/>
              <w:rPr>
                <w:sz w:val="20"/>
                <w:szCs w:val="20"/>
                <w:color w:val="auto"/>
              </w:rPr>
            </w:pPr>
            <w:r>
              <w:rPr>
                <w:rFonts w:ascii="Arial" w:cs="Arial" w:eastAsia="Arial" w:hAnsi="Arial"/>
                <w:sz w:val="13"/>
                <w:szCs w:val="13"/>
                <w:b w:val="1"/>
                <w:bCs w:val="1"/>
                <w:color w:val="FFFFFF"/>
                <w:w w:val="98"/>
              </w:rPr>
              <w:t>of Beneficial</w:t>
            </w:r>
          </w:p>
        </w:tc>
        <w:tc>
          <w:tcPr>
            <w:tcW w:w="1140" w:type="dxa"/>
            <w:vAlign w:val="bottom"/>
            <w:shd w:val="clear" w:color="auto" w:fill="0E2A35"/>
          </w:tcPr>
          <w:p>
            <w:pPr>
              <w:jc w:val="center"/>
              <w:ind w:left="213"/>
              <w:spacing w:after="0" w:line="131" w:lineRule="exact"/>
              <w:rPr>
                <w:sz w:val="20"/>
                <w:szCs w:val="20"/>
                <w:color w:val="auto"/>
              </w:rPr>
            </w:pPr>
            <w:r>
              <w:rPr>
                <w:rFonts w:ascii="Arial" w:cs="Arial" w:eastAsia="Arial" w:hAnsi="Arial"/>
                <w:sz w:val="13"/>
                <w:szCs w:val="13"/>
                <w:b w:val="1"/>
                <w:bCs w:val="1"/>
                <w:color w:val="FFFFFF"/>
                <w:w w:val="95"/>
              </w:rPr>
              <w:t>Common</w:t>
            </w:r>
          </w:p>
        </w:tc>
      </w:tr>
      <w:tr>
        <w:trPr>
          <w:trHeight w:val="269"/>
        </w:trPr>
        <w:tc>
          <w:tcPr>
            <w:tcW w:w="4380" w:type="dxa"/>
            <w:vAlign w:val="bottom"/>
            <w:shd w:val="clear" w:color="auto" w:fill="0E2A35"/>
          </w:tcPr>
          <w:p>
            <w:pPr>
              <w:ind w:left="140"/>
              <w:spacing w:after="0"/>
              <w:rPr>
                <w:sz w:val="20"/>
                <w:szCs w:val="20"/>
                <w:color w:val="auto"/>
              </w:rPr>
            </w:pPr>
            <w:r>
              <w:rPr>
                <w:rFonts w:ascii="Arial" w:cs="Arial" w:eastAsia="Arial" w:hAnsi="Arial"/>
                <w:sz w:val="13"/>
                <w:szCs w:val="13"/>
                <w:b w:val="1"/>
                <w:bCs w:val="1"/>
                <w:color w:val="FFFFFF"/>
              </w:rPr>
              <w:t>Name and Address of Beneficial Owner</w:t>
            </w:r>
          </w:p>
        </w:tc>
        <w:tc>
          <w:tcPr>
            <w:tcW w:w="3760" w:type="dxa"/>
            <w:vAlign w:val="bottom"/>
            <w:shd w:val="clear" w:color="auto" w:fill="0E2A35"/>
          </w:tcPr>
          <w:p>
            <w:pPr>
              <w:jc w:val="center"/>
              <w:ind w:left="1694"/>
              <w:spacing w:after="0"/>
              <w:rPr>
                <w:sz w:val="20"/>
                <w:szCs w:val="20"/>
                <w:color w:val="auto"/>
              </w:rPr>
            </w:pPr>
            <w:r>
              <w:rPr>
                <w:rFonts w:ascii="Arial" w:cs="Arial" w:eastAsia="Arial" w:hAnsi="Arial"/>
                <w:sz w:val="13"/>
                <w:szCs w:val="13"/>
                <w:b w:val="1"/>
                <w:bCs w:val="1"/>
                <w:color w:val="FFFFFF"/>
                <w:w w:val="95"/>
              </w:rPr>
              <w:t>Ownership</w:t>
            </w:r>
          </w:p>
        </w:tc>
        <w:tc>
          <w:tcPr>
            <w:tcW w:w="1140" w:type="dxa"/>
            <w:vAlign w:val="bottom"/>
            <w:shd w:val="clear" w:color="auto" w:fill="0E2A35"/>
          </w:tcPr>
          <w:p>
            <w:pPr>
              <w:jc w:val="center"/>
              <w:ind w:left="233"/>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(1)</w:t>
            </w:r>
          </w:p>
        </w:tc>
      </w:tr>
      <w:tr>
        <w:trPr>
          <w:trHeight w:val="256"/>
        </w:trPr>
        <w:tc>
          <w:tcPr>
            <w:tcW w:w="4380" w:type="dxa"/>
            <w:vAlign w:val="bottom"/>
          </w:tcPr>
          <w:p>
            <w:pPr>
              <w:ind w:left="140"/>
              <w:spacing w:after="0"/>
              <w:rPr>
                <w:sz w:val="20"/>
                <w:szCs w:val="20"/>
                <w:color w:val="auto"/>
              </w:rPr>
            </w:pPr>
            <w:r>
              <w:rPr>
                <w:rFonts w:ascii="Arial" w:cs="Arial" w:eastAsia="Arial" w:hAnsi="Arial"/>
                <w:sz w:val="14"/>
                <w:szCs w:val="14"/>
                <w:color w:val="0E2A35"/>
              </w:rPr>
              <w:t>BlackRock, Inc.</w:t>
            </w:r>
          </w:p>
        </w:tc>
        <w:tc>
          <w:tcPr>
            <w:tcW w:w="3760" w:type="dxa"/>
            <w:vAlign w:val="bottom"/>
          </w:tcPr>
          <w:p>
            <w:pPr>
              <w:ind w:left="1900"/>
              <w:spacing w:after="0"/>
              <w:rPr>
                <w:sz w:val="20"/>
                <w:szCs w:val="20"/>
                <w:color w:val="auto"/>
              </w:rPr>
            </w:pPr>
            <w:r>
              <w:rPr>
                <w:rFonts w:ascii="Arial" w:cs="Arial" w:eastAsia="Arial" w:hAnsi="Arial"/>
                <w:sz w:val="14"/>
                <w:szCs w:val="14"/>
                <w:color w:val="0E2A35"/>
              </w:rPr>
              <w:t>5,340,939 shares of</w:t>
            </w:r>
          </w:p>
        </w:tc>
        <w:tc>
          <w:tcPr>
            <w:tcW w:w="1140" w:type="dxa"/>
            <w:vAlign w:val="bottom"/>
          </w:tcPr>
          <w:p>
            <w:pPr>
              <w:jc w:val="right"/>
              <w:ind w:right="33"/>
              <w:spacing w:after="0"/>
              <w:rPr>
                <w:sz w:val="20"/>
                <w:szCs w:val="20"/>
                <w:color w:val="auto"/>
              </w:rPr>
            </w:pPr>
            <w:r>
              <w:rPr>
                <w:rFonts w:ascii="Arial" w:cs="Arial" w:eastAsia="Arial" w:hAnsi="Arial"/>
                <w:sz w:val="14"/>
                <w:szCs w:val="14"/>
                <w:color w:val="0E2A35"/>
              </w:rPr>
              <w:t>15.96%</w:t>
            </w: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0E2A35"/>
              </w:rPr>
              <w:t>55 East 52nd Street</w:t>
            </w:r>
          </w:p>
        </w:tc>
        <w:tc>
          <w:tcPr>
            <w:tcW w:w="3760" w:type="dxa"/>
            <w:vAlign w:val="bottom"/>
          </w:tcPr>
          <w:p>
            <w:pPr>
              <w:ind w:left="1900"/>
              <w:spacing w:after="0" w:line="181" w:lineRule="exact"/>
              <w:rPr>
                <w:sz w:val="20"/>
                <w:szCs w:val="20"/>
                <w:color w:val="auto"/>
              </w:rPr>
            </w:pPr>
            <w:r>
              <w:rPr>
                <w:rFonts w:ascii="Arial" w:cs="Arial" w:eastAsia="Arial" w:hAnsi="Arial"/>
                <w:sz w:val="13"/>
                <w:szCs w:val="13"/>
                <w:color w:val="0E2A35"/>
              </w:rPr>
              <w:t>common stock</w:t>
            </w:r>
            <w:r>
              <w:rPr>
                <w:rFonts w:ascii="Arial" w:cs="Arial" w:eastAsia="Arial" w:hAnsi="Arial"/>
                <w:sz w:val="20"/>
                <w:szCs w:val="20"/>
                <w:color w:val="0E2A35"/>
                <w:vertAlign w:val="superscript"/>
              </w:rPr>
              <w:t>(2)</w:t>
            </w:r>
          </w:p>
        </w:tc>
        <w:tc>
          <w:tcPr>
            <w:tcW w:w="1140" w:type="dxa"/>
            <w:vAlign w:val="bottom"/>
          </w:tcPr>
          <w:p>
            <w:pPr>
              <w:spacing w:after="0"/>
              <w:rPr>
                <w:sz w:val="15"/>
                <w:szCs w:val="15"/>
                <w:color w:val="auto"/>
              </w:rPr>
            </w:pPr>
          </w:p>
        </w:tc>
      </w:tr>
      <w:tr>
        <w:trPr>
          <w:trHeight w:val="172"/>
        </w:trPr>
        <w:tc>
          <w:tcPr>
            <w:tcW w:w="4380" w:type="dxa"/>
            <w:vAlign w:val="bottom"/>
          </w:tcPr>
          <w:p>
            <w:pPr>
              <w:ind w:left="140"/>
              <w:spacing w:after="0"/>
              <w:rPr>
                <w:sz w:val="20"/>
                <w:szCs w:val="20"/>
                <w:color w:val="auto"/>
              </w:rPr>
            </w:pPr>
            <w:r>
              <w:rPr>
                <w:rFonts w:ascii="Arial" w:cs="Arial" w:eastAsia="Arial" w:hAnsi="Arial"/>
                <w:sz w:val="14"/>
                <w:szCs w:val="14"/>
                <w:color w:val="0E2A35"/>
              </w:rPr>
              <w:t>New York, NY 10055</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93"/>
        </w:trPr>
        <w:tc>
          <w:tcPr>
            <w:tcW w:w="4380" w:type="dxa"/>
            <w:vAlign w:val="bottom"/>
            <w:tcBorders>
              <w:bottom w:val="single" w:sz="8" w:color="0E2A35"/>
            </w:tcBorders>
          </w:tcPr>
          <w:p>
            <w:pPr>
              <w:spacing w:after="0"/>
              <w:rPr>
                <w:sz w:val="8"/>
                <w:szCs w:val="8"/>
                <w:color w:val="auto"/>
              </w:rPr>
            </w:pPr>
          </w:p>
        </w:tc>
        <w:tc>
          <w:tcPr>
            <w:tcW w:w="37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r>
      <w:tr>
        <w:trPr>
          <w:trHeight w:val="250"/>
        </w:trPr>
        <w:tc>
          <w:tcPr>
            <w:tcW w:w="4380" w:type="dxa"/>
            <w:vAlign w:val="bottom"/>
          </w:tcPr>
          <w:p>
            <w:pPr>
              <w:ind w:left="140"/>
              <w:spacing w:after="0"/>
              <w:rPr>
                <w:sz w:val="20"/>
                <w:szCs w:val="20"/>
                <w:color w:val="auto"/>
              </w:rPr>
            </w:pPr>
            <w:r>
              <w:rPr>
                <w:rFonts w:ascii="Arial" w:cs="Arial" w:eastAsia="Arial" w:hAnsi="Arial"/>
                <w:sz w:val="14"/>
                <w:szCs w:val="14"/>
                <w:color w:val="0E2A35"/>
              </w:rPr>
              <w:t>The Vanguard Group</w:t>
            </w:r>
          </w:p>
        </w:tc>
        <w:tc>
          <w:tcPr>
            <w:tcW w:w="3760" w:type="dxa"/>
            <w:vAlign w:val="bottom"/>
          </w:tcPr>
          <w:p>
            <w:pPr>
              <w:ind w:left="1900"/>
              <w:spacing w:after="0"/>
              <w:rPr>
                <w:sz w:val="20"/>
                <w:szCs w:val="20"/>
                <w:color w:val="auto"/>
              </w:rPr>
            </w:pPr>
            <w:r>
              <w:rPr>
                <w:rFonts w:ascii="Arial" w:cs="Arial" w:eastAsia="Arial" w:hAnsi="Arial"/>
                <w:sz w:val="14"/>
                <w:szCs w:val="14"/>
                <w:color w:val="0E2A35"/>
              </w:rPr>
              <w:t>2,276,236 shares of</w:t>
            </w:r>
          </w:p>
        </w:tc>
        <w:tc>
          <w:tcPr>
            <w:tcW w:w="1140" w:type="dxa"/>
            <w:vAlign w:val="bottom"/>
          </w:tcPr>
          <w:p>
            <w:pPr>
              <w:jc w:val="right"/>
              <w:ind w:right="33"/>
              <w:spacing w:after="0"/>
              <w:rPr>
                <w:sz w:val="20"/>
                <w:szCs w:val="20"/>
                <w:color w:val="auto"/>
              </w:rPr>
            </w:pPr>
            <w:r>
              <w:rPr>
                <w:rFonts w:ascii="Arial" w:cs="Arial" w:eastAsia="Arial" w:hAnsi="Arial"/>
                <w:sz w:val="14"/>
                <w:szCs w:val="14"/>
                <w:color w:val="0E2A35"/>
              </w:rPr>
              <w:t>6.80%</w:t>
            </w:r>
          </w:p>
        </w:tc>
      </w:tr>
      <w:tr>
        <w:trPr>
          <w:trHeight w:val="181"/>
        </w:trPr>
        <w:tc>
          <w:tcPr>
            <w:tcW w:w="4380" w:type="dxa"/>
            <w:vAlign w:val="bottom"/>
          </w:tcPr>
          <w:p>
            <w:pPr>
              <w:ind w:left="140"/>
              <w:spacing w:after="0"/>
              <w:rPr>
                <w:sz w:val="20"/>
                <w:szCs w:val="20"/>
                <w:color w:val="auto"/>
              </w:rPr>
            </w:pPr>
            <w:r>
              <w:rPr>
                <w:rFonts w:ascii="Arial" w:cs="Arial" w:eastAsia="Arial" w:hAnsi="Arial"/>
                <w:sz w:val="14"/>
                <w:szCs w:val="14"/>
                <w:color w:val="0E2A35"/>
              </w:rPr>
              <w:t>100 Vanguard Blvd.</w:t>
            </w:r>
          </w:p>
        </w:tc>
        <w:tc>
          <w:tcPr>
            <w:tcW w:w="3760" w:type="dxa"/>
            <w:vAlign w:val="bottom"/>
          </w:tcPr>
          <w:p>
            <w:pPr>
              <w:ind w:left="1900"/>
              <w:spacing w:after="0" w:line="181" w:lineRule="exact"/>
              <w:rPr>
                <w:sz w:val="20"/>
                <w:szCs w:val="20"/>
                <w:color w:val="auto"/>
              </w:rPr>
            </w:pPr>
            <w:r>
              <w:rPr>
                <w:rFonts w:ascii="Arial" w:cs="Arial" w:eastAsia="Arial" w:hAnsi="Arial"/>
                <w:sz w:val="13"/>
                <w:szCs w:val="13"/>
                <w:color w:val="0E2A35"/>
              </w:rPr>
              <w:t>common stock</w:t>
            </w:r>
            <w:r>
              <w:rPr>
                <w:rFonts w:ascii="Arial" w:cs="Arial" w:eastAsia="Arial" w:hAnsi="Arial"/>
                <w:sz w:val="20"/>
                <w:szCs w:val="20"/>
                <w:color w:val="0E2A35"/>
                <w:vertAlign w:val="superscript"/>
              </w:rPr>
              <w:t>(3)</w:t>
            </w:r>
          </w:p>
        </w:tc>
        <w:tc>
          <w:tcPr>
            <w:tcW w:w="1140" w:type="dxa"/>
            <w:vAlign w:val="bottom"/>
          </w:tcPr>
          <w:p>
            <w:pPr>
              <w:spacing w:after="0"/>
              <w:rPr>
                <w:sz w:val="15"/>
                <w:szCs w:val="15"/>
                <w:color w:val="auto"/>
              </w:rPr>
            </w:pPr>
          </w:p>
        </w:tc>
      </w:tr>
      <w:tr>
        <w:trPr>
          <w:trHeight w:val="172"/>
        </w:trPr>
        <w:tc>
          <w:tcPr>
            <w:tcW w:w="4380" w:type="dxa"/>
            <w:vAlign w:val="bottom"/>
          </w:tcPr>
          <w:p>
            <w:pPr>
              <w:ind w:left="140"/>
              <w:spacing w:after="0"/>
              <w:rPr>
                <w:sz w:val="20"/>
                <w:szCs w:val="20"/>
                <w:color w:val="auto"/>
              </w:rPr>
            </w:pPr>
            <w:r>
              <w:rPr>
                <w:rFonts w:ascii="Arial" w:cs="Arial" w:eastAsia="Arial" w:hAnsi="Arial"/>
                <w:sz w:val="14"/>
                <w:szCs w:val="14"/>
                <w:color w:val="0E2A35"/>
              </w:rPr>
              <w:t>Malvern, PA 19355</w:t>
            </w:r>
          </w:p>
        </w:tc>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9"/>
        </w:trPr>
        <w:tc>
          <w:tcPr>
            <w:tcW w:w="4380" w:type="dxa"/>
            <w:vAlign w:val="bottom"/>
            <w:tcBorders>
              <w:bottom w:val="single" w:sz="8" w:color="0E2A35"/>
            </w:tcBorders>
          </w:tcPr>
          <w:p>
            <w:pPr>
              <w:spacing w:after="0"/>
              <w:rPr>
                <w:sz w:val="3"/>
                <w:szCs w:val="3"/>
                <w:color w:val="auto"/>
              </w:rPr>
            </w:pPr>
          </w:p>
        </w:tc>
        <w:tc>
          <w:tcPr>
            <w:tcW w:w="3760" w:type="dxa"/>
            <w:vAlign w:val="bottom"/>
            <w:tcBorders>
              <w:bottom w:val="single" w:sz="8" w:color="0E2A35"/>
            </w:tcBorders>
          </w:tcPr>
          <w:p>
            <w:pPr>
              <w:spacing w:after="0"/>
              <w:rPr>
                <w:sz w:val="3"/>
                <w:szCs w:val="3"/>
                <w:color w:val="auto"/>
              </w:rPr>
            </w:pPr>
          </w:p>
        </w:tc>
        <w:tc>
          <w:tcPr>
            <w:tcW w:w="1140" w:type="dxa"/>
            <w:vAlign w:val="bottom"/>
            <w:tcBorders>
              <w:bottom w:val="single" w:sz="8" w:color="0E2A35"/>
            </w:tcBorders>
          </w:tcPr>
          <w:p>
            <w:pPr>
              <w:spacing w:after="0"/>
              <w:rPr>
                <w:sz w:val="3"/>
                <w:szCs w:val="3"/>
                <w:color w:val="auto"/>
              </w:rPr>
            </w:pPr>
          </w:p>
        </w:tc>
      </w:tr>
    </w:tbl>
    <w:p>
      <w:pPr>
        <w:spacing w:after="0" w:line="102" w:lineRule="exact"/>
        <w:rPr>
          <w:sz w:val="20"/>
          <w:szCs w:val="20"/>
          <w:color w:val="auto"/>
        </w:rPr>
      </w:pPr>
    </w:p>
    <w:p>
      <w:pPr>
        <w:ind w:left="1220" w:hanging="360"/>
        <w:spacing w:after="0"/>
        <w:tabs>
          <w:tab w:leader="none" w:pos="1220" w:val="left"/>
        </w:tabs>
        <w:numPr>
          <w:ilvl w:val="0"/>
          <w:numId w:val="68"/>
        </w:numPr>
        <w:rPr>
          <w:rFonts w:ascii="Arial" w:cs="Arial" w:eastAsia="Arial" w:hAnsi="Arial"/>
          <w:sz w:val="13"/>
          <w:szCs w:val="13"/>
          <w:color w:val="0E2A35"/>
        </w:rPr>
      </w:pPr>
      <w:r>
        <w:rPr>
          <w:rFonts w:ascii="Arial" w:cs="Arial" w:eastAsia="Arial" w:hAnsi="Arial"/>
          <w:sz w:val="13"/>
          <w:szCs w:val="13"/>
          <w:color w:val="0E2A35"/>
        </w:rPr>
        <w:t>Based on 33,460,085 outstanding shares of common stock on October 19, 2021.</w:t>
      </w:r>
    </w:p>
    <w:p>
      <w:pPr>
        <w:spacing w:after="0" w:line="39" w:lineRule="exact"/>
        <w:rPr>
          <w:rFonts w:ascii="Arial" w:cs="Arial" w:eastAsia="Arial" w:hAnsi="Arial"/>
          <w:sz w:val="13"/>
          <w:szCs w:val="13"/>
          <w:color w:val="0E2A35"/>
        </w:rPr>
      </w:pPr>
    </w:p>
    <w:p>
      <w:pPr>
        <w:ind w:left="1220" w:right="960" w:hanging="360"/>
        <w:spacing w:after="0" w:line="230" w:lineRule="auto"/>
        <w:tabs>
          <w:tab w:leader="none" w:pos="1220" w:val="left"/>
        </w:tabs>
        <w:numPr>
          <w:ilvl w:val="0"/>
          <w:numId w:val="68"/>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February 5, 2021 by BlackRock, Inc., a parent holding company. BlackRock reported that it has sole voting power of 5,251,200 shares and sole dispositive power of 5,340,939 shares.</w:t>
      </w:r>
    </w:p>
    <w:p>
      <w:pPr>
        <w:spacing w:after="0" w:line="37" w:lineRule="exact"/>
        <w:rPr>
          <w:rFonts w:ascii="Arial" w:cs="Arial" w:eastAsia="Arial" w:hAnsi="Arial"/>
          <w:sz w:val="13"/>
          <w:szCs w:val="13"/>
          <w:color w:val="0E2A35"/>
        </w:rPr>
      </w:pPr>
    </w:p>
    <w:p>
      <w:pPr>
        <w:jc w:val="both"/>
        <w:ind w:left="1220" w:right="1120" w:hanging="360"/>
        <w:spacing w:after="0" w:line="225" w:lineRule="auto"/>
        <w:tabs>
          <w:tab w:leader="none" w:pos="1220" w:val="left"/>
        </w:tabs>
        <w:numPr>
          <w:ilvl w:val="0"/>
          <w:numId w:val="68"/>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February 10, 2021 by The Vanguard Group, an investment adviser. The Vanguard Group reported that it has shared voting power over 72,845 shares, sole dispositive power over 2,176,487 shares and shared dispositive power over 99,749 shares.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81</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6" w:name="page87"/>
    <w:bookmarkEnd w:id="8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60"/>
        <w:spacing w:after="0" w:line="250" w:lineRule="auto"/>
        <w:rPr>
          <w:sz w:val="20"/>
          <w:szCs w:val="20"/>
          <w:color w:val="auto"/>
        </w:rPr>
      </w:pPr>
      <w:r>
        <w:rPr>
          <w:rFonts w:ascii="Arial" w:cs="Arial" w:eastAsia="Arial" w:hAnsi="Arial"/>
          <w:sz w:val="16"/>
          <w:szCs w:val="16"/>
          <w:color w:val="0E2A35"/>
        </w:rPr>
        <w:t>The following table sets forth certain information known to us with respect to beneficial ownership of our common stock, as defined in Rule 13d-3 under the Exchange Act, at October 19, 2021 for (i) each of our directors and director nominees, (ii) each NEO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3400" w:type="dxa"/>
            <w:vAlign w:val="bottom"/>
            <w:shd w:val="clear" w:color="auto" w:fill="0E2A35"/>
          </w:tcPr>
          <w:p>
            <w:pPr>
              <w:spacing w:after="0"/>
              <w:rPr>
                <w:sz w:val="19"/>
                <w:szCs w:val="19"/>
                <w:color w:val="auto"/>
              </w:rPr>
            </w:pP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Shares of</w:t>
            </w:r>
          </w:p>
        </w:tc>
        <w:tc>
          <w:tcPr>
            <w:tcW w:w="1220" w:type="dxa"/>
            <w:vAlign w:val="bottom"/>
            <w:shd w:val="clear" w:color="auto" w:fill="0E2A35"/>
          </w:tcPr>
          <w:p>
            <w:pPr>
              <w:spacing w:after="0"/>
              <w:rPr>
                <w:sz w:val="19"/>
                <w:szCs w:val="19"/>
                <w:color w:val="auto"/>
              </w:rPr>
            </w:pPr>
          </w:p>
        </w:tc>
        <w:tc>
          <w:tcPr>
            <w:tcW w:w="1220" w:type="dxa"/>
            <w:vAlign w:val="bottom"/>
            <w:shd w:val="clear" w:color="auto" w:fill="0E2A35"/>
          </w:tcPr>
          <w:p>
            <w:pPr>
              <w:spacing w:after="0"/>
              <w:rPr>
                <w:sz w:val="19"/>
                <w:szCs w:val="19"/>
                <w:color w:val="auto"/>
              </w:rPr>
            </w:pPr>
          </w:p>
        </w:tc>
        <w:tc>
          <w:tcPr>
            <w:tcW w:w="1320" w:type="dxa"/>
            <w:vAlign w:val="bottom"/>
            <w:shd w:val="clear" w:color="auto" w:fill="0E2A35"/>
          </w:tcPr>
          <w:p>
            <w:pPr>
              <w:spacing w:after="0"/>
              <w:rPr>
                <w:sz w:val="19"/>
                <w:szCs w:val="19"/>
                <w:color w:val="auto"/>
              </w:rPr>
            </w:pPr>
          </w:p>
        </w:tc>
        <w:tc>
          <w:tcPr>
            <w:tcW w:w="92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Common</w:t>
            </w:r>
          </w:p>
        </w:tc>
        <w:tc>
          <w:tcPr>
            <w:tcW w:w="1220" w:type="dxa"/>
            <w:vAlign w:val="bottom"/>
            <w:shd w:val="clear" w:color="auto" w:fill="0E2A35"/>
          </w:tcPr>
          <w:p>
            <w:pPr>
              <w:spacing w:after="0"/>
              <w:rPr>
                <w:sz w:val="11"/>
                <w:szCs w:val="11"/>
                <w:color w:val="auto"/>
              </w:rPr>
            </w:pPr>
          </w:p>
        </w:tc>
        <w:tc>
          <w:tcPr>
            <w:tcW w:w="1220" w:type="dxa"/>
            <w:vAlign w:val="bottom"/>
            <w:shd w:val="clear" w:color="auto" w:fill="0E2A35"/>
          </w:tcPr>
          <w:p>
            <w:pPr>
              <w:spacing w:after="0"/>
              <w:rPr>
                <w:sz w:val="11"/>
                <w:szCs w:val="11"/>
                <w:color w:val="auto"/>
              </w:rPr>
            </w:pPr>
          </w:p>
        </w:tc>
        <w:tc>
          <w:tcPr>
            <w:tcW w:w="13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Total Shares</w:t>
            </w:r>
          </w:p>
        </w:tc>
        <w:tc>
          <w:tcPr>
            <w:tcW w:w="92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2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Exercisable</w:t>
            </w:r>
          </w:p>
        </w:tc>
        <w:tc>
          <w:tcPr>
            <w:tcW w:w="12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Winnebago</w:t>
            </w:r>
          </w:p>
        </w:tc>
        <w:tc>
          <w:tcPr>
            <w:tcW w:w="13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of Common</w:t>
            </w:r>
          </w:p>
        </w:tc>
        <w:tc>
          <w:tcPr>
            <w:tcW w:w="920" w:type="dxa"/>
            <w:vAlign w:val="bottom"/>
            <w:shd w:val="clear" w:color="auto" w:fill="0E2A35"/>
          </w:tcPr>
          <w:p>
            <w:pPr>
              <w:jc w:val="center"/>
              <w:ind w:left="42"/>
              <w:spacing w:after="0" w:line="135" w:lineRule="exact"/>
              <w:rPr>
                <w:sz w:val="20"/>
                <w:szCs w:val="20"/>
                <w:color w:val="auto"/>
              </w:rPr>
            </w:pPr>
            <w:r>
              <w:rPr>
                <w:rFonts w:ascii="Arial" w:cs="Arial" w:eastAsia="Arial" w:hAnsi="Arial"/>
                <w:sz w:val="13"/>
                <w:szCs w:val="13"/>
                <w:b w:val="1"/>
                <w:bCs w:val="1"/>
                <w:color w:val="FFFFFF"/>
                <w:w w:val="94"/>
              </w:rPr>
              <w:t>% of</w:t>
            </w:r>
          </w:p>
        </w:tc>
        <w:tc>
          <w:tcPr>
            <w:tcW w:w="0" w:type="dxa"/>
            <w:vAlign w:val="bottom"/>
          </w:tcPr>
          <w:p>
            <w:pPr>
              <w:spacing w:after="0"/>
              <w:rPr>
                <w:sz w:val="1"/>
                <w:szCs w:val="1"/>
                <w:color w:val="auto"/>
              </w:rPr>
            </w:pPr>
          </w:p>
        </w:tc>
      </w:tr>
      <w:tr>
        <w:trPr>
          <w:trHeight w:val="131"/>
        </w:trPr>
        <w:tc>
          <w:tcPr>
            <w:tcW w:w="340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6"/>
              </w:rPr>
              <w:t>Owned</w:t>
            </w:r>
          </w:p>
        </w:tc>
        <w:tc>
          <w:tcPr>
            <w:tcW w:w="12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Stock</w:t>
            </w:r>
          </w:p>
        </w:tc>
        <w:tc>
          <w:tcPr>
            <w:tcW w:w="12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5"/>
              </w:rPr>
              <w:t>Stock</w:t>
            </w:r>
          </w:p>
        </w:tc>
        <w:tc>
          <w:tcPr>
            <w:tcW w:w="1320" w:type="dxa"/>
            <w:vAlign w:val="bottom"/>
            <w:shd w:val="clear" w:color="auto" w:fill="0E2A35"/>
          </w:tcPr>
          <w:p>
            <w:pPr>
              <w:jc w:val="center"/>
              <w:spacing w:after="0" w:line="131" w:lineRule="exact"/>
              <w:rPr>
                <w:sz w:val="20"/>
                <w:szCs w:val="20"/>
                <w:color w:val="auto"/>
              </w:rPr>
            </w:pPr>
            <w:r>
              <w:rPr>
                <w:rFonts w:ascii="Arial" w:cs="Arial" w:eastAsia="Arial" w:hAnsi="Arial"/>
                <w:sz w:val="13"/>
                <w:szCs w:val="13"/>
                <w:b w:val="1"/>
                <w:bCs w:val="1"/>
                <w:color w:val="FFFFFF"/>
                <w:w w:val="97"/>
              </w:rPr>
              <w:t>Stock Owned</w:t>
            </w:r>
          </w:p>
        </w:tc>
        <w:tc>
          <w:tcPr>
            <w:tcW w:w="920" w:type="dxa"/>
            <w:vAlign w:val="bottom"/>
            <w:shd w:val="clear" w:color="auto" w:fill="0E2A35"/>
          </w:tcPr>
          <w:p>
            <w:pPr>
              <w:jc w:val="center"/>
              <w:ind w:left="42"/>
              <w:spacing w:after="0" w:line="131" w:lineRule="exact"/>
              <w:rPr>
                <w:sz w:val="20"/>
                <w:szCs w:val="20"/>
                <w:color w:val="auto"/>
              </w:rPr>
            </w:pPr>
            <w:r>
              <w:rPr>
                <w:rFonts w:ascii="Arial" w:cs="Arial" w:eastAsia="Arial" w:hAnsi="Arial"/>
                <w:sz w:val="13"/>
                <w:szCs w:val="13"/>
                <w:b w:val="1"/>
                <w:bCs w:val="1"/>
                <w:color w:val="FFFFFF"/>
                <w:w w:val="95"/>
              </w:rPr>
              <w:t>Common</w:t>
            </w:r>
          </w:p>
        </w:tc>
        <w:tc>
          <w:tcPr>
            <w:tcW w:w="0" w:type="dxa"/>
            <w:vAlign w:val="bottom"/>
          </w:tcPr>
          <w:p>
            <w:pPr>
              <w:spacing w:after="0"/>
              <w:rPr>
                <w:sz w:val="1"/>
                <w:szCs w:val="1"/>
                <w:color w:val="auto"/>
              </w:rPr>
            </w:pPr>
          </w:p>
        </w:tc>
      </w:tr>
      <w:tr>
        <w:trPr>
          <w:trHeight w:val="269"/>
        </w:trPr>
        <w:tc>
          <w:tcPr>
            <w:tcW w:w="3400" w:type="dxa"/>
            <w:vAlign w:val="bottom"/>
            <w:shd w:val="clear" w:color="auto" w:fill="0E2A35"/>
          </w:tcPr>
          <w:p>
            <w:pPr>
              <w:ind w:left="160"/>
              <w:spacing w:after="0"/>
              <w:rPr>
                <w:sz w:val="20"/>
                <w:szCs w:val="20"/>
                <w:color w:val="auto"/>
              </w:rPr>
            </w:pPr>
            <w:r>
              <w:rPr>
                <w:rFonts w:ascii="Arial" w:cs="Arial" w:eastAsia="Arial" w:hAnsi="Arial"/>
                <w:sz w:val="13"/>
                <w:szCs w:val="13"/>
                <w:b w:val="1"/>
                <w:bCs w:val="1"/>
                <w:color w:val="FFFFFF"/>
              </w:rPr>
              <w:t>Name</w:t>
            </w: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1"/>
              </w:rPr>
              <w:t>Outright</w:t>
            </w:r>
            <w:r>
              <w:rPr>
                <w:rFonts w:ascii="Arial" w:cs="Arial" w:eastAsia="Arial" w:hAnsi="Arial"/>
                <w:sz w:val="20"/>
                <w:szCs w:val="20"/>
                <w:b w:val="1"/>
                <w:bCs w:val="1"/>
                <w:color w:val="FFFFFF"/>
                <w:w w:val="91"/>
                <w:vertAlign w:val="superscript"/>
              </w:rPr>
              <w:t>(1)</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1"/>
              </w:rPr>
              <w:t>Options</w:t>
            </w:r>
            <w:r>
              <w:rPr>
                <w:rFonts w:ascii="Arial" w:cs="Arial" w:eastAsia="Arial" w:hAnsi="Arial"/>
                <w:sz w:val="20"/>
                <w:szCs w:val="20"/>
                <w:b w:val="1"/>
                <w:bCs w:val="1"/>
                <w:color w:val="FFFFFF"/>
                <w:w w:val="91"/>
                <w:vertAlign w:val="superscript"/>
              </w:rPr>
              <w:t>(2)</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0"/>
              </w:rPr>
              <w:t>Units</w:t>
            </w:r>
            <w:r>
              <w:rPr>
                <w:rFonts w:ascii="Arial" w:cs="Arial" w:eastAsia="Arial" w:hAnsi="Arial"/>
                <w:sz w:val="20"/>
                <w:szCs w:val="20"/>
                <w:b w:val="1"/>
                <w:bCs w:val="1"/>
                <w:color w:val="FFFFFF"/>
                <w:w w:val="90"/>
                <w:vertAlign w:val="superscript"/>
              </w:rPr>
              <w:t>(3)</w:t>
            </w:r>
          </w:p>
        </w:tc>
        <w:tc>
          <w:tcPr>
            <w:tcW w:w="13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Beneficially</w:t>
            </w:r>
          </w:p>
        </w:tc>
        <w:tc>
          <w:tcPr>
            <w:tcW w:w="920" w:type="dxa"/>
            <w:vAlign w:val="bottom"/>
            <w:shd w:val="clear" w:color="auto" w:fill="0E2A35"/>
          </w:tcPr>
          <w:p>
            <w:pPr>
              <w:jc w:val="center"/>
              <w:ind w:left="82"/>
              <w:spacing w:after="0"/>
              <w:rPr>
                <w:sz w:val="20"/>
                <w:szCs w:val="20"/>
                <w:color w:val="auto"/>
              </w:rPr>
            </w:pPr>
            <w:r>
              <w:rPr>
                <w:rFonts w:ascii="Arial" w:cs="Arial" w:eastAsia="Arial" w:hAnsi="Arial"/>
                <w:sz w:val="13"/>
                <w:szCs w:val="13"/>
                <w:b w:val="1"/>
                <w:bCs w:val="1"/>
                <w:color w:val="FFFFFF"/>
                <w:w w:val="88"/>
              </w:rPr>
              <w:t>Stock</w:t>
            </w:r>
            <w:r>
              <w:rPr>
                <w:rFonts w:ascii="Arial" w:cs="Arial" w:eastAsia="Arial" w:hAnsi="Arial"/>
                <w:sz w:val="20"/>
                <w:szCs w:val="20"/>
                <w:b w:val="1"/>
                <w:bCs w:val="1"/>
                <w:color w:val="FFFFFF"/>
                <w:w w:val="88"/>
                <w:vertAlign w:val="superscript"/>
              </w:rPr>
              <w:t>(4)</w:t>
            </w:r>
          </w:p>
        </w:tc>
        <w:tc>
          <w:tcPr>
            <w:tcW w:w="0" w:type="dxa"/>
            <w:vAlign w:val="bottom"/>
          </w:tcPr>
          <w:p>
            <w:pPr>
              <w:spacing w:after="0"/>
              <w:rPr>
                <w:sz w:val="1"/>
                <w:szCs w:val="1"/>
                <w:color w:val="auto"/>
              </w:rPr>
            </w:pPr>
          </w:p>
        </w:tc>
      </w:tr>
      <w:tr>
        <w:trPr>
          <w:trHeight w:val="208"/>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Sara E. Armbruster</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3,599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3,599</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Maria F. Blase</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7,963</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7,963</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Christopher J. Braun</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19,703</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19,703</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Huw S. Bower</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12,997</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2,419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15,416</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400" w:type="dxa"/>
            <w:vAlign w:val="bottom"/>
          </w:tcPr>
          <w:p>
            <w:pPr>
              <w:ind w:left="160"/>
              <w:spacing w:after="0"/>
              <w:rPr>
                <w:sz w:val="20"/>
                <w:szCs w:val="20"/>
                <w:color w:val="auto"/>
              </w:rPr>
            </w:pPr>
            <w:r>
              <w:rPr>
                <w:rFonts w:ascii="Arial" w:cs="Arial" w:eastAsia="Arial" w:hAnsi="Arial"/>
                <w:sz w:val="14"/>
                <w:szCs w:val="14"/>
                <w:color w:val="0E2A35"/>
              </w:rPr>
              <w:t>Kevin E. Bryant</w:t>
            </w:r>
          </w:p>
        </w:tc>
        <w:tc>
          <w:tcPr>
            <w:tcW w:w="120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tcPr>
          <w:p>
            <w:pPr>
              <w:jc w:val="right"/>
              <w:ind w:right="170"/>
              <w:spacing w:after="0"/>
              <w:rPr>
                <w:sz w:val="20"/>
                <w:szCs w:val="20"/>
                <w:color w:val="auto"/>
              </w:rPr>
            </w:pPr>
            <w:r>
              <w:rPr>
                <w:rFonts w:ascii="Arial" w:cs="Arial" w:eastAsia="Arial" w:hAnsi="Arial"/>
                <w:sz w:val="14"/>
                <w:szCs w:val="14"/>
                <w:color w:val="0E2A35"/>
              </w:rPr>
              <w:t>—</w:t>
            </w:r>
          </w:p>
        </w:tc>
        <w:tc>
          <w:tcPr>
            <w:tcW w:w="920" w:type="dxa"/>
            <w:vAlign w:val="bottom"/>
          </w:tcPr>
          <w:p>
            <w:pPr>
              <w:jc w:val="right"/>
              <w:ind w:right="62"/>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Robert M. Chiusano</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32,663</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27,290</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59,953</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400" w:type="dxa"/>
            <w:vAlign w:val="bottom"/>
          </w:tcPr>
          <w:p>
            <w:pPr>
              <w:ind w:left="160"/>
              <w:spacing w:after="0"/>
              <w:rPr>
                <w:sz w:val="20"/>
                <w:szCs w:val="20"/>
                <w:color w:val="auto"/>
              </w:rPr>
            </w:pPr>
            <w:r>
              <w:rPr>
                <w:rFonts w:ascii="Arial" w:cs="Arial" w:eastAsia="Arial" w:hAnsi="Arial"/>
                <w:sz w:val="14"/>
                <w:szCs w:val="14"/>
                <w:color w:val="0E2A35"/>
              </w:rPr>
              <w:t>Donald J. Clark</w:t>
            </w:r>
          </w:p>
        </w:tc>
        <w:tc>
          <w:tcPr>
            <w:tcW w:w="1200" w:type="dxa"/>
            <w:vAlign w:val="bottom"/>
          </w:tcPr>
          <w:p>
            <w:pPr>
              <w:jc w:val="right"/>
              <w:ind w:right="190"/>
              <w:spacing w:after="0"/>
              <w:rPr>
                <w:sz w:val="20"/>
                <w:szCs w:val="20"/>
                <w:color w:val="auto"/>
              </w:rPr>
            </w:pPr>
            <w:r>
              <w:rPr>
                <w:rFonts w:ascii="Arial" w:cs="Arial" w:eastAsia="Arial" w:hAnsi="Arial"/>
                <w:sz w:val="14"/>
                <w:szCs w:val="14"/>
                <w:color w:val="0E2A35"/>
              </w:rPr>
              <w:t>656,304</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tcPr>
          <w:p>
            <w:pPr>
              <w:jc w:val="right"/>
              <w:ind w:right="170"/>
              <w:spacing w:after="0"/>
              <w:rPr>
                <w:sz w:val="20"/>
                <w:szCs w:val="20"/>
                <w:color w:val="auto"/>
              </w:rPr>
            </w:pPr>
            <w:r>
              <w:rPr>
                <w:rFonts w:ascii="Arial" w:cs="Arial" w:eastAsia="Arial" w:hAnsi="Arial"/>
                <w:sz w:val="14"/>
                <w:szCs w:val="14"/>
                <w:color w:val="0E2A35"/>
              </w:rPr>
              <w:t>656,304</w:t>
            </w:r>
          </w:p>
        </w:tc>
        <w:tc>
          <w:tcPr>
            <w:tcW w:w="920" w:type="dxa"/>
            <w:vAlign w:val="bottom"/>
          </w:tcPr>
          <w:p>
            <w:pPr>
              <w:jc w:val="right"/>
              <w:ind w:right="42"/>
              <w:spacing w:after="0"/>
              <w:rPr>
                <w:sz w:val="20"/>
                <w:szCs w:val="20"/>
                <w:color w:val="auto"/>
              </w:rPr>
            </w:pPr>
            <w:r>
              <w:rPr>
                <w:rFonts w:ascii="Arial" w:cs="Arial" w:eastAsia="Arial" w:hAnsi="Arial"/>
                <w:sz w:val="14"/>
                <w:szCs w:val="14"/>
                <w:color w:val="0E2A35"/>
              </w:rPr>
              <w:t>1.96%</w:t>
            </w: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William C. Fisher</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21,756</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7,851</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29,607</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Michael J. Happe</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101,403</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137,979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239,382</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Brian D. Hazelton</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22,259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27,779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50,038</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Bryan L. Hughes</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31,489</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24,702</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56,191</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7"/>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David W. Miles</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14,703</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2,858</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17,561</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Richard D. Moss</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13,103</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13,103</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John M. Murabito</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11,803</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11,803</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400" w:type="dxa"/>
            <w:vAlign w:val="bottom"/>
            <w:vMerge w:val="restart"/>
          </w:tcPr>
          <w:p>
            <w:pPr>
              <w:ind w:left="160"/>
              <w:spacing w:after="0"/>
              <w:rPr>
                <w:sz w:val="20"/>
                <w:szCs w:val="20"/>
                <w:color w:val="auto"/>
              </w:rPr>
            </w:pPr>
            <w:r>
              <w:rPr>
                <w:rFonts w:ascii="Arial" w:cs="Arial" w:eastAsia="Arial" w:hAnsi="Arial"/>
                <w:sz w:val="14"/>
                <w:szCs w:val="14"/>
                <w:color w:val="0E2A35"/>
              </w:rPr>
              <w:t>Jacqueline D. Woods</w:t>
            </w:r>
          </w:p>
        </w:tc>
        <w:tc>
          <w:tcPr>
            <w:tcW w:w="1200" w:type="dxa"/>
            <w:vAlign w:val="bottom"/>
            <w:vMerge w:val="restart"/>
          </w:tcPr>
          <w:p>
            <w:pPr>
              <w:jc w:val="right"/>
              <w:ind w:right="190"/>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w:t>
            </w:r>
          </w:p>
        </w:tc>
        <w:tc>
          <w:tcPr>
            <w:tcW w:w="1220" w:type="dxa"/>
            <w:vAlign w:val="bottom"/>
            <w:vMerge w:val="restart"/>
          </w:tcPr>
          <w:p>
            <w:pPr>
              <w:jc w:val="right"/>
              <w:ind w:right="169"/>
              <w:spacing w:after="0"/>
              <w:rPr>
                <w:sz w:val="20"/>
                <w:szCs w:val="20"/>
                <w:color w:val="auto"/>
              </w:rPr>
            </w:pPr>
            <w:r>
              <w:rPr>
                <w:rFonts w:ascii="Arial" w:cs="Arial" w:eastAsia="Arial" w:hAnsi="Arial"/>
                <w:sz w:val="14"/>
                <w:szCs w:val="14"/>
                <w:color w:val="0E2A35"/>
              </w:rPr>
              <w:t>235</w:t>
            </w:r>
          </w:p>
        </w:tc>
        <w:tc>
          <w:tcPr>
            <w:tcW w:w="1320" w:type="dxa"/>
            <w:vAlign w:val="bottom"/>
            <w:vMerge w:val="restart"/>
          </w:tcPr>
          <w:p>
            <w:pPr>
              <w:jc w:val="right"/>
              <w:ind w:right="170"/>
              <w:spacing w:after="0"/>
              <w:rPr>
                <w:sz w:val="20"/>
                <w:szCs w:val="20"/>
                <w:color w:val="auto"/>
              </w:rPr>
            </w:pPr>
            <w:r>
              <w:rPr>
                <w:rFonts w:ascii="Arial" w:cs="Arial" w:eastAsia="Arial" w:hAnsi="Arial"/>
                <w:sz w:val="14"/>
                <w:szCs w:val="14"/>
                <w:color w:val="0E2A35"/>
              </w:rPr>
              <w:t>235</w:t>
            </w:r>
          </w:p>
        </w:tc>
        <w:tc>
          <w:tcPr>
            <w:tcW w:w="920" w:type="dxa"/>
            <w:vAlign w:val="bottom"/>
          </w:tcPr>
          <w:p>
            <w:pPr>
              <w:jc w:val="right"/>
              <w:ind w:right="82"/>
              <w:spacing w:after="0"/>
              <w:rPr>
                <w:sz w:val="20"/>
                <w:szCs w:val="20"/>
                <w:color w:val="auto"/>
              </w:rPr>
            </w:pPr>
            <w:r>
              <w:rPr>
                <w:rFonts w:ascii="Arial" w:cs="Arial" w:eastAsia="Arial" w:hAnsi="Arial"/>
                <w:sz w:val="11"/>
                <w:szCs w:val="11"/>
                <w:color w:val="0E2A35"/>
              </w:rPr>
              <w:t>(5)</w:t>
            </w:r>
          </w:p>
        </w:tc>
        <w:tc>
          <w:tcPr>
            <w:tcW w:w="0" w:type="dxa"/>
            <w:vAlign w:val="bottom"/>
          </w:tcPr>
          <w:p>
            <w:pPr>
              <w:spacing w:after="0"/>
              <w:rPr>
                <w:sz w:val="1"/>
                <w:szCs w:val="1"/>
                <w:color w:val="auto"/>
              </w:rPr>
            </w:pPr>
          </w:p>
        </w:tc>
      </w:tr>
      <w:tr>
        <w:trPr>
          <w:trHeight w:val="78"/>
        </w:trPr>
        <w:tc>
          <w:tcPr>
            <w:tcW w:w="34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40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220" w:type="dxa"/>
            <w:vAlign w:val="bottom"/>
            <w:tcBorders>
              <w:bottom w:val="single" w:sz="8" w:color="0E2A35"/>
            </w:tcBorders>
          </w:tcPr>
          <w:p>
            <w:pPr>
              <w:spacing w:after="0"/>
              <w:rPr>
                <w:sz w:val="8"/>
                <w:szCs w:val="8"/>
                <w:color w:val="auto"/>
              </w:rPr>
            </w:pPr>
          </w:p>
        </w:tc>
        <w:tc>
          <w:tcPr>
            <w:tcW w:w="132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3400" w:type="dxa"/>
            <w:vAlign w:val="bottom"/>
          </w:tcPr>
          <w:p>
            <w:pPr>
              <w:ind w:left="160"/>
              <w:spacing w:after="0"/>
              <w:rPr>
                <w:sz w:val="20"/>
                <w:szCs w:val="20"/>
                <w:color w:val="auto"/>
              </w:rPr>
            </w:pPr>
            <w:r>
              <w:rPr>
                <w:rFonts w:ascii="Arial" w:cs="Arial" w:eastAsia="Arial" w:hAnsi="Arial"/>
                <w:sz w:val="14"/>
                <w:szCs w:val="14"/>
                <w:color w:val="0E2A35"/>
              </w:rPr>
              <w:t>Directors and executive officers as a group (19</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320"/>
              <w:spacing w:after="0"/>
              <w:rPr>
                <w:sz w:val="20"/>
                <w:szCs w:val="20"/>
                <w:color w:val="auto"/>
              </w:rPr>
            </w:pPr>
            <w:r>
              <w:rPr>
                <w:rFonts w:ascii="Arial" w:cs="Arial" w:eastAsia="Arial" w:hAnsi="Arial"/>
                <w:sz w:val="14"/>
                <w:szCs w:val="14"/>
                <w:color w:val="0E2A35"/>
              </w:rPr>
              <w:t>persons)</w:t>
            </w:r>
          </w:p>
        </w:tc>
        <w:tc>
          <w:tcPr>
            <w:tcW w:w="1200" w:type="dxa"/>
            <w:vAlign w:val="bottom"/>
          </w:tcPr>
          <w:p>
            <w:pPr>
              <w:jc w:val="right"/>
              <w:ind w:right="190"/>
              <w:spacing w:after="0"/>
              <w:rPr>
                <w:sz w:val="20"/>
                <w:szCs w:val="20"/>
                <w:color w:val="auto"/>
              </w:rPr>
            </w:pPr>
            <w:r>
              <w:rPr>
                <w:rFonts w:ascii="Arial" w:cs="Arial" w:eastAsia="Arial" w:hAnsi="Arial"/>
                <w:sz w:val="14"/>
                <w:szCs w:val="14"/>
                <w:color w:val="0E2A35"/>
              </w:rPr>
              <w:t>1,018,781</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256,223</w:t>
            </w:r>
          </w:p>
        </w:tc>
        <w:tc>
          <w:tcPr>
            <w:tcW w:w="1220" w:type="dxa"/>
            <w:vAlign w:val="bottom"/>
          </w:tcPr>
          <w:p>
            <w:pPr>
              <w:jc w:val="right"/>
              <w:ind w:right="169"/>
              <w:spacing w:after="0"/>
              <w:rPr>
                <w:sz w:val="20"/>
                <w:szCs w:val="20"/>
                <w:color w:val="auto"/>
              </w:rPr>
            </w:pPr>
            <w:r>
              <w:rPr>
                <w:rFonts w:ascii="Arial" w:cs="Arial" w:eastAsia="Arial" w:hAnsi="Arial"/>
                <w:sz w:val="14"/>
                <w:szCs w:val="14"/>
                <w:color w:val="0E2A35"/>
              </w:rPr>
              <w:t>38,234</w:t>
            </w:r>
          </w:p>
        </w:tc>
        <w:tc>
          <w:tcPr>
            <w:tcW w:w="1320" w:type="dxa"/>
            <w:vAlign w:val="bottom"/>
          </w:tcPr>
          <w:p>
            <w:pPr>
              <w:jc w:val="right"/>
              <w:ind w:right="170"/>
              <w:spacing w:after="0"/>
              <w:rPr>
                <w:sz w:val="20"/>
                <w:szCs w:val="20"/>
                <w:color w:val="auto"/>
              </w:rPr>
            </w:pPr>
            <w:r>
              <w:rPr>
                <w:rFonts w:ascii="Arial" w:cs="Arial" w:eastAsia="Arial" w:hAnsi="Arial"/>
                <w:sz w:val="14"/>
                <w:szCs w:val="14"/>
                <w:color w:val="0E2A35"/>
              </w:rPr>
              <w:t>1,313,238</w:t>
            </w:r>
          </w:p>
        </w:tc>
        <w:tc>
          <w:tcPr>
            <w:tcW w:w="920" w:type="dxa"/>
            <w:vAlign w:val="bottom"/>
          </w:tcPr>
          <w:p>
            <w:pPr>
              <w:jc w:val="right"/>
              <w:ind w:right="62"/>
              <w:spacing w:after="0"/>
              <w:rPr>
                <w:sz w:val="20"/>
                <w:szCs w:val="20"/>
                <w:color w:val="auto"/>
              </w:rPr>
            </w:pPr>
            <w:r>
              <w:rPr>
                <w:rFonts w:ascii="Arial" w:cs="Arial" w:eastAsia="Arial" w:hAnsi="Arial"/>
                <w:sz w:val="14"/>
                <w:szCs w:val="14"/>
                <w:color w:val="0E2A35"/>
              </w:rPr>
              <w:t>3.92%</w:t>
            </w:r>
          </w:p>
        </w:tc>
        <w:tc>
          <w:tcPr>
            <w:tcW w:w="0" w:type="dxa"/>
            <w:vAlign w:val="bottom"/>
          </w:tcPr>
          <w:p>
            <w:pPr>
              <w:spacing w:after="0"/>
              <w:rPr>
                <w:sz w:val="1"/>
                <w:szCs w:val="1"/>
                <w:color w:val="auto"/>
              </w:rPr>
            </w:pPr>
          </w:p>
        </w:tc>
      </w:tr>
      <w:tr>
        <w:trPr>
          <w:trHeight w:val="39"/>
        </w:trPr>
        <w:tc>
          <w:tcPr>
            <w:tcW w:w="3400" w:type="dxa"/>
            <w:vAlign w:val="bottom"/>
            <w:tcBorders>
              <w:bottom w:val="single" w:sz="8" w:color="0E2A35"/>
            </w:tcBorders>
          </w:tcPr>
          <w:p>
            <w:pPr>
              <w:spacing w:after="0"/>
              <w:rPr>
                <w:sz w:val="3"/>
                <w:szCs w:val="3"/>
                <w:color w:val="auto"/>
              </w:rPr>
            </w:pPr>
          </w:p>
        </w:tc>
        <w:tc>
          <w:tcPr>
            <w:tcW w:w="120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c>
          <w:tcPr>
            <w:tcW w:w="1220" w:type="dxa"/>
            <w:vAlign w:val="bottom"/>
            <w:tcBorders>
              <w:bottom w:val="single" w:sz="8" w:color="0E2A35"/>
            </w:tcBorders>
          </w:tcPr>
          <w:p>
            <w:pPr>
              <w:spacing w:after="0"/>
              <w:rPr>
                <w:sz w:val="3"/>
                <w:szCs w:val="3"/>
                <w:color w:val="auto"/>
              </w:rPr>
            </w:pPr>
          </w:p>
        </w:tc>
        <w:tc>
          <w:tcPr>
            <w:tcW w:w="1320" w:type="dxa"/>
            <w:vAlign w:val="bottom"/>
            <w:tcBorders>
              <w:bottom w:val="single" w:sz="8" w:color="0E2A35"/>
            </w:tcBorders>
          </w:tcPr>
          <w:p>
            <w:pPr>
              <w:spacing w:after="0"/>
              <w:rPr>
                <w:sz w:val="3"/>
                <w:szCs w:val="3"/>
                <w:color w:val="auto"/>
              </w:rPr>
            </w:pPr>
          </w:p>
        </w:tc>
        <w:tc>
          <w:tcPr>
            <w:tcW w:w="92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20" w:right="880" w:hanging="360"/>
        <w:spacing w:after="0" w:line="225" w:lineRule="auto"/>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Includes the following shares not currently outstanding but deemed beneficially owned because of the right to acquire them pursuant to restricted stock units that vest within 60 days or have vested but have not yet been distributed: 7,546 shares for Mr. Happe, 1,316 shares for Mr. Hazelton, 1,711 shares for Mr. Hughes and 4,957 shares in total for all non-NEO executive officers as a group.</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Includes shares underlying stock options that are currently exercisable or become exercisable within 60 days.</w:t>
      </w:r>
    </w:p>
    <w:p>
      <w:pPr>
        <w:spacing w:after="0" w:line="39" w:lineRule="exact"/>
        <w:rPr>
          <w:rFonts w:ascii="Arial" w:cs="Arial" w:eastAsia="Arial" w:hAnsi="Arial"/>
          <w:sz w:val="13"/>
          <w:szCs w:val="13"/>
          <w:color w:val="0E2A35"/>
        </w:rPr>
      </w:pPr>
    </w:p>
    <w:p>
      <w:pPr>
        <w:ind w:left="1220" w:right="1180" w:hanging="360"/>
        <w:spacing w:after="0" w:line="225" w:lineRule="auto"/>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Winnebago Stock Units held under our Directors' Deferred Compensation Plan as of October 19, 2021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38" w:lineRule="exact"/>
        <w:rPr>
          <w:rFonts w:ascii="Arial" w:cs="Arial" w:eastAsia="Arial" w:hAnsi="Arial"/>
          <w:sz w:val="13"/>
          <w:szCs w:val="13"/>
          <w:color w:val="0E2A35"/>
        </w:rPr>
      </w:pPr>
    </w:p>
    <w:p>
      <w:pPr>
        <w:ind w:left="1220" w:hanging="360"/>
        <w:spacing w:after="0"/>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Based on 33,460,085 outstanding shares of common stock on October 19, 2021.</w:t>
      </w:r>
    </w:p>
    <w:p>
      <w:pPr>
        <w:spacing w:after="0" w:line="39" w:lineRule="exact"/>
        <w:rPr>
          <w:rFonts w:ascii="Arial" w:cs="Arial" w:eastAsia="Arial" w:hAnsi="Arial"/>
          <w:sz w:val="13"/>
          <w:szCs w:val="13"/>
          <w:color w:val="0E2A35"/>
        </w:rPr>
      </w:pPr>
    </w:p>
    <w:p>
      <w:pPr>
        <w:ind w:left="1220" w:hanging="360"/>
        <w:spacing w:after="0"/>
        <w:tabs>
          <w:tab w:leader="none" w:pos="122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Less than 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82</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7" w:name="page88"/>
    <w:bookmarkEnd w:id="8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Voting Information</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Internet Availability of Proxy Materials</w:t>
      </w:r>
    </w:p>
    <w:p>
      <w:pPr>
        <w:spacing w:after="0" w:line="213" w:lineRule="exact"/>
        <w:rPr>
          <w:sz w:val="20"/>
          <w:szCs w:val="20"/>
          <w:color w:val="auto"/>
        </w:rPr>
      </w:pPr>
    </w:p>
    <w:p>
      <w:pPr>
        <w:ind w:left="860" w:right="900"/>
        <w:spacing w:after="0" w:line="250" w:lineRule="auto"/>
        <w:rPr>
          <w:sz w:val="20"/>
          <w:szCs w:val="20"/>
          <w:color w:val="auto"/>
        </w:rPr>
      </w:pPr>
      <w:r>
        <w:rPr>
          <w:rFonts w:ascii="Arial" w:cs="Arial" w:eastAsia="Arial" w:hAnsi="Arial"/>
          <w:sz w:val="16"/>
          <w:szCs w:val="16"/>
          <w:color w:val="0E2A35"/>
        </w:rPr>
        <w:t>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November 1, 2021.</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Shareholders Entitled to Vote</w:t>
      </w:r>
    </w:p>
    <w:p>
      <w:pPr>
        <w:spacing w:after="0" w:line="213" w:lineRule="exact"/>
        <w:rPr>
          <w:sz w:val="20"/>
          <w:szCs w:val="20"/>
          <w:color w:val="auto"/>
        </w:rPr>
      </w:pPr>
    </w:p>
    <w:p>
      <w:pPr>
        <w:ind w:left="860" w:right="1040"/>
        <w:spacing w:after="0" w:line="251" w:lineRule="auto"/>
        <w:rPr>
          <w:sz w:val="20"/>
          <w:szCs w:val="20"/>
          <w:color w:val="auto"/>
        </w:rPr>
      </w:pPr>
      <w:r>
        <w:rPr>
          <w:rFonts w:ascii="Arial" w:cs="Arial" w:eastAsia="Arial" w:hAnsi="Arial"/>
          <w:sz w:val="16"/>
          <w:szCs w:val="16"/>
          <w:color w:val="0E2A35"/>
        </w:rPr>
        <w:t>The Board set October 19, 2021 as the record date for the Annual Meeting. This means that our shareholders as of the close of business on that date are entitled to notice of and to vote at the Annual Meeting. On the record date, 33,460,085 shares of our common stock were outstanding. The common stock is the only class of securities entitled to vote at the Annual Meeting. Each outstanding share entitles its holder to one vote.</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Quorum for the Annual Meeting</w:t>
      </w:r>
    </w:p>
    <w:p>
      <w:pPr>
        <w:spacing w:after="0" w:line="213" w:lineRule="exact"/>
        <w:rPr>
          <w:sz w:val="20"/>
          <w:szCs w:val="20"/>
          <w:color w:val="auto"/>
        </w:rPr>
      </w:pPr>
    </w:p>
    <w:p>
      <w:pPr>
        <w:ind w:left="860" w:right="980"/>
        <w:spacing w:after="0" w:line="260" w:lineRule="auto"/>
        <w:rPr>
          <w:sz w:val="20"/>
          <w:szCs w:val="20"/>
          <w:color w:val="auto"/>
        </w:rPr>
      </w:pPr>
      <w:r>
        <w:rPr>
          <w:rFonts w:ascii="Arial" w:cs="Arial" w:eastAsia="Arial" w:hAnsi="Arial"/>
          <w:sz w:val="16"/>
          <w:szCs w:val="16"/>
          <w:color w:val="0E2A35"/>
        </w:rPr>
        <w:t>A majority of the outstanding shares is necessary to constitute a quorum for the transaction of business at the Annual Meeting. If you submit a valid proxy or attend the Annual Meeting, your shares will be counted to determine whether there is a quorum.</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How to Vote</w:t>
      </w:r>
    </w:p>
    <w:p>
      <w:pPr>
        <w:spacing w:after="0" w:line="213" w:lineRule="exact"/>
        <w:rPr>
          <w:sz w:val="20"/>
          <w:szCs w:val="20"/>
          <w:color w:val="auto"/>
        </w:rPr>
      </w:pPr>
    </w:p>
    <w:p>
      <w:pPr>
        <w:ind w:left="860" w:right="1100"/>
        <w:spacing w:after="0" w:line="260" w:lineRule="auto"/>
        <w:rPr>
          <w:sz w:val="20"/>
          <w:szCs w:val="20"/>
          <w:color w:val="auto"/>
        </w:rPr>
      </w:pPr>
      <w:r>
        <w:rPr>
          <w:rFonts w:ascii="Arial" w:cs="Arial" w:eastAsia="Arial" w:hAnsi="Arial"/>
          <w:sz w:val="16"/>
          <w:szCs w:val="16"/>
          <w:color w:val="0E2A35"/>
        </w:rPr>
        <w:t>Whether or not you expect to attend the Annual Meeting, please carefully review the proxy materials and follow the instructions below to cast your vote.</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Shares Registered in Your Name</w:t>
      </w:r>
    </w:p>
    <w:p>
      <w:pPr>
        <w:spacing w:after="0" w:line="213" w:lineRule="exact"/>
        <w:rPr>
          <w:sz w:val="20"/>
          <w:szCs w:val="20"/>
          <w:color w:val="auto"/>
        </w:rPr>
      </w:pPr>
    </w:p>
    <w:p>
      <w:pPr>
        <w:ind w:left="860" w:right="1040"/>
        <w:spacing w:after="0" w:line="253" w:lineRule="auto"/>
        <w:rPr>
          <w:rFonts w:ascii="Arial" w:cs="Arial" w:eastAsia="Arial" w:hAnsi="Arial"/>
          <w:sz w:val="16"/>
          <w:szCs w:val="16"/>
          <w:color w:val="0E2A35"/>
        </w:rPr>
      </w:pPr>
      <w:r>
        <w:rPr>
          <w:rFonts w:ascii="Arial" w:cs="Arial" w:eastAsia="Arial" w:hAnsi="Arial"/>
          <w:sz w:val="16"/>
          <w:szCs w:val="16"/>
          <w:color w:val="0E2A35"/>
        </w:rPr>
        <w:t xml:space="preserve">By submitting voting instructions for shares registered in your name before the Annual Meeting, you are appointing a proxy to vote these shares. You may vote in one of the following ways (additional details about each of these voting methods is provided on page </w:t>
      </w:r>
      <w:hyperlink w:anchor="page7">
        <w:r>
          <w:rPr>
            <w:rFonts w:ascii="Arial" w:cs="Arial" w:eastAsia="Arial" w:hAnsi="Arial"/>
            <w:sz w:val="16"/>
            <w:szCs w:val="16"/>
            <w:u w:val="single" w:color="auto"/>
            <w:color w:val="0000EE"/>
          </w:rPr>
          <w:t>3</w:t>
        </w:r>
      </w:hyperlink>
      <w:r>
        <w:rPr>
          <w:rFonts w:ascii="Arial" w:cs="Arial" w:eastAsia="Arial" w:hAnsi="Arial"/>
          <w:sz w:val="16"/>
          <w:szCs w:val="16"/>
          <w:color w:val="0E2A35"/>
        </w:rPr>
        <w:t>):</w:t>
      </w:r>
    </w:p>
    <w:p>
      <w:pPr>
        <w:spacing w:after="0" w:line="141" w:lineRule="exact"/>
        <w:rPr>
          <w:sz w:val="20"/>
          <w:szCs w:val="20"/>
          <w:color w:val="auto"/>
        </w:rPr>
      </w:pPr>
    </w:p>
    <w:p>
      <w:pPr>
        <w:ind w:left="1580" w:right="1220" w:hanging="360"/>
        <w:spacing w:after="0" w:line="259" w:lineRule="auto"/>
        <w:tabs>
          <w:tab w:leader="none" w:pos="1580" w:val="left"/>
        </w:tabs>
        <w:numPr>
          <w:ilvl w:val="0"/>
          <w:numId w:val="7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Internet or Telephone</w:t>
      </w:r>
      <w:r>
        <w:rPr>
          <w:rFonts w:ascii="Arial" w:cs="Arial" w:eastAsia="Arial" w:hAnsi="Arial"/>
          <w:sz w:val="16"/>
          <w:szCs w:val="16"/>
          <w:color w:val="0E2A35"/>
        </w:rPr>
        <w:t>. You may vote using the Internet or telephone by following the instructions in the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Notice. To vote by the Internet, go to www.proxyvote.com and follow the instructions to record your vote. To vote by telephone call 1-800-690-6903. To vote by the Internet or telephone, you will need your 16-digit control number included with the Notice.</w:t>
      </w:r>
    </w:p>
    <w:p>
      <w:pPr>
        <w:spacing w:after="0" w:line="137" w:lineRule="exact"/>
        <w:rPr>
          <w:rFonts w:ascii="Arial" w:cs="Arial" w:eastAsia="Arial" w:hAnsi="Arial"/>
          <w:sz w:val="16"/>
          <w:szCs w:val="16"/>
          <w:color w:val="C7D265"/>
        </w:rPr>
      </w:pPr>
    </w:p>
    <w:p>
      <w:pPr>
        <w:ind w:left="1580" w:right="1340" w:hanging="360"/>
        <w:spacing w:after="0" w:line="286" w:lineRule="auto"/>
        <w:tabs>
          <w:tab w:leader="none" w:pos="1580" w:val="left"/>
        </w:tabs>
        <w:numPr>
          <w:ilvl w:val="0"/>
          <w:numId w:val="7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Proxy Card</w:t>
      </w:r>
      <w:r>
        <w:rPr>
          <w:rFonts w:ascii="Arial" w:cs="Arial" w:eastAsia="Arial" w:hAnsi="Arial"/>
          <w:sz w:val="16"/>
          <w:szCs w:val="16"/>
          <w:color w:val="0E2A35"/>
        </w:rPr>
        <w:t>. If you obtained a paper copy of the proxy materials, you may vote by completing, signing,</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dating and returning the proxy card in the enclosed postage pre-paid envelope.</w:t>
      </w:r>
    </w:p>
    <w:p>
      <w:pPr>
        <w:spacing w:after="0" w:line="128" w:lineRule="exact"/>
        <w:rPr>
          <w:rFonts w:ascii="Arial" w:cs="Arial" w:eastAsia="Arial" w:hAnsi="Arial"/>
          <w:sz w:val="16"/>
          <w:szCs w:val="16"/>
          <w:color w:val="C7D265"/>
        </w:rPr>
      </w:pPr>
    </w:p>
    <w:p>
      <w:pPr>
        <w:ind w:left="1580" w:right="920" w:hanging="360"/>
        <w:spacing w:after="0" w:line="286" w:lineRule="auto"/>
        <w:tabs>
          <w:tab w:leader="none" w:pos="1580" w:val="left"/>
        </w:tabs>
        <w:numPr>
          <w:ilvl w:val="0"/>
          <w:numId w:val="70"/>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during the Annual Meeting</w:t>
      </w:r>
      <w:r>
        <w:rPr>
          <w:rFonts w:ascii="Arial" w:cs="Arial" w:eastAsia="Arial" w:hAnsi="Arial"/>
          <w:sz w:val="16"/>
          <w:szCs w:val="16"/>
          <w:color w:val="0E2A35"/>
        </w:rPr>
        <w:t>. You may also vote by attending the Annual Meeting and voting via the online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meeting platform. To vote online during the Annual Meeting, you will need your 16-digit control included with the Notice.</w:t>
      </w:r>
    </w:p>
    <w:p>
      <w:pPr>
        <w:spacing w:after="0" w:line="135" w:lineRule="exact"/>
        <w:rPr>
          <w:sz w:val="20"/>
          <w:szCs w:val="20"/>
          <w:color w:val="auto"/>
        </w:rPr>
      </w:pPr>
    </w:p>
    <w:p>
      <w:pPr>
        <w:ind w:left="860" w:right="1000"/>
        <w:spacing w:after="0" w:line="253" w:lineRule="auto"/>
        <w:rPr>
          <w:sz w:val="20"/>
          <w:szCs w:val="20"/>
          <w:color w:val="auto"/>
        </w:rPr>
      </w:pPr>
      <w:r>
        <w:rPr>
          <w:rFonts w:ascii="Arial" w:cs="Arial" w:eastAsia="Arial" w:hAnsi="Arial"/>
          <w:sz w:val="16"/>
          <w:szCs w:val="16"/>
          <w:color w:val="0E2A35"/>
        </w:rPr>
        <w:t>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83</w:t>
            </w:r>
          </w:p>
        </w:tc>
      </w:tr>
      <w:tr>
        <w:trPr>
          <w:trHeight w:val="239"/>
        </w:trPr>
        <w:tc>
          <w:tcPr>
            <w:tcW w:w="9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8" w:name="page89"/>
    <w:bookmarkEnd w:id="8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Shares Held in Street Name</w:t>
      </w:r>
    </w:p>
    <w:p>
      <w:pPr>
        <w:spacing w:after="0" w:line="213"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If your shares are held in the name of a broker or bank (that is, in “street name”), refer to the instructions provided by your broker or bank regarding how to vote your shares. If you do not return voting instructions to your broker or bank by its deadline, your shares may be voted by your broker or bank on Proposal 3, but not the other proposals described in this proxy. Broker non-votes will not be considered in connection with Proposals 1, 2, and 4.</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Revoking a Proxy or Voting Instructions</w:t>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You may revoke your proxy or change your vote at any time before the Annual Meeting by:</w:t>
      </w:r>
    </w:p>
    <w:p>
      <w:pPr>
        <w:spacing w:after="0" w:line="181" w:lineRule="exact"/>
        <w:rPr>
          <w:sz w:val="20"/>
          <w:szCs w:val="20"/>
          <w:color w:val="auto"/>
        </w:rPr>
      </w:pPr>
    </w:p>
    <w:p>
      <w:pPr>
        <w:ind w:left="1580" w:right="1100" w:hanging="360"/>
        <w:spacing w:after="0" w:line="260" w:lineRule="auto"/>
        <w:tabs>
          <w:tab w:leader="none" w:pos="1580" w:val="left"/>
        </w:tabs>
        <w:numPr>
          <w:ilvl w:val="0"/>
          <w:numId w:val="71"/>
        </w:numPr>
        <w:rPr>
          <w:rFonts w:ascii="Arial" w:cs="Arial" w:eastAsia="Arial" w:hAnsi="Arial"/>
          <w:sz w:val="16"/>
          <w:szCs w:val="16"/>
          <w:color w:val="C7D265"/>
        </w:rPr>
      </w:pPr>
      <w:r>
        <w:rPr>
          <w:rFonts w:ascii="Arial" w:cs="Arial" w:eastAsia="Arial" w:hAnsi="Arial"/>
          <w:sz w:val="16"/>
          <w:szCs w:val="16"/>
          <w:color w:val="0E2A35"/>
        </w:rPr>
        <w:t>Submitting a new, later-dated proxy by (1) following the Internet voting instructions; (2) following the telephone voting instructions; or (3) completing, signing, dating and returning a new proxy card;</w:t>
      </w:r>
    </w:p>
    <w:p>
      <w:pPr>
        <w:spacing w:after="0" w:line="168" w:lineRule="exact"/>
        <w:rPr>
          <w:rFonts w:ascii="Arial" w:cs="Arial" w:eastAsia="Arial" w:hAnsi="Arial"/>
          <w:sz w:val="16"/>
          <w:szCs w:val="16"/>
          <w:color w:val="C7D265"/>
        </w:rPr>
      </w:pPr>
    </w:p>
    <w:p>
      <w:pPr>
        <w:ind w:left="1580" w:hanging="360"/>
        <w:spacing w:after="0"/>
        <w:tabs>
          <w:tab w:leader="none" w:pos="1580" w:val="left"/>
        </w:tabs>
        <w:numPr>
          <w:ilvl w:val="0"/>
          <w:numId w:val="71"/>
        </w:numPr>
        <w:rPr>
          <w:rFonts w:ascii="Arial" w:cs="Arial" w:eastAsia="Arial" w:hAnsi="Arial"/>
          <w:sz w:val="16"/>
          <w:szCs w:val="16"/>
          <w:color w:val="C7D265"/>
        </w:rPr>
      </w:pPr>
      <w:r>
        <w:rPr>
          <w:rFonts w:ascii="Arial" w:cs="Arial" w:eastAsia="Arial" w:hAnsi="Arial"/>
          <w:sz w:val="16"/>
          <w:szCs w:val="16"/>
          <w:color w:val="0E2A35"/>
        </w:rPr>
        <w:t>Giving written notice before the vote to our Secretary, stating that you are revoking your proxy; or</w:t>
      </w:r>
    </w:p>
    <w:p>
      <w:pPr>
        <w:spacing w:after="0" w:line="180" w:lineRule="exact"/>
        <w:rPr>
          <w:rFonts w:ascii="Arial" w:cs="Arial" w:eastAsia="Arial" w:hAnsi="Arial"/>
          <w:sz w:val="16"/>
          <w:szCs w:val="16"/>
          <w:color w:val="C7D265"/>
        </w:rPr>
      </w:pPr>
    </w:p>
    <w:p>
      <w:pPr>
        <w:ind w:left="1580" w:hanging="360"/>
        <w:spacing w:after="0"/>
        <w:tabs>
          <w:tab w:leader="none" w:pos="1580" w:val="left"/>
        </w:tabs>
        <w:numPr>
          <w:ilvl w:val="0"/>
          <w:numId w:val="71"/>
        </w:numPr>
        <w:rPr>
          <w:rFonts w:ascii="Arial" w:cs="Arial" w:eastAsia="Arial" w:hAnsi="Arial"/>
          <w:sz w:val="16"/>
          <w:szCs w:val="16"/>
          <w:color w:val="C7D265"/>
        </w:rPr>
      </w:pPr>
      <w:r>
        <w:rPr>
          <w:rFonts w:ascii="Arial" w:cs="Arial" w:eastAsia="Arial" w:hAnsi="Arial"/>
          <w:sz w:val="16"/>
          <w:szCs w:val="16"/>
          <w:color w:val="0E2A35"/>
        </w:rPr>
        <w:t>Attending the Annual Meeting and voting via the online voting platform.</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To revoke your proxy by Internet or telephone, you must do so by 12:00 p.m. Central Standard Time on December 13, 2021.</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Attending the Annual Meeting will not, by itself, revoke your proxy.</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Other Information</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Forward-looking Information</w:t>
      </w:r>
    </w:p>
    <w:p>
      <w:pPr>
        <w:spacing w:after="0" w:line="200" w:lineRule="exact"/>
        <w:rPr>
          <w:sz w:val="20"/>
          <w:szCs w:val="20"/>
          <w:color w:val="auto"/>
        </w:rPr>
      </w:pPr>
    </w:p>
    <w:p>
      <w:pPr>
        <w:ind w:left="860" w:right="1060"/>
        <w:spacing w:after="0" w:line="250" w:lineRule="auto"/>
        <w:rPr>
          <w:sz w:val="20"/>
          <w:szCs w:val="20"/>
          <w:color w:val="auto"/>
        </w:rPr>
      </w:pPr>
      <w:r>
        <w:rPr>
          <w:rFonts w:ascii="Arial" w:cs="Arial" w:eastAsia="Arial" w:hAnsi="Arial"/>
          <w:sz w:val="16"/>
          <w:szCs w:val="16"/>
          <w:color w:val="0E2A35"/>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62" w:lineRule="exact"/>
        <w:rPr>
          <w:sz w:val="20"/>
          <w:szCs w:val="20"/>
          <w:color w:val="auto"/>
        </w:rPr>
      </w:pPr>
    </w:p>
    <w:p>
      <w:pPr>
        <w:ind w:left="860" w:right="1120"/>
        <w:spacing w:after="0" w:line="251" w:lineRule="auto"/>
        <w:rPr>
          <w:sz w:val="20"/>
          <w:szCs w:val="20"/>
          <w:color w:val="auto"/>
        </w:rPr>
      </w:pPr>
      <w:r>
        <w:rPr>
          <w:rFonts w:ascii="Arial" w:cs="Arial" w:eastAsia="Arial" w:hAnsi="Arial"/>
          <w:sz w:val="16"/>
          <w:szCs w:val="16"/>
          <w:color w:val="0E2A35"/>
        </w:rPr>
        <w:t>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28, 2021 filed with the SEC for a list of such factors.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84</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89" w:name="page90"/>
    <w:bookmarkEnd w:id="8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Other Matters</w:t>
      </w:r>
    </w:p>
    <w:p>
      <w:pPr>
        <w:spacing w:after="0" w:line="213" w:lineRule="exact"/>
        <w:rPr>
          <w:sz w:val="20"/>
          <w:szCs w:val="20"/>
          <w:color w:val="auto"/>
        </w:rPr>
      </w:pPr>
    </w:p>
    <w:p>
      <w:pPr>
        <w:ind w:left="860" w:right="1280"/>
        <w:spacing w:after="0" w:line="253" w:lineRule="auto"/>
        <w:rPr>
          <w:sz w:val="20"/>
          <w:szCs w:val="20"/>
          <w:color w:val="auto"/>
        </w:rPr>
      </w:pPr>
      <w:r>
        <w:rPr>
          <w:rFonts w:ascii="Arial" w:cs="Arial" w:eastAsia="Arial" w:hAnsi="Arial"/>
          <w:sz w:val="16"/>
          <w:szCs w:val="16"/>
          <w:color w:val="0E2A35"/>
        </w:rPr>
        <w:t>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w:t>
      </w:r>
    </w:p>
    <w:p>
      <w:pPr>
        <w:spacing w:after="0" w:line="32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Delinquent Section 16(a) Reports</w:t>
      </w:r>
    </w:p>
    <w:p>
      <w:pPr>
        <w:spacing w:after="0" w:line="200" w:lineRule="exact"/>
        <w:rPr>
          <w:sz w:val="20"/>
          <w:szCs w:val="20"/>
          <w:color w:val="auto"/>
        </w:rPr>
      </w:pPr>
    </w:p>
    <w:p>
      <w:pPr>
        <w:ind w:left="860" w:right="880"/>
        <w:spacing w:after="0" w:line="248" w:lineRule="auto"/>
        <w:rPr>
          <w:sz w:val="20"/>
          <w:szCs w:val="20"/>
          <w:color w:val="auto"/>
        </w:rPr>
      </w:pPr>
      <w:r>
        <w:rPr>
          <w:rFonts w:ascii="Arial" w:cs="Arial" w:eastAsia="Arial" w:hAnsi="Arial"/>
          <w:sz w:val="16"/>
          <w:szCs w:val="16"/>
          <w:color w:val="0E2A35"/>
        </w:rPr>
        <w:t>Section 16(a) of the Exchange Act requires our directors, executive officers and persons who own more than 10% of our common stock to file reports of ownership and changes in ownership with the SEC. Such directors, executive officers and shareholders are also required by SEC rules to provide us with copies of all Section 16(a) forms that they file. Based solely on our review of the copies of such forms provided to us and written representations that no reports were required to be filed during fiscal 2021, we believe that for fiscal 2021, all required reports were filed on a timely basis under Section 16(a), except for (i) a Form 4 for each of Messrs. Chiusano and Miles filed on December 4, 2020 related to the issuance of Winnebago stock units under the Director's Deferred Compensation Plan on November 27, 2020; (ii) a Form 3 for Ms. Woods filed on March 31, 2021 as a result of a delay in receipt of SEC filing codes and related to her initial disclosure of ownership of Winnebago Industries securities after her election as a director on March 17, 2021; and (iii) a Form 4 for Ms. Woods filed on March 31, 2021 as a result of a delay in receipt of SEC filing codes and related to the issuance of restricted stock units under the 2019 Plan on March 17, 2021.</w:t>
      </w:r>
    </w:p>
    <w:p>
      <w:pPr>
        <w:spacing w:after="0" w:line="33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Fiscal 2022 Shareholder Proposals</w:t>
      </w:r>
    </w:p>
    <w:p>
      <w:pPr>
        <w:spacing w:after="0" w:line="200" w:lineRule="exact"/>
        <w:rPr>
          <w:sz w:val="20"/>
          <w:szCs w:val="20"/>
          <w:color w:val="auto"/>
        </w:rPr>
      </w:pPr>
    </w:p>
    <w:p>
      <w:pPr>
        <w:jc w:val="both"/>
        <w:ind w:left="860" w:right="1120"/>
        <w:spacing w:after="0" w:line="253" w:lineRule="auto"/>
        <w:rPr>
          <w:sz w:val="20"/>
          <w:szCs w:val="20"/>
          <w:color w:val="auto"/>
        </w:rPr>
      </w:pPr>
      <w:r>
        <w:rPr>
          <w:rFonts w:ascii="Arial" w:cs="Arial" w:eastAsia="Arial" w:hAnsi="Arial"/>
          <w:sz w:val="16"/>
          <w:szCs w:val="16"/>
          <w:color w:val="0E2A35"/>
        </w:rPr>
        <w:t>To be considered for inclusion in our proxy statement for the 2022 annual meeting, shareholder proposals other than a director nomination must comply with Rule 14a-8 under the Exchange Act and must be submitted in writing and received by us no later than July 4, 2022 at our principal executive offices, addressed to the Secretary.</w:t>
      </w:r>
    </w:p>
    <w:p>
      <w:pPr>
        <w:spacing w:after="0" w:line="174" w:lineRule="exact"/>
        <w:rPr>
          <w:sz w:val="20"/>
          <w:szCs w:val="20"/>
          <w:color w:val="auto"/>
        </w:rPr>
      </w:pPr>
    </w:p>
    <w:p>
      <w:pPr>
        <w:ind w:left="860" w:right="1040"/>
        <w:spacing w:after="0" w:line="251" w:lineRule="auto"/>
        <w:rPr>
          <w:sz w:val="20"/>
          <w:szCs w:val="20"/>
          <w:color w:val="auto"/>
        </w:rPr>
      </w:pPr>
      <w:r>
        <w:rPr>
          <w:rFonts w:ascii="Arial" w:cs="Arial" w:eastAsia="Arial" w:hAnsi="Arial"/>
          <w:sz w:val="16"/>
          <w:szCs w:val="16"/>
          <w:color w:val="0E2A35"/>
        </w:rPr>
        <w:t>A shareholder may also submit nominations for directors for inclusion in our proxy materials by complying with the requirements set forth in our bylaws. Director nominations to be considered for inclusion in our proxy materials for the 2022 annual meeting must be received by us at our principal executive offices, addressed to the Secretary, no later than 90 days before the anniversary of the 2021 Annual Meeting and no earlier than 120 days before the anniversary of the 2021 Annual Meeting.</w:t>
      </w:r>
    </w:p>
    <w:p>
      <w:pPr>
        <w:spacing w:after="0" w:line="162" w:lineRule="exact"/>
        <w:rPr>
          <w:sz w:val="20"/>
          <w:szCs w:val="20"/>
          <w:color w:val="auto"/>
        </w:rPr>
      </w:pPr>
    </w:p>
    <w:p>
      <w:pPr>
        <w:ind w:left="860" w:right="960"/>
        <w:spacing w:after="0" w:line="250" w:lineRule="auto"/>
        <w:rPr>
          <w:sz w:val="20"/>
          <w:szCs w:val="20"/>
          <w:color w:val="auto"/>
        </w:rPr>
      </w:pPr>
      <w:r>
        <w:rPr>
          <w:rFonts w:ascii="Arial" w:cs="Arial" w:eastAsia="Arial" w:hAnsi="Arial"/>
          <w:sz w:val="16"/>
          <w:szCs w:val="16"/>
          <w:color w:val="0E2A35"/>
        </w:rPr>
        <w:t>In addition, a shareholder proposal that is not intended for inclusion in our proxy statement under Rule 14a-8 or a shareholder nomination of a director candidate may be brought before the 2022 annual meeting so long as we receive information and notice of the proposal in compliance with the requirements set forth in our bylaws, addressed to the Secretary at our principal executive offices, no later than 90 days before the anniversary of the 2021 Annual Meeting and no earlier than 120 days before the anniversary of the 2021 Annual Meeting.</w:t>
      </w:r>
    </w:p>
    <w:p>
      <w:pPr>
        <w:spacing w:after="0" w:line="162" w:lineRule="exact"/>
        <w:rPr>
          <w:sz w:val="20"/>
          <w:szCs w:val="20"/>
          <w:color w:val="auto"/>
        </w:rPr>
      </w:pPr>
    </w:p>
    <w:p>
      <w:pPr>
        <w:ind w:left="860" w:right="1220"/>
        <w:spacing w:after="0" w:line="260" w:lineRule="auto"/>
        <w:rPr>
          <w:sz w:val="20"/>
          <w:szCs w:val="20"/>
          <w:color w:val="auto"/>
        </w:rPr>
      </w:pPr>
      <w:r>
        <w:rPr>
          <w:rFonts w:ascii="Arial" w:cs="Arial" w:eastAsia="Arial" w:hAnsi="Arial"/>
          <w:sz w:val="16"/>
          <w:szCs w:val="16"/>
          <w:color w:val="0E2A35"/>
        </w:rPr>
        <w:t>A copy of our bylaws may be obtained by written request to: Winnebago Industries, Inc., Attn: Senior Vice President, General Counsel, Secretary and Corporate Responsibility, 13200 Pioneer Trail, Suite 150, Eden Prairie, Minnesota 55347.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85</w:t>
            </w:r>
          </w:p>
        </w:tc>
      </w:tr>
      <w:tr>
        <w:trPr>
          <w:trHeight w:val="253"/>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0" w:name="page91"/>
    <w:bookmarkEnd w:id="9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Proxy Solicitation Costs</w:t>
      </w:r>
    </w:p>
    <w:p>
      <w:pPr>
        <w:spacing w:after="0" w:line="213" w:lineRule="exact"/>
        <w:rPr>
          <w:sz w:val="20"/>
          <w:szCs w:val="20"/>
          <w:color w:val="auto"/>
        </w:rPr>
      </w:pPr>
    </w:p>
    <w:p>
      <w:pPr>
        <w:ind w:left="860" w:right="1000"/>
        <w:spacing w:after="0" w:line="251" w:lineRule="auto"/>
        <w:rPr>
          <w:sz w:val="20"/>
          <w:szCs w:val="20"/>
          <w:color w:val="auto"/>
        </w:rPr>
      </w:pPr>
      <w:r>
        <w:rPr>
          <w:rFonts w:ascii="Arial" w:cs="Arial" w:eastAsia="Arial" w:hAnsi="Arial"/>
          <w:sz w:val="16"/>
          <w:szCs w:val="16"/>
          <w:color w:val="0E2A35"/>
        </w:rPr>
        <w:t>We will pay the cost of soliciting proxies. Proxies will be solicited primarily through the Internet and the use of mail. Our directors and employees (without additional compensation) may also solicit proxies in person, by telephone or email. We will reimburse brokers, banks, and other custodians, nominees, and fiduciaries for reasonable expenses incurred in forwarding proxies and proxy materials to the beneficial owners of Winnebago Industries stock.</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84752"/>
        </w:rPr>
        <w:t>Annual Report</w:t>
      </w:r>
    </w:p>
    <w:p>
      <w:pPr>
        <w:spacing w:after="0" w:line="180" w:lineRule="exact"/>
        <w:rPr>
          <w:sz w:val="20"/>
          <w:szCs w:val="20"/>
          <w:color w:val="auto"/>
        </w:rPr>
      </w:pPr>
    </w:p>
    <w:p>
      <w:pPr>
        <w:ind w:left="860" w:right="900"/>
        <w:spacing w:after="0" w:line="254" w:lineRule="auto"/>
        <w:rPr>
          <w:sz w:val="20"/>
          <w:szCs w:val="20"/>
          <w:color w:val="auto"/>
        </w:rPr>
      </w:pPr>
      <w:r>
        <w:rPr>
          <w:rFonts w:ascii="Arial" w:cs="Arial" w:eastAsia="Arial" w:hAnsi="Arial"/>
          <w:sz w:val="16"/>
          <w:szCs w:val="16"/>
          <w:color w:val="0E2A35"/>
        </w:rPr>
        <w:t xml:space="preserve">Our Annual Report for the fiscal year ended August 28, 2021 is available on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xml:space="preserve"> in the “Investors” section. The financial statements contained in the Annual Report are not deemed material to the exercise of prudent judgment in regard to any matter to be acted upon at the Annual Meeting and, therefore, such financial statements are not incorporated in this proxy statement by reference. You may also request a free copy of our Annual Report and proxy statement by writing to Winnebago Industries, Inc., Attn: Senior Vice President, General Counsel, Secretary and Corporate Responsibility, 13200 Pioneer Trail, Suite 150, Eden Prairie, Minnesota 55347.</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259080</wp:posOffset>
            </wp:positionV>
            <wp:extent cx="1431290"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390"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November 1, 2021</w:t>
      </w: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Stacy L. Bogart</w:t>
      </w:r>
    </w:p>
    <w:p>
      <w:pPr>
        <w:spacing w:after="0" w:line="113"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Senior Vice President - General Counsel, Secretary and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0E2A35"/>
        </w:rPr>
        <w:t>Corporate Responsibility</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80" w:type="dxa"/>
            <w:vAlign w:val="bottom"/>
          </w:tcPr>
          <w:p>
            <w:pPr>
              <w:ind w:left="7420"/>
              <w:spacing w:after="0"/>
              <w:rPr>
                <w:sz w:val="20"/>
                <w:szCs w:val="20"/>
                <w:color w:val="auto"/>
              </w:rPr>
            </w:pPr>
            <w:r>
              <w:rPr>
                <w:rFonts w:ascii="Arial" w:cs="Arial" w:eastAsia="Arial" w:hAnsi="Arial"/>
                <w:sz w:val="13"/>
                <w:szCs w:val="13"/>
                <w:color w:val="0E2A35"/>
              </w:rPr>
              <w:t>Proxy Statement for 2021 Annual Meeting</w:t>
            </w:r>
          </w:p>
        </w:tc>
        <w:tc>
          <w:tcPr>
            <w:tcW w:w="1140" w:type="dxa"/>
            <w:vAlign w:val="bottom"/>
          </w:tcPr>
          <w:p>
            <w:pPr>
              <w:jc w:val="right"/>
              <w:ind w:right="817"/>
              <w:spacing w:after="0"/>
              <w:rPr>
                <w:sz w:val="20"/>
                <w:szCs w:val="20"/>
                <w:color w:val="auto"/>
              </w:rPr>
            </w:pPr>
            <w:r>
              <w:rPr>
                <w:rFonts w:ascii="Arial" w:cs="Arial" w:eastAsia="Arial" w:hAnsi="Arial"/>
                <w:sz w:val="13"/>
                <w:szCs w:val="13"/>
                <w:b w:val="1"/>
                <w:bCs w:val="1"/>
                <w:color w:val="0E2A35"/>
              </w:rPr>
              <w:t>86</w:t>
            </w:r>
          </w:p>
        </w:tc>
      </w:tr>
      <w:tr>
        <w:trPr>
          <w:trHeight w:val="252"/>
        </w:trPr>
        <w:tc>
          <w:tcPr>
            <w:tcW w:w="9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1" w:name="page92"/>
    <w:bookmarkEnd w:id="9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A</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Articles of Conversion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(an Iowa corporation)</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into</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 Minnesota corporation)</w:t>
      </w:r>
    </w:p>
    <w:p>
      <w:pPr>
        <w:spacing w:after="0" w:line="184" w:lineRule="exact"/>
        <w:rPr>
          <w:sz w:val="20"/>
          <w:szCs w:val="20"/>
          <w:color w:val="auto"/>
        </w:rPr>
      </w:pPr>
    </w:p>
    <w:p>
      <w:pPr>
        <w:ind w:left="860" w:right="1180"/>
        <w:spacing w:after="0" w:line="253" w:lineRule="auto"/>
        <w:rPr>
          <w:sz w:val="20"/>
          <w:szCs w:val="20"/>
          <w:color w:val="auto"/>
        </w:rPr>
      </w:pPr>
      <w:r>
        <w:rPr>
          <w:rFonts w:ascii="Arial" w:cs="Arial" w:eastAsia="Arial" w:hAnsi="Arial"/>
          <w:sz w:val="16"/>
          <w:szCs w:val="16"/>
          <w:color w:val="0E2A35"/>
        </w:rPr>
        <w:t>These Articles of Conversion relate to the conversion of Winnebago Industries, Inc., an Iowa corporation (the “Converting Organization”), into Winnebago Industries, Inc., a Minnesota corporation (the “Converted Organization”), pursuant to Sections 302A.682 and 302A.686, Subd. 1(2), of the Minnesota Statutes.</w:t>
      </w:r>
    </w:p>
    <w:p>
      <w:pPr>
        <w:spacing w:after="0" w:line="161" w:lineRule="exact"/>
        <w:rPr>
          <w:sz w:val="20"/>
          <w:szCs w:val="20"/>
          <w:color w:val="auto"/>
        </w:rPr>
      </w:pPr>
    </w:p>
    <w:p>
      <w:pPr>
        <w:ind w:left="1580" w:right="128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Converting Organization is an Iowa corporation, governed by and incorporated under Chapter 490 of the Iowa Statutes.</w:t>
      </w:r>
    </w:p>
    <w:p>
      <w:pPr>
        <w:spacing w:after="0" w:line="168" w:lineRule="exact"/>
        <w:rPr>
          <w:rFonts w:ascii="Arial" w:cs="Arial" w:eastAsia="Arial" w:hAnsi="Arial"/>
          <w:sz w:val="16"/>
          <w:szCs w:val="16"/>
          <w:color w:val="0E2A35"/>
        </w:rPr>
      </w:pPr>
    </w:p>
    <w:p>
      <w:pPr>
        <w:ind w:left="1580" w:right="110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Converted Organization shall be a Minnesota corporation, governed by and incorporated under Chapter 302A of the Minnesota Statutes.</w:t>
      </w:r>
    </w:p>
    <w:p>
      <w:pPr>
        <w:spacing w:after="0" w:line="154" w:lineRule="exact"/>
        <w:rPr>
          <w:rFonts w:ascii="Arial" w:cs="Arial" w:eastAsia="Arial" w:hAnsi="Arial"/>
          <w:sz w:val="16"/>
          <w:szCs w:val="16"/>
          <w:color w:val="0E2A35"/>
        </w:rPr>
      </w:pPr>
    </w:p>
    <w:p>
      <w:pPr>
        <w:ind w:left="1580" w:hanging="360"/>
        <w:spacing w:after="0"/>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 xml:space="preserve">The plan of conversion (titled Plan of Reincorporation) is attached hereto as </w:t>
      </w:r>
      <w:r>
        <w:rPr>
          <w:rFonts w:ascii="Arial" w:cs="Arial" w:eastAsia="Arial" w:hAnsi="Arial"/>
          <w:sz w:val="16"/>
          <w:szCs w:val="16"/>
          <w:u w:val="single" w:color="auto"/>
          <w:color w:val="0E2A35"/>
        </w:rPr>
        <w:t>Exhibit A</w:t>
      </w:r>
      <w:r>
        <w:rPr>
          <w:rFonts w:ascii="Arial" w:cs="Arial" w:eastAsia="Arial" w:hAnsi="Arial"/>
          <w:sz w:val="16"/>
          <w:szCs w:val="16"/>
          <w:color w:val="0E2A35"/>
        </w:rPr>
        <w:t>.</w:t>
      </w:r>
    </w:p>
    <w:p>
      <w:pPr>
        <w:spacing w:after="0" w:line="180" w:lineRule="exact"/>
        <w:rPr>
          <w:rFonts w:ascii="Arial" w:cs="Arial" w:eastAsia="Arial" w:hAnsi="Arial"/>
          <w:sz w:val="16"/>
          <w:szCs w:val="16"/>
          <w:color w:val="0E2A35"/>
        </w:rPr>
      </w:pPr>
    </w:p>
    <w:p>
      <w:pPr>
        <w:ind w:left="1580" w:right="106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 xml:space="preserve">The articles of incorporation attached as </w:t>
      </w:r>
      <w:r>
        <w:rPr>
          <w:rFonts w:ascii="Arial" w:cs="Arial" w:eastAsia="Arial" w:hAnsi="Arial"/>
          <w:sz w:val="16"/>
          <w:szCs w:val="16"/>
          <w:u w:val="single" w:color="auto"/>
          <w:color w:val="0E2A35"/>
        </w:rPr>
        <w:t>Annex A</w:t>
      </w:r>
      <w:r>
        <w:rPr>
          <w:rFonts w:ascii="Arial" w:cs="Arial" w:eastAsia="Arial" w:hAnsi="Arial"/>
          <w:sz w:val="16"/>
          <w:szCs w:val="16"/>
          <w:color w:val="0E2A35"/>
        </w:rPr>
        <w:t xml:space="preserve"> to the plan of conversion shall be the articles of incorporation of the Converted Organization.</w:t>
      </w:r>
    </w:p>
    <w:p>
      <w:pPr>
        <w:spacing w:after="0" w:line="168" w:lineRule="exact"/>
        <w:rPr>
          <w:rFonts w:ascii="Arial" w:cs="Arial" w:eastAsia="Arial" w:hAnsi="Arial"/>
          <w:sz w:val="16"/>
          <w:szCs w:val="16"/>
          <w:color w:val="0E2A35"/>
        </w:rPr>
      </w:pPr>
    </w:p>
    <w:p>
      <w:pPr>
        <w:ind w:left="1580" w:right="1700" w:hanging="360"/>
        <w:spacing w:after="0" w:line="260" w:lineRule="auto"/>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conversion provided for herein was approved in compliance with Chapter 490 of the Iowa Statutes (as a domestication of the Converting Organization into the Converted Organization).</w:t>
      </w:r>
    </w:p>
    <w:p>
      <w:pPr>
        <w:spacing w:after="0" w:line="154" w:lineRule="exact"/>
        <w:rPr>
          <w:rFonts w:ascii="Arial" w:cs="Arial" w:eastAsia="Arial" w:hAnsi="Arial"/>
          <w:sz w:val="16"/>
          <w:szCs w:val="16"/>
          <w:color w:val="0E2A35"/>
        </w:rPr>
      </w:pPr>
    </w:p>
    <w:p>
      <w:pPr>
        <w:ind w:left="1580" w:hanging="360"/>
        <w:spacing w:after="0"/>
        <w:tabs>
          <w:tab w:leader="none" w:pos="1580" w:val="left"/>
        </w:tabs>
        <w:numPr>
          <w:ilvl w:val="0"/>
          <w:numId w:val="72"/>
        </w:numPr>
        <w:rPr>
          <w:rFonts w:ascii="Arial" w:cs="Arial" w:eastAsia="Arial" w:hAnsi="Arial"/>
          <w:sz w:val="16"/>
          <w:szCs w:val="16"/>
          <w:color w:val="0E2A35"/>
        </w:rPr>
      </w:pPr>
      <w:r>
        <w:rPr>
          <w:rFonts w:ascii="Arial" w:cs="Arial" w:eastAsia="Arial" w:hAnsi="Arial"/>
          <w:sz w:val="16"/>
          <w:szCs w:val="16"/>
          <w:color w:val="0E2A35"/>
        </w:rPr>
        <w:t>The conversion provided for herein shall be effective at 12:01 a.m. (Central Time) on January 1, 2022.</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A-1</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2" w:name="page93"/>
    <w:bookmarkEnd w:id="9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 WITNESS WHEREOF, the undersigned officer of the Converting Organization has executed these Articles of Conversion.</w:t>
      </w:r>
    </w:p>
    <w:p>
      <w:pPr>
        <w:spacing w:after="0" w:line="16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0E2A35"/>
        </w:rPr>
        <w:t>WINNEBAGO INDUSTRIES, INC.</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0E2A35"/>
        </w:rPr>
        <w:t>(an Iowa corporation)</w:t>
      </w:r>
    </w:p>
    <w:p>
      <w:pPr>
        <w:spacing w:after="0" w:line="200" w:lineRule="exact"/>
        <w:rPr>
          <w:sz w:val="20"/>
          <w:szCs w:val="20"/>
          <w:color w:val="auto"/>
        </w:rPr>
      </w:pP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0E2A35"/>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31750</wp:posOffset>
            </wp:positionV>
            <wp:extent cx="27774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5780"/>
        <w:spacing w:after="0"/>
        <w:tabs>
          <w:tab w:leader="none" w:pos="6480" w:val="left"/>
        </w:tabs>
        <w:rPr>
          <w:sz w:val="20"/>
          <w:szCs w:val="20"/>
          <w:color w:val="auto"/>
        </w:rPr>
      </w:pPr>
      <w:r>
        <w:rPr>
          <w:rFonts w:ascii="Arial" w:cs="Arial" w:eastAsia="Arial" w:hAnsi="Arial"/>
          <w:sz w:val="18"/>
          <w:szCs w:val="18"/>
          <w:color w:val="0E2A35"/>
        </w:rPr>
        <w:t>Name:</w:t>
        <w:tab/>
        <w:t>Stacy L. Bogart</w:t>
      </w:r>
    </w:p>
    <w:p>
      <w:pPr>
        <w:spacing w:after="0" w:line="104" w:lineRule="exact"/>
        <w:rPr>
          <w:sz w:val="20"/>
          <w:szCs w:val="20"/>
          <w:color w:val="auto"/>
        </w:rPr>
      </w:pPr>
    </w:p>
    <w:p>
      <w:pPr>
        <w:ind w:left="5780"/>
        <w:spacing w:after="0"/>
        <w:tabs>
          <w:tab w:leader="none" w:pos="6480" w:val="left"/>
        </w:tabs>
        <w:rPr>
          <w:sz w:val="20"/>
          <w:szCs w:val="20"/>
          <w:color w:val="auto"/>
        </w:rPr>
      </w:pPr>
      <w:r>
        <w:rPr>
          <w:rFonts w:ascii="Arial" w:cs="Arial" w:eastAsia="Arial" w:hAnsi="Arial"/>
          <w:sz w:val="18"/>
          <w:szCs w:val="18"/>
          <w:color w:val="0E2A35"/>
        </w:rPr>
        <w:t>Title:</w:t>
      </w:r>
      <w:r>
        <w:rPr>
          <w:sz w:val="20"/>
          <w:szCs w:val="20"/>
          <w:color w:val="auto"/>
        </w:rPr>
        <w:tab/>
      </w:r>
      <w:r>
        <w:rPr>
          <w:rFonts w:ascii="Arial" w:cs="Arial" w:eastAsia="Arial" w:hAnsi="Arial"/>
          <w:sz w:val="18"/>
          <w:szCs w:val="18"/>
          <w:color w:val="0E2A35"/>
        </w:rPr>
        <w:t>Secretary</w:t>
      </w:r>
    </w:p>
    <w:p>
      <w:pPr>
        <w:spacing w:after="0" w:line="104" w:lineRule="exact"/>
        <w:rPr>
          <w:sz w:val="20"/>
          <w:szCs w:val="20"/>
          <w:color w:val="auto"/>
        </w:rPr>
      </w:pPr>
    </w:p>
    <w:p>
      <w:pPr>
        <w:ind w:left="5780"/>
        <w:spacing w:after="0"/>
        <w:tabs>
          <w:tab w:leader="none" w:pos="6480" w:val="left"/>
        </w:tabs>
        <w:rPr>
          <w:sz w:val="20"/>
          <w:szCs w:val="20"/>
          <w:color w:val="auto"/>
        </w:rPr>
      </w:pPr>
      <w:r>
        <w:rPr>
          <w:rFonts w:ascii="Arial" w:cs="Arial" w:eastAsia="Arial" w:hAnsi="Arial"/>
          <w:sz w:val="18"/>
          <w:szCs w:val="18"/>
          <w:color w:val="0E2A35"/>
        </w:rPr>
        <w:t>Date:</w:t>
      </w:r>
      <w:r>
        <w:rPr>
          <w:sz w:val="20"/>
          <w:szCs w:val="20"/>
          <w:color w:val="auto"/>
        </w:rPr>
        <w:tab/>
      </w:r>
      <w:r>
        <w:rPr>
          <w:rFonts w:ascii="Arial" w:cs="Arial" w:eastAsia="Arial" w:hAnsi="Arial"/>
          <w:sz w:val="18"/>
          <w:szCs w:val="18"/>
          <w:color w:val="0E2A35"/>
        </w:rPr>
        <w:t>December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to Articles of Conversion]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A-2</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3" w:name="page94"/>
    <w:bookmarkEnd w:id="9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B</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Articles of Incorporation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NAME OF CORPORATION</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name of the Corporation shall be “Winnebago Industries, Inc.”</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II</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CAPITAL STOCK</w:t>
      </w:r>
    </w:p>
    <w:p>
      <w:pPr>
        <w:spacing w:after="0" w:line="174" w:lineRule="exact"/>
        <w:rPr>
          <w:sz w:val="20"/>
          <w:szCs w:val="20"/>
          <w:color w:val="auto"/>
        </w:rPr>
      </w:pPr>
    </w:p>
    <w:p>
      <w:pPr>
        <w:ind w:left="860" w:right="1040"/>
        <w:spacing w:after="0" w:line="253" w:lineRule="auto"/>
        <w:rPr>
          <w:sz w:val="20"/>
          <w:szCs w:val="20"/>
          <w:color w:val="auto"/>
        </w:rPr>
      </w:pPr>
      <w:r>
        <w:rPr>
          <w:rFonts w:ascii="Arial" w:cs="Arial" w:eastAsia="Arial" w:hAnsi="Arial"/>
          <w:sz w:val="16"/>
          <w:szCs w:val="16"/>
          <w:color w:val="0E2A35"/>
        </w:rPr>
        <w:t>The total number of shares of stock which the Corporation shall have authority to issue is: one hundred thirty million (130,000,000), of which one hundred twenty million (120,000,000) shall be shares of Common Stock, $.50 par value (“Common Stock”), and ten million (10,000,000) shall be shares of Preferred Stock, $.01 par value (“Preferred Stock”).</w:t>
      </w:r>
    </w:p>
    <w:p>
      <w:pPr>
        <w:spacing w:after="0" w:line="174" w:lineRule="exact"/>
        <w:rPr>
          <w:sz w:val="20"/>
          <w:szCs w:val="20"/>
          <w:color w:val="auto"/>
        </w:rPr>
      </w:pPr>
    </w:p>
    <w:p>
      <w:pPr>
        <w:ind w:left="860" w:right="920"/>
        <w:spacing w:after="0" w:line="260" w:lineRule="auto"/>
        <w:rPr>
          <w:sz w:val="20"/>
          <w:szCs w:val="20"/>
          <w:color w:val="auto"/>
        </w:rPr>
      </w:pPr>
      <w:r>
        <w:rPr>
          <w:rFonts w:ascii="Arial" w:cs="Arial" w:eastAsia="Arial" w:hAnsi="Arial"/>
          <w:sz w:val="16"/>
          <w:szCs w:val="16"/>
          <w:color w:val="0E2A35"/>
        </w:rPr>
        <w:t>The Board of Directors is authorized to establish one or more series of Preferred Stock, setting forth the designation of each such series, and fixing the relative rights and preferences of each such series.</w:t>
      </w:r>
    </w:p>
    <w:p>
      <w:pPr>
        <w:spacing w:after="0" w:line="155" w:lineRule="exact"/>
        <w:rPr>
          <w:sz w:val="20"/>
          <w:szCs w:val="20"/>
          <w:color w:val="auto"/>
        </w:rPr>
      </w:pPr>
    </w:p>
    <w:p>
      <w:pPr>
        <w:jc w:val="both"/>
        <w:ind w:left="860" w:right="980"/>
        <w:spacing w:after="0" w:line="253" w:lineRule="auto"/>
        <w:rPr>
          <w:sz w:val="20"/>
          <w:szCs w:val="20"/>
          <w:color w:val="auto"/>
        </w:rPr>
      </w:pPr>
      <w:r>
        <w:rPr>
          <w:rFonts w:ascii="Arial" w:cs="Arial" w:eastAsia="Arial" w:hAnsi="Arial"/>
          <w:sz w:val="16"/>
          <w:szCs w:val="16"/>
          <w:color w:val="0E2A35"/>
        </w:rPr>
        <w:t>Each holder of record of Common Stock shall be entitled to one vote for each share of Common Stock held by such shareholder on every matter voted on at every meeting of shareholders of the corporation. No holder of shares of stock of any class or series shall be entitled to cumulate his/her votes in any election of directors.</w:t>
      </w:r>
    </w:p>
    <w:p>
      <w:pPr>
        <w:spacing w:after="0" w:line="161" w:lineRule="exact"/>
        <w:rPr>
          <w:sz w:val="20"/>
          <w:szCs w:val="20"/>
          <w:color w:val="auto"/>
        </w:rPr>
      </w:pPr>
    </w:p>
    <w:p>
      <w:pPr>
        <w:ind w:left="860" w:right="960"/>
        <w:spacing w:after="0" w:line="251" w:lineRule="auto"/>
        <w:rPr>
          <w:sz w:val="20"/>
          <w:szCs w:val="20"/>
          <w:color w:val="auto"/>
        </w:rPr>
      </w:pPr>
      <w:r>
        <w:rPr>
          <w:rFonts w:ascii="Arial" w:cs="Arial" w:eastAsia="Arial" w:hAnsi="Arial"/>
          <w:sz w:val="16"/>
          <w:szCs w:val="16"/>
          <w:color w:val="0E2A35"/>
        </w:rPr>
        <w:t>No holder of shares of stock of any class or series shall be entitled as such, as a matter of right, to subscribe for or purchase any part of any new or additional issue of shares of stock of any class or series whatsoever or of any securities convertible into or exchangeable for any shares of stock of any class or series whatsoever, whether now or hereafter authorized or issued for cash or other consideration.</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III</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THE REGISTERED OFFICE</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The address of the registered office of the Corporation shall be 13200 Pioneer Trail, Suite 150, Eden Prairie, MN 55347.</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IV</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DIRECTORS</w:t>
      </w:r>
    </w:p>
    <w:p>
      <w:pPr>
        <w:spacing w:after="0" w:line="174" w:lineRule="exact"/>
        <w:rPr>
          <w:sz w:val="20"/>
          <w:szCs w:val="20"/>
          <w:color w:val="auto"/>
        </w:rPr>
      </w:pPr>
    </w:p>
    <w:p>
      <w:pPr>
        <w:ind w:left="860" w:right="1220"/>
        <w:spacing w:after="0" w:line="260" w:lineRule="auto"/>
        <w:rPr>
          <w:sz w:val="20"/>
          <w:szCs w:val="20"/>
          <w:color w:val="auto"/>
        </w:rPr>
      </w:pPr>
      <w:r>
        <w:rPr>
          <w:rFonts w:ascii="Arial" w:cs="Arial" w:eastAsia="Arial" w:hAnsi="Arial"/>
          <w:sz w:val="16"/>
          <w:szCs w:val="16"/>
          <w:color w:val="0E2A35"/>
        </w:rPr>
        <w:t>The number of directors constituting the Board of Directors of the Corporation shall be not more than fifteen (15) and not less than three (3), the precise number to be determined by resolution of the Board of Directors from time to time.</w:t>
      </w:r>
    </w:p>
    <w:p>
      <w:pPr>
        <w:spacing w:after="0" w:line="168" w:lineRule="exact"/>
        <w:rPr>
          <w:sz w:val="20"/>
          <w:szCs w:val="20"/>
          <w:color w:val="auto"/>
        </w:rPr>
      </w:pPr>
    </w:p>
    <w:p>
      <w:pPr>
        <w:ind w:left="860" w:right="920"/>
        <w:spacing w:after="0" w:line="248" w:lineRule="auto"/>
        <w:rPr>
          <w:sz w:val="20"/>
          <w:szCs w:val="20"/>
          <w:color w:val="auto"/>
        </w:rPr>
      </w:pPr>
      <w:r>
        <w:rPr>
          <w:rFonts w:ascii="Arial" w:cs="Arial" w:eastAsia="Arial" w:hAnsi="Arial"/>
          <w:sz w:val="16"/>
          <w:szCs w:val="16"/>
          <w:color w:val="0E2A35"/>
        </w:rPr>
        <w:t>The directors shall be classified, with respect to the time for which they severally hold office, into three classes, as nearly equal in number as possible, with each class holding office for a term of three years, and with the respective members of each class to hold office until their respective successors are elected and qualified. At each annual meeting of shareholders, the successors to the class of directors whose term then expires shall be elected to serve a three-year term and until their successors are duly elected and qualified. No decrease in the number of directors shall have the effect of shortening the term of any incumbent director. Any increase or decrease in the number of directors shall be apportioned among the classes so as to make all classes as nearly equal in number as possible.</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Shareholders may remove directors only for cause.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B-1</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4" w:name="page95"/>
    <w:bookmarkEnd w:id="9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20"/>
        <w:spacing w:after="0" w:line="251" w:lineRule="auto"/>
        <w:rPr>
          <w:sz w:val="20"/>
          <w:szCs w:val="20"/>
          <w:color w:val="auto"/>
        </w:rPr>
      </w:pPr>
      <w:r>
        <w:rPr>
          <w:rFonts w:ascii="Arial" w:cs="Arial" w:eastAsia="Arial" w:hAnsi="Arial"/>
          <w:sz w:val="16"/>
          <w:szCs w:val="16"/>
          <w:color w:val="0E2A35"/>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IV or any provision hereof at any annual or special meeting of shareholders.</w:t>
      </w: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284752"/>
        </w:rPr>
        <w:t>Article V</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WRITTEN ACTION BY THE BOARD OF DIRECTORS</w:t>
      </w:r>
    </w:p>
    <w:p>
      <w:pPr>
        <w:spacing w:after="0" w:line="187" w:lineRule="exact"/>
        <w:rPr>
          <w:sz w:val="20"/>
          <w:szCs w:val="20"/>
          <w:color w:val="auto"/>
        </w:rPr>
      </w:pPr>
    </w:p>
    <w:p>
      <w:pPr>
        <w:ind w:left="860" w:right="880"/>
        <w:spacing w:after="0" w:line="253" w:lineRule="auto"/>
        <w:rPr>
          <w:sz w:val="20"/>
          <w:szCs w:val="20"/>
          <w:color w:val="auto"/>
        </w:rPr>
      </w:pPr>
      <w:r>
        <w:rPr>
          <w:rFonts w:ascii="Arial" w:cs="Arial" w:eastAsia="Arial" w:hAnsi="Arial"/>
          <w:sz w:val="16"/>
          <w:szCs w:val="16"/>
          <w:color w:val="0E2A35"/>
        </w:rPr>
        <w:t>Any action required or permitted to be taken at a meeting of the Board of Directors of the Corporation not needing approval by the shareholders under Chapter 302A of the Minnesota Statutes may be taken by written action signed by the number of directors that would be required to take such action at a meeting of the Board of Directors at which all directors are present.</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284752"/>
        </w:rPr>
        <w:t>Article VI</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CONTROL SHARE ACQUISITION STATUTE NOT APPLICABLE</w:t>
      </w:r>
    </w:p>
    <w:p>
      <w:pPr>
        <w:spacing w:after="0" w:line="174" w:lineRule="exact"/>
        <w:rPr>
          <w:sz w:val="20"/>
          <w:szCs w:val="20"/>
          <w:color w:val="auto"/>
        </w:rPr>
      </w:pPr>
    </w:p>
    <w:p>
      <w:pPr>
        <w:ind w:left="860" w:right="1080"/>
        <w:spacing w:after="0" w:line="250" w:lineRule="auto"/>
        <w:rPr>
          <w:sz w:val="20"/>
          <w:szCs w:val="20"/>
          <w:color w:val="auto"/>
        </w:rPr>
      </w:pPr>
      <w:r>
        <w:rPr>
          <w:rFonts w:ascii="Arial" w:cs="Arial" w:eastAsia="Arial" w:hAnsi="Arial"/>
          <w:sz w:val="16"/>
          <w:szCs w:val="16"/>
          <w:color w:val="0E2A35"/>
        </w:rPr>
        <w:t>Neither Section 302A.671 of the Minnesota Statutes nor any successor statute thereto shall apply to, or govern in any manner, the Corporation or any control share acquisition of shares of capital stock of the Corporation or limit in any respect the voting or other rights of any existing or future shareholder of the Corporation or entitle the Corporation or its shareholders to any redemption or other rights with respect to outstanding capital stock of the Corporation that the Corporation or its shareholders would not have in the absence of Section 302A.671 of the Minnesota Statutes or any successor statute thereto.</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VII</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0E2A35"/>
        </w:rPr>
        <w:t>NON-LIABILITY</w:t>
      </w:r>
    </w:p>
    <w:p>
      <w:pPr>
        <w:spacing w:after="0" w:line="174"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color w:val="0E2A35"/>
        </w:rPr>
        <w:t>To the full extent that Chapter 302A of the Minnesota Statutes, as it exists on the effective date of this Article VII or may hereafter be amended, permits the limitation or elimination of the liability of directors, a director of the Corporation shall not be liable to the Corporation or its shareholders for monetary damages for breach of fiduciary duty as a director. Any amendment to or repeal of this Article VII shall not adversely affect any right or protection as a director of the Corporation for or with respect to any acts or omission of such director occurring prior to such amendment or repeal.</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B-2</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5" w:name="page96"/>
    <w:bookmarkEnd w:id="9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C</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Articles of Domestication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(An Iowa Corporation) to</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 Minnesota Corporation)</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Dated: [________, 2021]</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To the Secretary of State of the State of Iowa</w:t>
      </w:r>
    </w:p>
    <w:p>
      <w:pPr>
        <w:spacing w:after="0" w:line="194" w:lineRule="exact"/>
        <w:rPr>
          <w:sz w:val="20"/>
          <w:szCs w:val="20"/>
          <w:color w:val="auto"/>
        </w:rPr>
      </w:pPr>
    </w:p>
    <w:p>
      <w:pPr>
        <w:ind w:left="860" w:right="1720"/>
        <w:spacing w:after="0" w:line="260" w:lineRule="auto"/>
        <w:rPr>
          <w:sz w:val="20"/>
          <w:szCs w:val="20"/>
          <w:color w:val="auto"/>
        </w:rPr>
      </w:pPr>
      <w:r>
        <w:rPr>
          <w:rFonts w:ascii="Arial" w:cs="Arial" w:eastAsia="Arial" w:hAnsi="Arial"/>
          <w:sz w:val="16"/>
          <w:szCs w:val="16"/>
          <w:color w:val="0E2A35"/>
        </w:rPr>
        <w:t>Pursuant to Sections 490.920 and 490.922 of the Iowa Business Corporation Act, Winnebago Industries, Inc., an Iowa Corporation (the “Domesticating Corporation”), adopts these Articles of Domestication and states:</w:t>
      </w:r>
    </w:p>
    <w:p>
      <w:pPr>
        <w:spacing w:after="0" w:line="155" w:lineRule="exact"/>
        <w:rPr>
          <w:sz w:val="20"/>
          <w:szCs w:val="20"/>
          <w:color w:val="auto"/>
        </w:rPr>
      </w:pPr>
    </w:p>
    <w:p>
      <w:pPr>
        <w:ind w:left="1580" w:right="1040" w:hanging="360"/>
        <w:spacing w:after="0" w:line="260" w:lineRule="auto"/>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 name of the Domesticating Corporation is Winnebago Industries, Inc., and its jurisdiction of formation is the State of Iowa.</w:t>
      </w:r>
    </w:p>
    <w:p>
      <w:pPr>
        <w:spacing w:after="0" w:line="154" w:lineRule="exact"/>
        <w:rPr>
          <w:rFonts w:ascii="Arial" w:cs="Arial" w:eastAsia="Arial" w:hAnsi="Arial"/>
          <w:sz w:val="16"/>
          <w:szCs w:val="16"/>
          <w:color w:val="0E2A35"/>
        </w:rPr>
      </w:pPr>
    </w:p>
    <w:p>
      <w:pPr>
        <w:ind w:left="1580" w:right="960" w:hanging="360"/>
        <w:spacing w:after="0" w:line="260" w:lineRule="auto"/>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 name of the domesticated corporation is Winnebago Industries, Inc., and its jurisdiction of formation is the State of Minnesota.</w:t>
      </w:r>
    </w:p>
    <w:p>
      <w:pPr>
        <w:spacing w:after="0" w:line="168" w:lineRule="exact"/>
        <w:rPr>
          <w:rFonts w:ascii="Arial" w:cs="Arial" w:eastAsia="Arial" w:hAnsi="Arial"/>
          <w:sz w:val="16"/>
          <w:szCs w:val="16"/>
          <w:color w:val="0E2A35"/>
        </w:rPr>
      </w:pPr>
    </w:p>
    <w:p>
      <w:pPr>
        <w:ind w:left="1580" w:hanging="360"/>
        <w:spacing w:after="0"/>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 domestication has been approved pursuant to Sections 490.920-490.924 of the Iowa Business Corporation Act.</w:t>
      </w:r>
    </w:p>
    <w:p>
      <w:pPr>
        <w:spacing w:after="0" w:line="180" w:lineRule="exact"/>
        <w:rPr>
          <w:rFonts w:ascii="Arial" w:cs="Arial" w:eastAsia="Arial" w:hAnsi="Arial"/>
          <w:sz w:val="16"/>
          <w:szCs w:val="16"/>
          <w:color w:val="0E2A35"/>
        </w:rPr>
      </w:pPr>
    </w:p>
    <w:p>
      <w:pPr>
        <w:ind w:left="1580" w:hanging="360"/>
        <w:spacing w:after="0"/>
        <w:tabs>
          <w:tab w:leader="none" w:pos="1580" w:val="left"/>
        </w:tabs>
        <w:numPr>
          <w:ilvl w:val="0"/>
          <w:numId w:val="73"/>
        </w:numPr>
        <w:rPr>
          <w:rFonts w:ascii="Arial" w:cs="Arial" w:eastAsia="Arial" w:hAnsi="Arial"/>
          <w:sz w:val="16"/>
          <w:szCs w:val="16"/>
          <w:color w:val="0E2A35"/>
        </w:rPr>
      </w:pPr>
      <w:r>
        <w:rPr>
          <w:rFonts w:ascii="Arial" w:cs="Arial" w:eastAsia="Arial" w:hAnsi="Arial"/>
          <w:sz w:val="16"/>
          <w:szCs w:val="16"/>
          <w:color w:val="0E2A35"/>
        </w:rPr>
        <w:t>These Articles of Domestication shall be effective at 12:01 a.m. (Central Time) on January 1, 2022.</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C-1</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6" w:name="page97"/>
    <w:bookmarkEnd w:id="96"/>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940"/>
        <w:spacing w:after="0" w:line="260" w:lineRule="auto"/>
        <w:rPr>
          <w:sz w:val="20"/>
          <w:szCs w:val="20"/>
          <w:color w:val="auto"/>
        </w:rPr>
      </w:pPr>
      <w:r>
        <w:rPr>
          <w:rFonts w:ascii="Arial" w:cs="Arial" w:eastAsia="Arial" w:hAnsi="Arial"/>
          <w:sz w:val="16"/>
          <w:szCs w:val="16"/>
          <w:color w:val="0E2A35"/>
        </w:rPr>
        <w:t>IN WITNESS WHEREOF, the undersigned officer of the Domesticating Corporation has executed these Articles of Domestication as of the date first written above.</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0E2A35"/>
        </w:rPr>
        <w:t>WINNEBAGO INDUSTRIES, INC.</w:t>
      </w:r>
    </w:p>
    <w:p>
      <w:pPr>
        <w:spacing w:after="0" w:line="200" w:lineRule="exact"/>
        <w:rPr>
          <w:sz w:val="20"/>
          <w:szCs w:val="20"/>
          <w:color w:val="auto"/>
        </w:rPr>
      </w:pPr>
    </w:p>
    <w:p>
      <w:pPr>
        <w:spacing w:after="0" w:line="23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0E2A35"/>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31750</wp:posOffset>
            </wp:positionV>
            <wp:extent cx="29146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7"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Name:</w:t>
        <w:tab/>
        <w:t>Stacy L. Bogart</w:t>
      </w:r>
    </w:p>
    <w:p>
      <w:pPr>
        <w:spacing w:after="0" w:line="104"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Title:</w:t>
      </w:r>
      <w:r>
        <w:rPr>
          <w:sz w:val="20"/>
          <w:szCs w:val="20"/>
          <w:color w:val="auto"/>
        </w:rPr>
        <w:tab/>
      </w:r>
      <w:r>
        <w:rPr>
          <w:rFonts w:ascii="Arial" w:cs="Arial" w:eastAsia="Arial" w:hAnsi="Arial"/>
          <w:sz w:val="18"/>
          <w:szCs w:val="18"/>
          <w:color w:val="0E2A35"/>
        </w:rPr>
        <w:t>Secretary</w:t>
      </w:r>
    </w:p>
    <w:p>
      <w:pPr>
        <w:spacing w:after="0" w:line="104"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Date:</w:t>
      </w:r>
      <w:r>
        <w:rPr>
          <w:sz w:val="20"/>
          <w:szCs w:val="20"/>
          <w:color w:val="auto"/>
        </w:rPr>
        <w:tab/>
      </w:r>
      <w:r>
        <w:rPr>
          <w:rFonts w:ascii="Arial" w:cs="Arial" w:eastAsia="Arial" w:hAnsi="Arial"/>
          <w:sz w:val="18"/>
          <w:szCs w:val="18"/>
          <w:color w:val="0E2A35"/>
        </w:rPr>
        <w:t>December [•],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C-2</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7" w:name="page98"/>
    <w:bookmarkEnd w:id="97"/>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D</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Plan of Reincorporation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84" w:lineRule="exact"/>
        <w:rPr>
          <w:sz w:val="20"/>
          <w:szCs w:val="20"/>
          <w:color w:val="auto"/>
        </w:rPr>
      </w:pPr>
    </w:p>
    <w:p>
      <w:pPr>
        <w:ind w:left="860" w:right="1420"/>
        <w:spacing w:after="0" w:line="260" w:lineRule="auto"/>
        <w:rPr>
          <w:sz w:val="20"/>
          <w:szCs w:val="20"/>
          <w:color w:val="auto"/>
        </w:rPr>
      </w:pPr>
      <w:r>
        <w:rPr>
          <w:rFonts w:ascii="Arial" w:cs="Arial" w:eastAsia="Arial" w:hAnsi="Arial"/>
          <w:sz w:val="16"/>
          <w:szCs w:val="16"/>
          <w:color w:val="0E2A35"/>
        </w:rPr>
        <w:t>This Plan of Reincorporation is adopted by Winnebago Industries, Inc., an Iowa corporation (the “</w:t>
      </w:r>
      <w:r>
        <w:rPr>
          <w:rFonts w:ascii="Arial" w:cs="Arial" w:eastAsia="Arial" w:hAnsi="Arial"/>
          <w:sz w:val="16"/>
          <w:szCs w:val="16"/>
          <w:u w:val="single" w:color="auto"/>
          <w:color w:val="0E2A35"/>
        </w:rPr>
        <w:t>Company</w:t>
      </w:r>
      <w:r>
        <w:rPr>
          <w:rFonts w:ascii="Arial" w:cs="Arial" w:eastAsia="Arial" w:hAnsi="Arial"/>
          <w:sz w:val="16"/>
          <w:szCs w:val="16"/>
          <w:color w:val="0E2A35"/>
        </w:rPr>
        <w:t>”), on and as of October 13, 2021.</w:t>
      </w:r>
    </w:p>
    <w:p>
      <w:pPr>
        <w:spacing w:after="0" w:line="155" w:lineRule="exact"/>
        <w:rPr>
          <w:sz w:val="20"/>
          <w:szCs w:val="20"/>
          <w:color w:val="auto"/>
        </w:rPr>
      </w:pPr>
    </w:p>
    <w:p>
      <w:pPr>
        <w:ind w:left="860" w:right="1080"/>
        <w:spacing w:after="0" w:line="250" w:lineRule="auto"/>
        <w:rPr>
          <w:sz w:val="20"/>
          <w:szCs w:val="20"/>
          <w:color w:val="auto"/>
        </w:rPr>
      </w:pPr>
      <w:r>
        <w:rPr>
          <w:rFonts w:ascii="Arial" w:cs="Arial" w:eastAsia="Arial" w:hAnsi="Arial"/>
          <w:sz w:val="16"/>
          <w:szCs w:val="16"/>
          <w:color w:val="0E2A35"/>
        </w:rPr>
        <w:t>WHEREAS, the board of directors of the Company has determined that it is advisable and in the best interests of the Company and its shareholders to effect a reincorporation of the Company from an Iowa corporation to a Minnesota corporation named Winnebago Industries, Inc. (the “</w:t>
      </w:r>
      <w:r>
        <w:rPr>
          <w:rFonts w:ascii="Arial" w:cs="Arial" w:eastAsia="Arial" w:hAnsi="Arial"/>
          <w:sz w:val="16"/>
          <w:szCs w:val="16"/>
          <w:u w:val="single" w:color="auto"/>
          <w:color w:val="0E2A35"/>
        </w:rPr>
        <w:t>Minnesota Company</w:t>
      </w:r>
      <w:r>
        <w:rPr>
          <w:rFonts w:ascii="Arial" w:cs="Arial" w:eastAsia="Arial" w:hAnsi="Arial"/>
          <w:sz w:val="16"/>
          <w:szCs w:val="16"/>
          <w:color w:val="0E2A35"/>
        </w:rPr>
        <w:t>”) in a single transaction (the “</w:t>
      </w:r>
      <w:r>
        <w:rPr>
          <w:rFonts w:ascii="Arial" w:cs="Arial" w:eastAsia="Arial" w:hAnsi="Arial"/>
          <w:sz w:val="16"/>
          <w:szCs w:val="16"/>
          <w:u w:val="single" w:color="auto"/>
          <w:color w:val="0E2A35"/>
        </w:rPr>
        <w:t>Reincorporation</w:t>
      </w:r>
      <w:r>
        <w:rPr>
          <w:rFonts w:ascii="Arial" w:cs="Arial" w:eastAsia="Arial" w:hAnsi="Arial"/>
          <w:sz w:val="16"/>
          <w:szCs w:val="16"/>
          <w:color w:val="0E2A35"/>
        </w:rPr>
        <w:t>”) composed of (i) a domestication of the Company into the Minnesota Company pursuant to Sections 490.920-922 of the Iowa Code and (ii) a conversion of the Company into the Minnesota Company pursuant to Section 302A.682 of the Minnesota Statutes.</w:t>
      </w:r>
    </w:p>
    <w:p>
      <w:pPr>
        <w:spacing w:after="0" w:line="176" w:lineRule="exact"/>
        <w:rPr>
          <w:sz w:val="20"/>
          <w:szCs w:val="20"/>
          <w:color w:val="auto"/>
        </w:rPr>
      </w:pPr>
    </w:p>
    <w:p>
      <w:pPr>
        <w:ind w:left="860" w:right="1100"/>
        <w:spacing w:after="0" w:line="260" w:lineRule="auto"/>
        <w:rPr>
          <w:sz w:val="20"/>
          <w:szCs w:val="20"/>
          <w:color w:val="auto"/>
        </w:rPr>
      </w:pPr>
      <w:r>
        <w:rPr>
          <w:rFonts w:ascii="Arial" w:cs="Arial" w:eastAsia="Arial" w:hAnsi="Arial"/>
          <w:sz w:val="16"/>
          <w:szCs w:val="16"/>
          <w:color w:val="0E2A35"/>
        </w:rPr>
        <w:t>WHEREAS, for purposes of Chapter 490 of the Iowa Code, the Company is the “domesticating corporation” and the Minnesota Company is the “domesticated corporation.”</w:t>
      </w:r>
    </w:p>
    <w:p>
      <w:pPr>
        <w:spacing w:after="0" w:line="155" w:lineRule="exact"/>
        <w:rPr>
          <w:sz w:val="20"/>
          <w:szCs w:val="20"/>
          <w:color w:val="auto"/>
        </w:rPr>
      </w:pPr>
    </w:p>
    <w:p>
      <w:pPr>
        <w:ind w:left="860" w:right="1340"/>
        <w:spacing w:after="0" w:line="260" w:lineRule="auto"/>
        <w:rPr>
          <w:sz w:val="20"/>
          <w:szCs w:val="20"/>
          <w:color w:val="auto"/>
        </w:rPr>
      </w:pPr>
      <w:r>
        <w:rPr>
          <w:rFonts w:ascii="Arial" w:cs="Arial" w:eastAsia="Arial" w:hAnsi="Arial"/>
          <w:sz w:val="16"/>
          <w:szCs w:val="16"/>
          <w:color w:val="0E2A35"/>
        </w:rPr>
        <w:t>WHEREAS, for purposes of Chapter 302A of the Minnesota Statutes, the Company is the “converting organization” and the Minnesota Company is the “converted organization.”</w:t>
      </w:r>
    </w:p>
    <w:p>
      <w:pPr>
        <w:spacing w:after="0" w:line="155" w:lineRule="exact"/>
        <w:rPr>
          <w:sz w:val="20"/>
          <w:szCs w:val="20"/>
          <w:color w:val="auto"/>
        </w:rPr>
      </w:pPr>
    </w:p>
    <w:p>
      <w:pPr>
        <w:ind w:left="860" w:right="920"/>
        <w:spacing w:after="0" w:line="250" w:lineRule="auto"/>
        <w:rPr>
          <w:sz w:val="20"/>
          <w:szCs w:val="20"/>
          <w:color w:val="auto"/>
        </w:rPr>
      </w:pPr>
      <w:r>
        <w:rPr>
          <w:rFonts w:ascii="Arial" w:cs="Arial" w:eastAsia="Arial" w:hAnsi="Arial"/>
          <w:sz w:val="16"/>
          <w:szCs w:val="16"/>
          <w:color w:val="0E2A35"/>
        </w:rPr>
        <w:t>WHEREAS, in order to effect the Reincorporation, the board of directors of the Company has approved this Plan of Reincorporation, which plan constitutes (i) a plan of domestication under Section 490.920 of the Iowa Code and (ii) a plan of conversion under Section 302A.682 of the Minnesota Statutes, and has directed that this Plan of Reincorporation be submitted to the shareholders of the Company for approval, together with the recommendation of the board of directors that the shareholders approve the same.</w:t>
      </w:r>
    </w:p>
    <w:p>
      <w:pPr>
        <w:spacing w:after="0" w:line="176" w:lineRule="exact"/>
        <w:rPr>
          <w:sz w:val="20"/>
          <w:szCs w:val="20"/>
          <w:color w:val="auto"/>
        </w:rPr>
      </w:pPr>
    </w:p>
    <w:p>
      <w:pPr>
        <w:ind w:left="1580" w:right="1380" w:hanging="360"/>
        <w:spacing w:after="0" w:line="260"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Domestication</w:t>
      </w:r>
      <w:r>
        <w:rPr>
          <w:rFonts w:ascii="Arial" w:cs="Arial" w:eastAsia="Arial" w:hAnsi="Arial"/>
          <w:sz w:val="16"/>
          <w:szCs w:val="16"/>
          <w:color w:val="0E2A35"/>
        </w:rPr>
        <w:t>. Pursuant to Sections 490.920-922 of the Iowa Code, the Company shall be domesticated into the Minnesota Company.</w:t>
      </w:r>
    </w:p>
    <w:p>
      <w:pPr>
        <w:spacing w:after="0" w:line="154" w:lineRule="exact"/>
        <w:rPr>
          <w:rFonts w:ascii="Arial" w:cs="Arial" w:eastAsia="Arial" w:hAnsi="Arial"/>
          <w:sz w:val="16"/>
          <w:szCs w:val="16"/>
          <w:color w:val="0E2A35"/>
        </w:rPr>
      </w:pPr>
    </w:p>
    <w:p>
      <w:pPr>
        <w:ind w:left="1580" w:right="1260" w:hanging="360"/>
        <w:spacing w:after="0" w:line="253"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Conversion</w:t>
      </w:r>
      <w:r>
        <w:rPr>
          <w:rFonts w:ascii="Arial" w:cs="Arial" w:eastAsia="Arial" w:hAnsi="Arial"/>
          <w:sz w:val="16"/>
          <w:szCs w:val="16"/>
          <w:color w:val="0E2A35"/>
        </w:rPr>
        <w:t>. Pursuant to Section 302A.682 of the Minnesota Statutes, the Company shall be converted into the Minnesota Company. The Minnesota Company shall be a corporation governed by Chapter 302A of the Minnesota Statutes.</w:t>
      </w:r>
    </w:p>
    <w:p>
      <w:pPr>
        <w:spacing w:after="0" w:line="160" w:lineRule="exact"/>
        <w:rPr>
          <w:rFonts w:ascii="Arial" w:cs="Arial" w:eastAsia="Arial" w:hAnsi="Arial"/>
          <w:sz w:val="16"/>
          <w:szCs w:val="16"/>
          <w:color w:val="0E2A35"/>
        </w:rPr>
      </w:pPr>
    </w:p>
    <w:p>
      <w:pPr>
        <w:ind w:left="1580" w:right="1080" w:hanging="360"/>
        <w:spacing w:after="0" w:line="260"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Effective Time</w:t>
      </w:r>
      <w:r>
        <w:rPr>
          <w:rFonts w:ascii="Arial" w:cs="Arial" w:eastAsia="Arial" w:hAnsi="Arial"/>
          <w:sz w:val="16"/>
          <w:szCs w:val="16"/>
          <w:color w:val="0E2A35"/>
        </w:rPr>
        <w:t>. The Reincorporation shall be effective at 12:01 a.m. (Central Time) on January 1, 2022 (the “</w:t>
      </w:r>
      <w:r>
        <w:rPr>
          <w:rFonts w:ascii="Arial" w:cs="Arial" w:eastAsia="Arial" w:hAnsi="Arial"/>
          <w:sz w:val="16"/>
          <w:szCs w:val="16"/>
          <w:u w:val="single" w:color="auto"/>
          <w:color w:val="0E2A35"/>
        </w:rPr>
        <w:t>Effective</w:t>
      </w:r>
      <w:r>
        <w:rPr>
          <w:rFonts w:ascii="Arial" w:cs="Arial" w:eastAsia="Arial" w:hAnsi="Arial"/>
          <w:sz w:val="16"/>
          <w:szCs w:val="16"/>
          <w:color w:val="0E2A35"/>
        </w:rPr>
        <w:t xml:space="preserve"> </w:t>
      </w:r>
      <w:r>
        <w:rPr>
          <w:rFonts w:ascii="Arial" w:cs="Arial" w:eastAsia="Arial" w:hAnsi="Arial"/>
          <w:sz w:val="16"/>
          <w:szCs w:val="16"/>
          <w:u w:val="single" w:color="auto"/>
          <w:color w:val="0E2A35"/>
        </w:rPr>
        <w:t>Time</w:t>
      </w:r>
      <w:r>
        <w:rPr>
          <w:rFonts w:ascii="Arial" w:cs="Arial" w:eastAsia="Arial" w:hAnsi="Arial"/>
          <w:sz w:val="16"/>
          <w:szCs w:val="16"/>
          <w:color w:val="0E2A35"/>
        </w:rPr>
        <w:t>”).</w:t>
      </w:r>
    </w:p>
    <w:p>
      <w:pPr>
        <w:spacing w:after="0" w:line="168" w:lineRule="exact"/>
        <w:rPr>
          <w:rFonts w:ascii="Arial" w:cs="Arial" w:eastAsia="Arial" w:hAnsi="Arial"/>
          <w:sz w:val="16"/>
          <w:szCs w:val="16"/>
          <w:color w:val="0E2A35"/>
        </w:rPr>
      </w:pPr>
    </w:p>
    <w:p>
      <w:pPr>
        <w:ind w:left="1580" w:right="1000" w:hanging="360"/>
        <w:spacing w:after="0" w:line="251"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Reclassification and Conversion of Capital Stock</w:t>
      </w:r>
      <w:r>
        <w:rPr>
          <w:rFonts w:ascii="Arial" w:cs="Arial" w:eastAsia="Arial" w:hAnsi="Arial"/>
          <w:sz w:val="16"/>
          <w:szCs w:val="16"/>
          <w:color w:val="0E2A35"/>
        </w:rPr>
        <w:t>. At the Effective Time, each share of common stock of the Company, par value $0.50 per share, shall, by virtue of the Reincorporation and without any action on the part of any holder thereof, be reclassified and converted into one share of common stock, par value $0.50 per share, of the Minnesota Company.</w:t>
      </w:r>
    </w:p>
    <w:p>
      <w:pPr>
        <w:spacing w:after="0" w:line="161" w:lineRule="exact"/>
        <w:rPr>
          <w:rFonts w:ascii="Arial" w:cs="Arial" w:eastAsia="Arial" w:hAnsi="Arial"/>
          <w:sz w:val="16"/>
          <w:szCs w:val="16"/>
          <w:color w:val="0E2A35"/>
        </w:rPr>
      </w:pPr>
    </w:p>
    <w:p>
      <w:pPr>
        <w:ind w:left="1580" w:right="1460" w:hanging="360"/>
        <w:spacing w:after="0" w:line="253"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Organizational Documents</w:t>
      </w:r>
      <w:r>
        <w:rPr>
          <w:rFonts w:ascii="Arial" w:cs="Arial" w:eastAsia="Arial" w:hAnsi="Arial"/>
          <w:sz w:val="16"/>
          <w:szCs w:val="16"/>
          <w:color w:val="0E2A35"/>
        </w:rPr>
        <w:t xml:space="preserve">. The articles of incorporation attached as </w:t>
      </w:r>
      <w:r>
        <w:rPr>
          <w:rFonts w:ascii="Arial" w:cs="Arial" w:eastAsia="Arial" w:hAnsi="Arial"/>
          <w:sz w:val="16"/>
          <w:szCs w:val="16"/>
          <w:u w:val="single" w:color="auto"/>
          <w:color w:val="0E2A35"/>
        </w:rPr>
        <w:t>Annex A</w:t>
      </w:r>
      <w:r>
        <w:rPr>
          <w:rFonts w:ascii="Arial" w:cs="Arial" w:eastAsia="Arial" w:hAnsi="Arial"/>
          <w:sz w:val="16"/>
          <w:szCs w:val="16"/>
          <w:color w:val="0E2A35"/>
        </w:rPr>
        <w:t xml:space="preserve"> hereto shall be the articles of incorporation of the Minnesota Company, and the bylaws attached as </w:t>
      </w:r>
      <w:r>
        <w:rPr>
          <w:rFonts w:ascii="Arial" w:cs="Arial" w:eastAsia="Arial" w:hAnsi="Arial"/>
          <w:sz w:val="16"/>
          <w:szCs w:val="16"/>
          <w:u w:val="single" w:color="auto"/>
          <w:color w:val="0E2A35"/>
        </w:rPr>
        <w:t>Annex B</w:t>
      </w:r>
      <w:r>
        <w:rPr>
          <w:rFonts w:ascii="Arial" w:cs="Arial" w:eastAsia="Arial" w:hAnsi="Arial"/>
          <w:sz w:val="16"/>
          <w:szCs w:val="16"/>
          <w:color w:val="0E2A35"/>
        </w:rPr>
        <w:t xml:space="preserve"> hereto shall be the bylaws of the Minnesota Company.</w:t>
      </w:r>
    </w:p>
    <w:p>
      <w:pPr>
        <w:spacing w:after="0" w:line="160" w:lineRule="exact"/>
        <w:rPr>
          <w:rFonts w:ascii="Arial" w:cs="Arial" w:eastAsia="Arial" w:hAnsi="Arial"/>
          <w:sz w:val="16"/>
          <w:szCs w:val="16"/>
          <w:color w:val="0E2A35"/>
        </w:rPr>
      </w:pPr>
    </w:p>
    <w:p>
      <w:pPr>
        <w:ind w:left="1580" w:right="1060" w:hanging="360"/>
        <w:spacing w:after="0" w:line="253"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Articles of Domestication</w:t>
      </w:r>
      <w:r>
        <w:rPr>
          <w:rFonts w:ascii="Arial" w:cs="Arial" w:eastAsia="Arial" w:hAnsi="Arial"/>
          <w:sz w:val="16"/>
          <w:szCs w:val="16"/>
          <w:color w:val="0E2A35"/>
        </w:rPr>
        <w:t>. In accordance with this Plan of Reincorporation and for the purposes of effecting the domestication under Iowa law, an officer of the Company shall file articles of domestication with the Iowa Secretary of State subject to and following approval of this Plan of Reincorporation by the shareholders of the Company.</w:t>
      </w:r>
    </w:p>
    <w:p>
      <w:pPr>
        <w:spacing w:after="0" w:line="174" w:lineRule="exact"/>
        <w:rPr>
          <w:rFonts w:ascii="Arial" w:cs="Arial" w:eastAsia="Arial" w:hAnsi="Arial"/>
          <w:sz w:val="16"/>
          <w:szCs w:val="16"/>
          <w:color w:val="0E2A35"/>
        </w:rPr>
      </w:pPr>
    </w:p>
    <w:p>
      <w:pPr>
        <w:ind w:left="1580" w:right="940" w:hanging="360"/>
        <w:spacing w:after="0" w:line="251" w:lineRule="auto"/>
        <w:tabs>
          <w:tab w:leader="none" w:pos="1580" w:val="left"/>
        </w:tabs>
        <w:numPr>
          <w:ilvl w:val="0"/>
          <w:numId w:val="74"/>
        </w:numPr>
        <w:rPr>
          <w:rFonts w:ascii="Arial" w:cs="Arial" w:eastAsia="Arial" w:hAnsi="Arial"/>
          <w:sz w:val="16"/>
          <w:szCs w:val="16"/>
          <w:color w:val="0E2A35"/>
        </w:rPr>
      </w:pPr>
      <w:r>
        <w:rPr>
          <w:rFonts w:ascii="Arial" w:cs="Arial" w:eastAsia="Arial" w:hAnsi="Arial"/>
          <w:sz w:val="16"/>
          <w:szCs w:val="16"/>
          <w:u w:val="single" w:color="auto"/>
          <w:color w:val="0E2A35"/>
        </w:rPr>
        <w:t>Articles of Conversion</w:t>
      </w:r>
      <w:r>
        <w:rPr>
          <w:rFonts w:ascii="Arial" w:cs="Arial" w:eastAsia="Arial" w:hAnsi="Arial"/>
          <w:sz w:val="16"/>
          <w:szCs w:val="16"/>
          <w:color w:val="0E2A35"/>
        </w:rPr>
        <w:t>. In accordance with this Plan of Reincorporation and for the purposes of effecting the conversion under Minnesota law, an officer of the Company shall file articles of conversion, which articles shall contain a copy of this Plan of Reincorporation, with the Minnesota Secretary of State subject to and following approval of this Plan of Reincorporation by the shareholders of the Company.</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D-1</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8" w:name="page99"/>
    <w:bookmarkEnd w:id="98"/>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IN WITNESS WHEREOF, the undersigned has executed this Plan of Reincorporation on and as of the date first set forth above.</w:t>
      </w:r>
    </w:p>
    <w:p>
      <w:pPr>
        <w:spacing w:after="0" w:line="25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0E2A35"/>
        </w:rPr>
        <w:t>Winnebago Industries, Inc.</w:t>
      </w:r>
    </w:p>
    <w:p>
      <w:pPr>
        <w:spacing w:after="0" w:line="200" w:lineRule="exact"/>
        <w:rPr>
          <w:sz w:val="20"/>
          <w:szCs w:val="20"/>
          <w:color w:val="auto"/>
        </w:rPr>
      </w:pPr>
    </w:p>
    <w:p>
      <w:pPr>
        <w:spacing w:after="0" w:line="23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0E2A35"/>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31750</wp:posOffset>
            </wp:positionV>
            <wp:extent cx="29146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7"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Name:</w:t>
        <w:tab/>
        <w:t>Stacy L. Bogart</w:t>
      </w:r>
    </w:p>
    <w:p>
      <w:pPr>
        <w:spacing w:after="0" w:line="104"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8"/>
          <w:szCs w:val="18"/>
          <w:color w:val="0E2A35"/>
        </w:rPr>
        <w:t>Title:</w:t>
      </w:r>
      <w:r>
        <w:rPr>
          <w:sz w:val="20"/>
          <w:szCs w:val="20"/>
          <w:color w:val="auto"/>
        </w:rPr>
        <w:tab/>
      </w:r>
      <w:r>
        <w:rPr>
          <w:rFonts w:ascii="Arial" w:cs="Arial" w:eastAsia="Arial" w:hAnsi="Arial"/>
          <w:sz w:val="18"/>
          <w:szCs w:val="18"/>
          <w:color w:val="0E2A35"/>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E2A35"/>
        </w:rPr>
        <w:t>[Signature Page to Plan of Reincorporation]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20"/>
              <w:spacing w:after="0"/>
              <w:rPr>
                <w:sz w:val="20"/>
                <w:szCs w:val="20"/>
                <w:color w:val="auto"/>
              </w:rPr>
            </w:pPr>
            <w:r>
              <w:rPr>
                <w:rFonts w:ascii="Arial" w:cs="Arial" w:eastAsia="Arial" w:hAnsi="Arial"/>
                <w:sz w:val="13"/>
                <w:szCs w:val="13"/>
                <w:b w:val="1"/>
                <w:bCs w:val="1"/>
                <w:color w:val="0E2A35"/>
              </w:rPr>
              <w:t>D-2</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99" w:name="page100"/>
    <w:bookmarkEnd w:id="99"/>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880"/>
        <w:spacing w:after="0"/>
        <w:rPr>
          <w:sz w:val="20"/>
          <w:szCs w:val="20"/>
          <w:color w:val="auto"/>
        </w:rPr>
      </w:pPr>
      <w:r>
        <w:rPr>
          <w:rFonts w:ascii="Arial" w:cs="Arial" w:eastAsia="Arial" w:hAnsi="Arial"/>
          <w:sz w:val="16"/>
          <w:szCs w:val="16"/>
          <w:b w:val="1"/>
          <w:bCs w:val="1"/>
          <w:color w:val="0E2A35"/>
        </w:rPr>
        <w:t>Appendix E</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Bylaws of</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Winnebago Industries, Inc.</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32"/>
          <w:szCs w:val="32"/>
          <w:b w:val="1"/>
          <w:bCs w:val="1"/>
          <w:color w:val="0E2A35"/>
        </w:rPr>
        <w:t>(A Minnesota Corporation)</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Shareholders</w:t>
      </w:r>
    </w:p>
    <w:p>
      <w:pPr>
        <w:spacing w:after="0" w:line="158" w:lineRule="exact"/>
        <w:rPr>
          <w:sz w:val="20"/>
          <w:szCs w:val="20"/>
          <w:color w:val="auto"/>
        </w:rPr>
      </w:pPr>
    </w:p>
    <w:p>
      <w:pPr>
        <w:ind w:left="860" w:right="1060"/>
        <w:spacing w:after="0" w:line="263" w:lineRule="auto"/>
        <w:rPr>
          <w:sz w:val="20"/>
          <w:szCs w:val="20"/>
          <w:color w:val="auto"/>
        </w:rPr>
      </w:pPr>
      <w:r>
        <w:rPr>
          <w:rFonts w:ascii="Arial" w:cs="Arial" w:eastAsia="Arial" w:hAnsi="Arial"/>
          <w:sz w:val="16"/>
          <w:szCs w:val="16"/>
          <w:i w:val="1"/>
          <w:iCs w:val="1"/>
          <w:color w:val="0E2A35"/>
        </w:rPr>
        <w:t xml:space="preserve">Section 1.1. Regular Annual Meeting. </w:t>
      </w:r>
      <w:r>
        <w:rPr>
          <w:rFonts w:ascii="Arial" w:cs="Arial" w:eastAsia="Arial" w:hAnsi="Arial"/>
          <w:sz w:val="16"/>
          <w:szCs w:val="16"/>
          <w:color w:val="0E2A35"/>
        </w:rPr>
        <w:t>The regular annual meeting of the shareholders shall be held on such day each year as</w:t>
      </w:r>
      <w:r>
        <w:rPr>
          <w:rFonts w:ascii="Arial" w:cs="Arial" w:eastAsia="Arial" w:hAnsi="Arial"/>
          <w:sz w:val="16"/>
          <w:szCs w:val="16"/>
          <w:i w:val="1"/>
          <w:iCs w:val="1"/>
          <w:color w:val="0E2A35"/>
        </w:rPr>
        <w:t xml:space="preserve"> </w:t>
      </w:r>
      <w:r>
        <w:rPr>
          <w:rFonts w:ascii="Arial" w:cs="Arial" w:eastAsia="Arial" w:hAnsi="Arial"/>
          <w:sz w:val="16"/>
          <w:szCs w:val="16"/>
          <w:color w:val="0E2A35"/>
        </w:rPr>
        <w:t>may be designated by the Corporation’s Board of Directors (the “Board”), to be annually set by the Board for the purpose of electing directors and for the transaction of such other business as may come before the meeting.</w:t>
      </w:r>
    </w:p>
    <w:p>
      <w:pPr>
        <w:spacing w:after="0" w:line="151" w:lineRule="exact"/>
        <w:rPr>
          <w:sz w:val="20"/>
          <w:szCs w:val="20"/>
          <w:color w:val="auto"/>
        </w:rPr>
      </w:pPr>
    </w:p>
    <w:p>
      <w:pPr>
        <w:ind w:left="860" w:right="900"/>
        <w:spacing w:after="0" w:line="252" w:lineRule="auto"/>
        <w:rPr>
          <w:sz w:val="20"/>
          <w:szCs w:val="20"/>
          <w:color w:val="auto"/>
        </w:rPr>
      </w:pPr>
      <w:r>
        <w:rPr>
          <w:rFonts w:ascii="Arial" w:cs="Arial" w:eastAsia="Arial" w:hAnsi="Arial"/>
          <w:sz w:val="16"/>
          <w:szCs w:val="16"/>
          <w:i w:val="1"/>
          <w:iCs w:val="1"/>
          <w:color w:val="0E2A35"/>
        </w:rPr>
        <w:t xml:space="preserve">Section 1.2. Special Meetings. </w:t>
      </w:r>
      <w:r>
        <w:rPr>
          <w:rFonts w:ascii="Arial" w:cs="Arial" w:eastAsia="Arial" w:hAnsi="Arial"/>
          <w:sz w:val="16"/>
          <w:szCs w:val="16"/>
          <w:color w:val="0E2A35"/>
        </w:rPr>
        <w:t>Special meetings of the shareholders may be called for any purpose or purposes, at any time, by</w:t>
      </w:r>
      <w:r>
        <w:rPr>
          <w:rFonts w:ascii="Arial" w:cs="Arial" w:eastAsia="Arial" w:hAnsi="Arial"/>
          <w:sz w:val="16"/>
          <w:szCs w:val="16"/>
          <w:i w:val="1"/>
          <w:iCs w:val="1"/>
          <w:color w:val="0E2A35"/>
        </w:rPr>
        <w:t xml:space="preserve"> </w:t>
      </w:r>
      <w:r>
        <w:rPr>
          <w:rFonts w:ascii="Arial" w:cs="Arial" w:eastAsia="Arial" w:hAnsi="Arial"/>
          <w:sz w:val="16"/>
          <w:szCs w:val="16"/>
          <w:color w:val="0E2A35"/>
        </w:rPr>
        <w:t>the Chief Executive Officer; by the Chief Financial Officer; by the Board or any two or more members thereof; or by one or more shareholders holding not less than 10% of the voting power of all shares of the Corporation entitled to vote, except that a special meeting for the purpose of considering any action to directly or indirectly facilitate or effect a business combination, including any action to change or otherwise affect the composition of the Board for that purpose, must be called by 25% or more of the voting power of all shares of the Corporation entitled to vote. Written notice of any such demand for a special meeting shall be given to the Chief Executive Officer or the Chief Financial Officer specifying the purpose or purposes of such meeting.</w:t>
      </w:r>
    </w:p>
    <w:p>
      <w:pPr>
        <w:spacing w:after="0" w:line="146" w:lineRule="exact"/>
        <w:rPr>
          <w:sz w:val="20"/>
          <w:szCs w:val="20"/>
          <w:color w:val="auto"/>
        </w:rPr>
      </w:pPr>
    </w:p>
    <w:p>
      <w:pPr>
        <w:ind w:left="860" w:right="940"/>
        <w:spacing w:after="0" w:line="253" w:lineRule="auto"/>
        <w:rPr>
          <w:sz w:val="20"/>
          <w:szCs w:val="20"/>
          <w:color w:val="auto"/>
        </w:rPr>
      </w:pPr>
      <w:r>
        <w:rPr>
          <w:rFonts w:ascii="Arial" w:cs="Arial" w:eastAsia="Arial" w:hAnsi="Arial"/>
          <w:sz w:val="16"/>
          <w:szCs w:val="16"/>
          <w:i w:val="1"/>
          <w:iCs w:val="1"/>
          <w:color w:val="0E2A35"/>
        </w:rPr>
        <w:t xml:space="preserve">Section 1.3. Meetings Held Upon Shareholder Demand. </w:t>
      </w:r>
      <w:r>
        <w:rPr>
          <w:rFonts w:ascii="Arial" w:cs="Arial" w:eastAsia="Arial" w:hAnsi="Arial"/>
          <w:sz w:val="16"/>
          <w:szCs w:val="16"/>
          <w:color w:val="0E2A35"/>
        </w:rPr>
        <w:t>Within 30 days of receipt by the Chief Executive Officer or Chief</w:t>
      </w:r>
      <w:r>
        <w:rPr>
          <w:rFonts w:ascii="Arial" w:cs="Arial" w:eastAsia="Arial" w:hAnsi="Arial"/>
          <w:sz w:val="16"/>
          <w:szCs w:val="16"/>
          <w:i w:val="1"/>
          <w:iCs w:val="1"/>
          <w:color w:val="0E2A35"/>
        </w:rPr>
        <w:t xml:space="preserve"> </w:t>
      </w:r>
      <w:r>
        <w:rPr>
          <w:rFonts w:ascii="Arial" w:cs="Arial" w:eastAsia="Arial" w:hAnsi="Arial"/>
          <w:sz w:val="16"/>
          <w:szCs w:val="16"/>
          <w:color w:val="0E2A35"/>
        </w:rPr>
        <w:t>Financial Officer of a demand from any shareholder or shareholders entitled to call a meeting of the shareholders, it shall be the duty of the Board to cause a special or regular meeting of shareholders, as the case may be, to be duly called and held on notice no later than 90 days after receipt of such shareholder’s or shareholders’ demand. If the Board fails to cause such a meeting to be called and held as required by this Section, the shareholder or shareholders making the demand may call the meeting by giving notice as provided in Section 1.5 at the expense of the Corporation.</w:t>
      </w:r>
    </w:p>
    <w:p>
      <w:pPr>
        <w:spacing w:after="0" w:line="146" w:lineRule="exact"/>
        <w:rPr>
          <w:sz w:val="20"/>
          <w:szCs w:val="20"/>
          <w:color w:val="auto"/>
        </w:rPr>
      </w:pPr>
    </w:p>
    <w:p>
      <w:pPr>
        <w:ind w:left="860" w:right="940"/>
        <w:spacing w:after="0" w:line="252" w:lineRule="auto"/>
        <w:rPr>
          <w:sz w:val="20"/>
          <w:szCs w:val="20"/>
          <w:color w:val="auto"/>
        </w:rPr>
      </w:pPr>
      <w:r>
        <w:rPr>
          <w:rFonts w:ascii="Arial" w:cs="Arial" w:eastAsia="Arial" w:hAnsi="Arial"/>
          <w:sz w:val="16"/>
          <w:szCs w:val="16"/>
          <w:i w:val="1"/>
          <w:iCs w:val="1"/>
          <w:color w:val="0E2A35"/>
        </w:rPr>
        <w:t xml:space="preserve">Section 1.4. Place of Meetings. </w:t>
      </w:r>
      <w:r>
        <w:rPr>
          <w:rFonts w:ascii="Arial" w:cs="Arial" w:eastAsia="Arial" w:hAnsi="Arial"/>
          <w:sz w:val="16"/>
          <w:szCs w:val="16"/>
          <w:color w:val="0E2A35"/>
        </w:rPr>
        <w:t>Meetings of the shareholders shall be held at the principal executive office of the Corporation or</w:t>
      </w:r>
      <w:r>
        <w:rPr>
          <w:rFonts w:ascii="Arial" w:cs="Arial" w:eastAsia="Arial" w:hAnsi="Arial"/>
          <w:sz w:val="16"/>
          <w:szCs w:val="16"/>
          <w:i w:val="1"/>
          <w:iCs w:val="1"/>
          <w:color w:val="0E2A35"/>
        </w:rPr>
        <w:t xml:space="preserve"> </w:t>
      </w:r>
      <w:r>
        <w:rPr>
          <w:rFonts w:ascii="Arial" w:cs="Arial" w:eastAsia="Arial" w:hAnsi="Arial"/>
          <w:sz w:val="16"/>
          <w:szCs w:val="16"/>
          <w:color w:val="0E2A35"/>
        </w:rPr>
        <w:t>at such other place or places as the Board may from time to time designate; provided, however, that any meeting called by or at the demand of a shareholder or shareholders will be held in the county where the Corporation’s principal executive office is located. The Board may determine that shareholders not physically present in person or by proxy at a shareholder meeting may, by means of remote communication, participate in a shareholder meeting held at a designated place. The Board also may determine that a meeting of shareholders shall not be held at a physical place, but instead solely by means of remote communication.</w:t>
      </w:r>
    </w:p>
    <w:p>
      <w:pPr>
        <w:spacing w:after="0" w:line="353" w:lineRule="exact"/>
        <w:rPr>
          <w:sz w:val="20"/>
          <w:szCs w:val="20"/>
          <w:color w:val="auto"/>
        </w:rPr>
      </w:pPr>
    </w:p>
    <w:p>
      <w:pPr>
        <w:ind w:left="860" w:right="940"/>
        <w:spacing w:after="0" w:line="250" w:lineRule="auto"/>
        <w:rPr>
          <w:sz w:val="20"/>
          <w:szCs w:val="20"/>
          <w:color w:val="auto"/>
        </w:rPr>
      </w:pPr>
      <w:r>
        <w:rPr>
          <w:rFonts w:ascii="Arial" w:cs="Arial" w:eastAsia="Arial" w:hAnsi="Arial"/>
          <w:sz w:val="16"/>
          <w:szCs w:val="16"/>
          <w:i w:val="1"/>
          <w:iCs w:val="1"/>
          <w:color w:val="0E2A35"/>
        </w:rPr>
        <w:t xml:space="preserve">Section 1.5. Notice of Meetings. </w:t>
      </w:r>
      <w:r>
        <w:rPr>
          <w:rFonts w:ascii="Arial" w:cs="Arial" w:eastAsia="Arial" w:hAnsi="Arial"/>
          <w:sz w:val="16"/>
          <w:szCs w:val="16"/>
          <w:color w:val="0E2A35"/>
        </w:rPr>
        <w:t>Except as otherwise specified in Section 1.3 or required by law, written notice of the time and</w:t>
      </w:r>
      <w:r>
        <w:rPr>
          <w:rFonts w:ascii="Arial" w:cs="Arial" w:eastAsia="Arial" w:hAnsi="Arial"/>
          <w:sz w:val="16"/>
          <w:szCs w:val="16"/>
          <w:i w:val="1"/>
          <w:iCs w:val="1"/>
          <w:color w:val="0E2A35"/>
        </w:rPr>
        <w:t xml:space="preserve"> </w:t>
      </w:r>
      <w:r>
        <w:rPr>
          <w:rFonts w:ascii="Arial" w:cs="Arial" w:eastAsia="Arial" w:hAnsi="Arial"/>
          <w:sz w:val="16"/>
          <w:szCs w:val="16"/>
          <w:color w:val="0E2A35"/>
        </w:rPr>
        <w:t>place of every meeting of shareholders, and in the case of a special meeting the purpose or purposes of the meeting, shall be given at least 10 days and not more than 60 days previous thereto, to each shareholder of record entitled to vote at the meeting. Notice may be given to a shareholder by means of electronic communication if the requirements of Minnesota Statutes, as amended from time to time, are met. Notice to a shareholder is also effectively given if the notice is addressed to the shareholder or a group of shareholders in a manner permitted by the rules and regulations under the Securities Exchange Act of 1934, as amended (the “Exchange Act”), provided that the Corporation has first received the written or implied consent required by those rules and regulations. The business transacted at a special meeting of shareholders is limited to the purpose or purposes stated in the notice of the meeting.</w:t>
      </w:r>
    </w:p>
    <w:p>
      <w:pPr>
        <w:spacing w:after="0" w:line="152" w:lineRule="exact"/>
        <w:rPr>
          <w:sz w:val="20"/>
          <w:szCs w:val="20"/>
          <w:color w:val="auto"/>
        </w:rPr>
      </w:pPr>
    </w:p>
    <w:p>
      <w:pPr>
        <w:ind w:left="860" w:right="880"/>
        <w:spacing w:after="0" w:line="255" w:lineRule="auto"/>
        <w:rPr>
          <w:sz w:val="20"/>
          <w:szCs w:val="20"/>
          <w:color w:val="auto"/>
        </w:rPr>
      </w:pPr>
      <w:r>
        <w:rPr>
          <w:rFonts w:ascii="Arial" w:cs="Arial" w:eastAsia="Arial" w:hAnsi="Arial"/>
          <w:sz w:val="16"/>
          <w:szCs w:val="16"/>
          <w:i w:val="1"/>
          <w:iCs w:val="1"/>
          <w:color w:val="0E2A35"/>
        </w:rPr>
        <w:t xml:space="preserve">Section 1.6. Quorum and Adjournment. </w:t>
      </w:r>
      <w:r>
        <w:rPr>
          <w:rFonts w:ascii="Arial" w:cs="Arial" w:eastAsia="Arial" w:hAnsi="Arial"/>
          <w:sz w:val="16"/>
          <w:szCs w:val="16"/>
          <w:color w:val="0E2A35"/>
        </w:rPr>
        <w:t>A quorum at any meeting of shareholders shall consist of shareholders representing,</w:t>
      </w:r>
      <w:r>
        <w:rPr>
          <w:rFonts w:ascii="Arial" w:cs="Arial" w:eastAsia="Arial" w:hAnsi="Arial"/>
          <w:sz w:val="16"/>
          <w:szCs w:val="16"/>
          <w:i w:val="1"/>
          <w:iCs w:val="1"/>
          <w:color w:val="0E2A35"/>
        </w:rPr>
        <w:t xml:space="preserve"> </w:t>
      </w:r>
      <w:r>
        <w:rPr>
          <w:rFonts w:ascii="Arial" w:cs="Arial" w:eastAsia="Arial" w:hAnsi="Arial"/>
          <w:sz w:val="16"/>
          <w:szCs w:val="16"/>
          <w:color w:val="0E2A35"/>
        </w:rPr>
        <w:t>either in person or by proxy, a majority of the outstanding shares of the Corporation entitled to vote at such meeting, except as otherwise specially provided by law. The chairman of the meeting may adjourn the meeting from time to time to another date, time and place. If a quorum is not present at any such meeting, the chairman of the meeting may adjourn the meeting until a quorum is present. If any meeting of the shareholders 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E-1</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0" w:name="page101"/>
    <w:bookmarkEnd w:id="100"/>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1020"/>
        <w:spacing w:after="0" w:line="253" w:lineRule="auto"/>
        <w:rPr>
          <w:sz w:val="20"/>
          <w:szCs w:val="20"/>
          <w:color w:val="auto"/>
        </w:rPr>
      </w:pPr>
      <w:r>
        <w:rPr>
          <w:rFonts w:ascii="Arial" w:cs="Arial" w:eastAsia="Arial" w:hAnsi="Arial"/>
          <w:sz w:val="16"/>
          <w:szCs w:val="16"/>
          <w:color w:val="0E2A35"/>
        </w:rPr>
        <w:t>so adjourned, no notice as to such adjourned meeting need be given if the date, time and place at which the meeting will be reconvened are announced at the time of adjournment and the adjourned meeting is held not more than 120 days after the date fixed for the original meeting.</w:t>
      </w:r>
    </w:p>
    <w:p>
      <w:pPr>
        <w:spacing w:after="0" w:line="266" w:lineRule="exact"/>
        <w:rPr>
          <w:sz w:val="20"/>
          <w:szCs w:val="20"/>
          <w:color w:val="auto"/>
        </w:rPr>
      </w:pPr>
    </w:p>
    <w:p>
      <w:pPr>
        <w:ind w:left="860" w:right="900"/>
        <w:spacing w:after="0" w:line="251" w:lineRule="auto"/>
        <w:rPr>
          <w:sz w:val="20"/>
          <w:szCs w:val="20"/>
          <w:color w:val="auto"/>
        </w:rPr>
      </w:pPr>
      <w:r>
        <w:rPr>
          <w:rFonts w:ascii="Arial" w:cs="Arial" w:eastAsia="Arial" w:hAnsi="Arial"/>
          <w:sz w:val="16"/>
          <w:szCs w:val="16"/>
          <w:i w:val="1"/>
          <w:iCs w:val="1"/>
          <w:color w:val="0E2A35"/>
        </w:rPr>
        <w:t xml:space="preserve">Section 1.7. Notice of Shareholder Business and Nominations. </w:t>
      </w:r>
      <w:r>
        <w:rPr>
          <w:rFonts w:ascii="Arial" w:cs="Arial" w:eastAsia="Arial" w:hAnsi="Arial"/>
          <w:sz w:val="16"/>
          <w:szCs w:val="16"/>
          <w:color w:val="0E2A35"/>
        </w:rPr>
        <w:t>(a)(1) Nominations of persons for election to the Board and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proposal of business to be considered by the shareholders may be made at an annual meeting of shareholders (i) pursuant to the Corporation’s notice of meeting, (ii) by or at the direction of the Board or (iii) by any shareholder of the Corporation who (a) was a shareholder of record at the time of giving of notice provided for in this Bylaw, (b) is entitled to vote at the meeting and (c) who complies with the notice procedures set forth in this Bylaw as to such nomination or business; clause (iii) of this paragraph (a)(l) of this Bylaw shall be the exclusive means for a shareholder to make nominations or submit other business (other than matters properly brought under Rule 14a-8 under the Exchange Act and included in the Corporation’s notice of meeting) before an annual meeting of shareholders.</w:t>
      </w:r>
    </w:p>
    <w:p>
      <w:pPr>
        <w:spacing w:after="0" w:line="164" w:lineRule="exact"/>
        <w:rPr>
          <w:sz w:val="20"/>
          <w:szCs w:val="20"/>
          <w:color w:val="auto"/>
        </w:rPr>
      </w:pPr>
    </w:p>
    <w:p>
      <w:pPr>
        <w:ind w:left="860" w:right="880"/>
        <w:spacing w:after="0" w:line="246" w:lineRule="auto"/>
        <w:tabs>
          <w:tab w:leader="none" w:pos="1220" w:val="left"/>
        </w:tabs>
        <w:numPr>
          <w:ilvl w:val="0"/>
          <w:numId w:val="75"/>
        </w:numPr>
        <w:rPr>
          <w:rFonts w:ascii="Arial" w:cs="Arial" w:eastAsia="Arial" w:hAnsi="Arial"/>
          <w:sz w:val="16"/>
          <w:szCs w:val="16"/>
          <w:color w:val="0E2A35"/>
        </w:rPr>
      </w:pPr>
      <w:r>
        <w:rPr>
          <w:rFonts w:ascii="Arial" w:cs="Arial" w:eastAsia="Arial" w:hAnsi="Arial"/>
          <w:sz w:val="16"/>
          <w:szCs w:val="16"/>
          <w:color w:val="0E2A35"/>
        </w:rPr>
        <w:t>Without qualification, for nominations or other business to be properly brought before annual meeting by a shareholder pursuant to clause (iii) of paragraph (a)(1) of this Bylaw,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if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shall set forth (a) as to each person, if any, whom the shareholder proposes to nominate for election or re-election as a director, (i) all information relating to such person that is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(including such person’s written consent to being named in the proxy statement as a nominee and to serving as a director if elected), (ii) a description of all direct and indirect compensation and other material monetary agreements, arrangements and understandings during the past three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the shareholder making the nomination and any beneficial owner on whose behalf the nomination is made, if any, or any affiliate or associate thereof or person acting in concert therewith, were the “registrant” for purposes of such provision and the nominee were a director or executive officer of such registrant, and (iii) a completed and signed written questionnaire with respect to the background and qualification of such person and the background of any other person or entity on whose behalf the nomination is being made (which questionnaire shall be in the form used for other directors of the Corporation and provided by the Secretary upon written request); (b) as 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 if any, on whose behalf the proposal is made and (ii) a description of all agreements, arrangements and understandings between such shareholder and beneficial owner, if any, and any other person or persons (including their names) in connection with the proposal of such business by such shareholder; and (c) as to the shareholder giving the notice and the beneficial owner, if any, on whose behalf the nomination or proposal is made (i) the name and address of such shareholder, as they appear on the Corporation’s books, and of such beneficial owner; (ii)(A) the class or series and number of shares of the Corporation which are, directly or indirectly, owned beneficially and of record by such shareholder and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E-2</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1" w:name="page102"/>
    <w:bookmarkEnd w:id="101"/>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ind w:left="860" w:right="880"/>
        <w:spacing w:after="0" w:line="247" w:lineRule="auto"/>
        <w:rPr>
          <w:sz w:val="20"/>
          <w:szCs w:val="20"/>
          <w:color w:val="auto"/>
        </w:rPr>
      </w:pPr>
      <w:r>
        <w:rPr>
          <w:rFonts w:ascii="Arial" w:cs="Arial" w:eastAsia="Arial" w:hAnsi="Arial"/>
          <w:sz w:val="16"/>
          <w:szCs w:val="16"/>
          <w:color w:val="0E2A35"/>
        </w:rPr>
        <w:t>the Corporation, whether or not such instrument or right shall be subject to settlement in the underlying class or series of capital stock of the Corporation or otherwise (a “Derivative Instrument”) directly or indirectly owned beneficially by such shareholder and any other direct or indirect opportunity to profit or share in any profit derived from any increase or decrease in the value of shares of the Corporation; (C) any proxy, contract, arrangement, understanding, or relationship pursuant to which such shareholder has a right to vote any shares of any security of the Corporation; (D) any short interest in any security of the Corporation (for purposes of this Bylaw, a person shall be deemed to have a short interest in a security if such person directly or indirectly, through any contract, agreement, arrangement, understanding, relationship or otherwise, has the opportunity to profit or share in any profit derived from any decrease in the value of the subject security);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10 days after the record date for the meeting to disclose such ownership as of the record date); (iii) any other information relating to such shareholder and beneficial owner,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and (iv) a representation that such shareholder is a holder of record of shares of the Corporation entitled to vote for the election of directors, will continue to be a holder of record of shares entitled to vote for the election of directors through the date of the meeting, and intends to appear in person or by proxy at the meeting to nominate the person or persons or make the business proposal specified in the notice.</w:t>
      </w:r>
    </w:p>
    <w:p>
      <w:pPr>
        <w:spacing w:after="0" w:line="200" w:lineRule="exact"/>
        <w:rPr>
          <w:sz w:val="20"/>
          <w:szCs w:val="20"/>
          <w:color w:val="auto"/>
        </w:rPr>
      </w:pPr>
    </w:p>
    <w:p>
      <w:pPr>
        <w:spacing w:after="0" w:line="278" w:lineRule="exact"/>
        <w:rPr>
          <w:sz w:val="20"/>
          <w:szCs w:val="20"/>
          <w:color w:val="auto"/>
        </w:rPr>
      </w:pPr>
    </w:p>
    <w:p>
      <w:pPr>
        <w:ind w:left="860" w:right="980"/>
        <w:spacing w:after="0" w:line="248" w:lineRule="auto"/>
        <w:rPr>
          <w:sz w:val="20"/>
          <w:szCs w:val="20"/>
          <w:color w:val="auto"/>
        </w:rPr>
      </w:pPr>
      <w:r>
        <w:rPr>
          <w:rFonts w:ascii="Arial" w:cs="Arial" w:eastAsia="Arial" w:hAnsi="Arial"/>
          <w:sz w:val="16"/>
          <w:szCs w:val="16"/>
          <w:color w:val="0E2A35"/>
        </w:rPr>
        <w:t>(3)(a) Only such business shall be conducted at a special meeting of shareholders as shall have been brought before the meeting pursuant to the Corporation’s notice of meeting. If a special meeting of shareholders is called for the purpose of electing one or more directors to the Board, for a shareholder’s notice of nominations to be timely it must be delivered to the Secretary of the Corporation, or mailed and received at the principal executive officer of the Corporation, not less than 90 days before the meeting or, if later, within 10 days after the first public announcement of the date of the meeting. In no event shall the public announcement of an adjournment of an annual meeting commence a new time period for the giving of a shareholder’s notice as described above.</w:t>
      </w:r>
    </w:p>
    <w:p>
      <w:pPr>
        <w:spacing w:after="0" w:line="168" w:lineRule="exact"/>
        <w:rPr>
          <w:sz w:val="20"/>
          <w:szCs w:val="20"/>
          <w:color w:val="auto"/>
        </w:rPr>
      </w:pPr>
    </w:p>
    <w:p>
      <w:pPr>
        <w:ind w:left="860" w:right="940"/>
        <w:spacing w:after="0" w:line="248" w:lineRule="auto"/>
        <w:rPr>
          <w:sz w:val="20"/>
          <w:szCs w:val="20"/>
          <w:color w:val="auto"/>
        </w:rPr>
      </w:pPr>
      <w:r>
        <w:rPr>
          <w:rFonts w:ascii="Arial" w:cs="Arial" w:eastAsia="Arial" w:hAnsi="Arial"/>
          <w:sz w:val="16"/>
          <w:szCs w:val="16"/>
          <w:color w:val="0E2A35"/>
        </w:rPr>
        <w:t>(b)(l)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in these Bylaws as the “Articles of Incorporation”) or these Bylaws, the chairman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is not in compliance with this Bylaw and, if any proposed nomination or business is not in compliance with this Bylaw, to declare that such defective proposal or nomination shall be disregarded.</w:t>
      </w:r>
    </w:p>
    <w:p>
      <w:pPr>
        <w:spacing w:after="0" w:line="165" w:lineRule="exact"/>
        <w:rPr>
          <w:sz w:val="20"/>
          <w:szCs w:val="20"/>
          <w:color w:val="auto"/>
        </w:rPr>
      </w:pPr>
    </w:p>
    <w:p>
      <w:pPr>
        <w:jc w:val="both"/>
        <w:ind w:left="860" w:right="1000"/>
        <w:spacing w:after="0" w:line="253" w:lineRule="auto"/>
        <w:tabs>
          <w:tab w:leader="none" w:pos="1220" w:val="left"/>
        </w:tabs>
        <w:numPr>
          <w:ilvl w:val="0"/>
          <w:numId w:val="76"/>
        </w:numPr>
        <w:rPr>
          <w:rFonts w:ascii="Arial" w:cs="Arial" w:eastAsia="Arial" w:hAnsi="Arial"/>
          <w:sz w:val="16"/>
          <w:szCs w:val="16"/>
          <w:color w:val="0E2A35"/>
        </w:rPr>
      </w:pPr>
      <w:r>
        <w:rPr>
          <w:rFonts w:ascii="Arial" w:cs="Arial" w:eastAsia="Arial" w:hAnsi="Arial"/>
          <w:sz w:val="16"/>
          <w:szCs w:val="16"/>
          <w:color w:val="0E2A35"/>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4" w:lineRule="exact"/>
        <w:rPr>
          <w:rFonts w:ascii="Arial" w:cs="Arial" w:eastAsia="Arial" w:hAnsi="Arial"/>
          <w:sz w:val="16"/>
          <w:szCs w:val="16"/>
          <w:color w:val="0E2A35"/>
        </w:rPr>
      </w:pPr>
    </w:p>
    <w:p>
      <w:pPr>
        <w:ind w:left="860" w:right="960"/>
        <w:spacing w:after="0" w:line="250" w:lineRule="auto"/>
        <w:tabs>
          <w:tab w:leader="none" w:pos="1220" w:val="left"/>
        </w:tabs>
        <w:numPr>
          <w:ilvl w:val="0"/>
          <w:numId w:val="76"/>
        </w:numPr>
        <w:rPr>
          <w:rFonts w:ascii="Arial" w:cs="Arial" w:eastAsia="Arial" w:hAnsi="Arial"/>
          <w:sz w:val="16"/>
          <w:szCs w:val="16"/>
          <w:color w:val="0E2A35"/>
        </w:rPr>
      </w:pPr>
      <w:r>
        <w:rPr>
          <w:rFonts w:ascii="Arial" w:cs="Arial" w:eastAsia="Arial" w:hAnsi="Arial"/>
          <w:sz w:val="16"/>
          <w:szCs w:val="16"/>
          <w:color w:val="0E2A35"/>
        </w:rPr>
        <w:t>Notwithstanding the foregoing provisions of this Bylaw, a shareholder shall also comply with all applicable requirements of the Exchange Act and the rules and regulations thereunder with respect to the matters set forth in this Bylaw; provided, however, that any references in these Bylaws to the Exchange Act or the rules promulgated thereunder are not intended to and shall not limit the requirements applicable to nominations or proposals as to any other business to be considered pursuant to this Bylaw. Nothing in this Bylaw shall be deemed to affect any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E-3</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2" w:name="page103"/>
    <w:bookmarkEnd w:id="102"/>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7" w:lineRule="exact"/>
        <w:rPr>
          <w:sz w:val="20"/>
          <w:szCs w:val="20"/>
          <w:color w:val="auto"/>
        </w:rPr>
      </w:pPr>
    </w:p>
    <w:p>
      <w:pPr>
        <w:jc w:val="both"/>
        <w:ind w:left="860" w:right="1060"/>
        <w:spacing w:after="0" w:line="253" w:lineRule="auto"/>
        <w:rPr>
          <w:sz w:val="20"/>
          <w:szCs w:val="20"/>
          <w:color w:val="auto"/>
        </w:rPr>
      </w:pPr>
      <w:r>
        <w:rPr>
          <w:rFonts w:ascii="Arial" w:cs="Arial" w:eastAsia="Arial" w:hAnsi="Arial"/>
          <w:sz w:val="16"/>
          <w:szCs w:val="16"/>
          <w:color w:val="0E2A35"/>
        </w:rPr>
        <w:t>rights (A) of shareholders to request inclusion of proposals in the Company’s proxy statement pursuant to Rule 14a-8 under the Exchange Act or (B) of the holders of any series of Preferred Stock to elect directors if and to the extent provided for under law, the Articles of Incorporation or these Bylaws.</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Board of Directors</w:t>
      </w:r>
    </w:p>
    <w:p>
      <w:pPr>
        <w:spacing w:after="0" w:line="158"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6"/>
          <w:szCs w:val="16"/>
          <w:i w:val="1"/>
          <w:iCs w:val="1"/>
          <w:color w:val="0E2A35"/>
        </w:rPr>
        <w:t>Section 2.1.</w:t>
        <w:tab/>
        <w:t xml:space="preserve">Number, Tenure and Qualifications. </w:t>
      </w:r>
      <w:r>
        <w:rPr>
          <w:rFonts w:ascii="Arial" w:cs="Arial" w:eastAsia="Arial" w:hAnsi="Arial"/>
          <w:sz w:val="16"/>
          <w:szCs w:val="16"/>
          <w:color w:val="0E2A35"/>
        </w:rPr>
        <w:t>The number of directors constituting the Board shall be not more than fifteen</w:t>
      </w:r>
    </w:p>
    <w:p>
      <w:pPr>
        <w:spacing w:after="0" w:line="21" w:lineRule="exact"/>
        <w:rPr>
          <w:sz w:val="20"/>
          <w:szCs w:val="20"/>
          <w:color w:val="auto"/>
        </w:rPr>
      </w:pPr>
    </w:p>
    <w:p>
      <w:pPr>
        <w:ind w:left="860" w:right="940"/>
        <w:spacing w:after="0" w:line="248" w:lineRule="auto"/>
        <w:tabs>
          <w:tab w:leader="none" w:pos="1193" w:val="left"/>
        </w:tabs>
        <w:numPr>
          <w:ilvl w:val="0"/>
          <w:numId w:val="77"/>
        </w:numPr>
        <w:rPr>
          <w:rFonts w:ascii="Arial" w:cs="Arial" w:eastAsia="Arial" w:hAnsi="Arial"/>
          <w:sz w:val="16"/>
          <w:szCs w:val="16"/>
          <w:color w:val="0E2A35"/>
        </w:rPr>
      </w:pPr>
      <w:r>
        <w:rPr>
          <w:rFonts w:ascii="Arial" w:cs="Arial" w:eastAsia="Arial" w:hAnsi="Arial"/>
          <w:sz w:val="16"/>
          <w:szCs w:val="16"/>
          <w:color w:val="0E2A35"/>
        </w:rPr>
        <w:t>and not less than three (3), the precise number to be determined by resolution of the Board from time to time. The directors shall be classified, with respect to the time for which they severally hold office, into three classes, as nearly equal in number as possible, with each class holding office for a term of three years, and with the respective members of each class to hold office until their respective successors are elected and qualified.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all classes as nearly equal in number as possible.</w:t>
      </w:r>
    </w:p>
    <w:p>
      <w:pPr>
        <w:spacing w:after="0" w:line="165" w:lineRule="exact"/>
        <w:rPr>
          <w:sz w:val="20"/>
          <w:szCs w:val="20"/>
          <w:color w:val="auto"/>
        </w:rPr>
      </w:pPr>
    </w:p>
    <w:p>
      <w:pPr>
        <w:jc w:val="both"/>
        <w:ind w:left="860" w:right="1220"/>
        <w:spacing w:after="0" w:line="263" w:lineRule="auto"/>
        <w:rPr>
          <w:sz w:val="20"/>
          <w:szCs w:val="20"/>
          <w:color w:val="auto"/>
        </w:rPr>
      </w:pPr>
      <w:r>
        <w:rPr>
          <w:rFonts w:ascii="Arial" w:cs="Arial" w:eastAsia="Arial" w:hAnsi="Arial"/>
          <w:sz w:val="16"/>
          <w:szCs w:val="16"/>
          <w:i w:val="1"/>
          <w:iCs w:val="1"/>
          <w:color w:val="0E2A35"/>
        </w:rPr>
        <w:t xml:space="preserve">Section 2.2. Regular Meetings. </w:t>
      </w:r>
      <w:r>
        <w:rPr>
          <w:rFonts w:ascii="Arial" w:cs="Arial" w:eastAsia="Arial" w:hAnsi="Arial"/>
          <w:sz w:val="16"/>
          <w:szCs w:val="16"/>
          <w:color w:val="0E2A35"/>
        </w:rPr>
        <w:t>Regular meetings of the Board may be established by the Board. They may be held without</w:t>
      </w:r>
      <w:r>
        <w:rPr>
          <w:rFonts w:ascii="Arial" w:cs="Arial" w:eastAsia="Arial" w:hAnsi="Arial"/>
          <w:sz w:val="16"/>
          <w:szCs w:val="16"/>
          <w:i w:val="1"/>
          <w:iCs w:val="1"/>
          <w:color w:val="0E2A35"/>
        </w:rPr>
        <w:t xml:space="preserve"> </w:t>
      </w:r>
      <w:r>
        <w:rPr>
          <w:rFonts w:ascii="Arial" w:cs="Arial" w:eastAsia="Arial" w:hAnsi="Arial"/>
          <w:sz w:val="16"/>
          <w:szCs w:val="16"/>
          <w:color w:val="0E2A35"/>
        </w:rPr>
        <w:t>notice at the principal executive office of the Corporation, or at such other place or places as the Board may from time to time designate.</w:t>
      </w:r>
    </w:p>
    <w:p>
      <w:pPr>
        <w:spacing w:after="0" w:line="138" w:lineRule="exact"/>
        <w:rPr>
          <w:sz w:val="20"/>
          <w:szCs w:val="20"/>
          <w:color w:val="auto"/>
        </w:rPr>
      </w:pPr>
    </w:p>
    <w:p>
      <w:pPr>
        <w:ind w:left="860" w:right="920"/>
        <w:spacing w:after="0" w:line="255" w:lineRule="auto"/>
        <w:rPr>
          <w:sz w:val="20"/>
          <w:szCs w:val="20"/>
          <w:color w:val="auto"/>
        </w:rPr>
      </w:pPr>
      <w:r>
        <w:rPr>
          <w:rFonts w:ascii="Arial" w:cs="Arial" w:eastAsia="Arial" w:hAnsi="Arial"/>
          <w:sz w:val="16"/>
          <w:szCs w:val="16"/>
          <w:i w:val="1"/>
          <w:iCs w:val="1"/>
          <w:color w:val="0E2A35"/>
        </w:rPr>
        <w:t xml:space="preserve">Section 2.3. Special Meetings. </w:t>
      </w:r>
      <w:r>
        <w:rPr>
          <w:rFonts w:ascii="Arial" w:cs="Arial" w:eastAsia="Arial" w:hAnsi="Arial"/>
          <w:sz w:val="16"/>
          <w:szCs w:val="16"/>
          <w:color w:val="0E2A35"/>
        </w:rPr>
        <w:t>Special meetings of the Board may be called at any time by any member of the Board, the Chief</w:t>
      </w:r>
      <w:r>
        <w:rPr>
          <w:rFonts w:ascii="Arial" w:cs="Arial" w:eastAsia="Arial" w:hAnsi="Arial"/>
          <w:sz w:val="16"/>
          <w:szCs w:val="16"/>
          <w:i w:val="1"/>
          <w:iCs w:val="1"/>
          <w:color w:val="0E2A35"/>
        </w:rPr>
        <w:t xml:space="preserve"> </w:t>
      </w:r>
      <w:r>
        <w:rPr>
          <w:rFonts w:ascii="Arial" w:cs="Arial" w:eastAsia="Arial" w:hAnsi="Arial"/>
          <w:sz w:val="16"/>
          <w:szCs w:val="16"/>
          <w:color w:val="0E2A35"/>
        </w:rPr>
        <w:t>Executive Officer, or the Secretary of the Corporation, to be held at the principal executive office of the Corporation or at such other place or places as the directors may from time to time designate. Notices of all special meetings of the Board shall be given to each director by twenty-four hours’ service of the same by letter, by telephone, by electronic communication or personally, provided that when notice is mailed, at least three days’ notice shall be given.</w:t>
      </w:r>
    </w:p>
    <w:p>
      <w:pPr>
        <w:spacing w:after="0" w:line="143" w:lineRule="exact"/>
        <w:rPr>
          <w:sz w:val="20"/>
          <w:szCs w:val="20"/>
          <w:color w:val="auto"/>
        </w:rPr>
      </w:pPr>
    </w:p>
    <w:p>
      <w:pPr>
        <w:ind w:left="860" w:right="1120"/>
        <w:spacing w:after="0" w:line="253" w:lineRule="auto"/>
        <w:rPr>
          <w:sz w:val="20"/>
          <w:szCs w:val="20"/>
          <w:color w:val="auto"/>
        </w:rPr>
      </w:pPr>
      <w:r>
        <w:rPr>
          <w:rFonts w:ascii="Arial" w:cs="Arial" w:eastAsia="Arial" w:hAnsi="Arial"/>
          <w:sz w:val="16"/>
          <w:szCs w:val="16"/>
          <w:i w:val="1"/>
          <w:iCs w:val="1"/>
          <w:color w:val="0E2A35"/>
        </w:rPr>
        <w:t xml:space="preserve">Section 2.4. Quorum. </w:t>
      </w:r>
      <w:r>
        <w:rPr>
          <w:rFonts w:ascii="Arial" w:cs="Arial" w:eastAsia="Arial" w:hAnsi="Arial"/>
          <w:sz w:val="16"/>
          <w:szCs w:val="16"/>
          <w:color w:val="0E2A35"/>
        </w:rPr>
        <w:t>A majority of the directors currently holding office shall be necessary at all meetings to constitute a</w:t>
      </w:r>
      <w:r>
        <w:rPr>
          <w:rFonts w:ascii="Arial" w:cs="Arial" w:eastAsia="Arial" w:hAnsi="Arial"/>
          <w:sz w:val="16"/>
          <w:szCs w:val="16"/>
          <w:i w:val="1"/>
          <w:iCs w:val="1"/>
          <w:color w:val="0E2A35"/>
        </w:rPr>
        <w:t xml:space="preserve"> </w:t>
      </w:r>
      <w:r>
        <w:rPr>
          <w:rFonts w:ascii="Arial" w:cs="Arial" w:eastAsia="Arial" w:hAnsi="Arial"/>
          <w:sz w:val="16"/>
          <w:szCs w:val="16"/>
          <w:color w:val="0E2A35"/>
        </w:rPr>
        <w:t>quorum for the transaction of business, except as otherwise provided in these Bylaws, but a majority of the directors present (although less than a quorum) may adjourn any meeting, which may be held on a subsequent date without further notice, provided that a quorum be present at such deferred meeting. If a quorum is present when a meeting is convened, the directors present may continue to transact business until adjournment, even though the withdrawal of a number of directors originally present leaves less than the number otherwise required for a quorum.</w:t>
      </w:r>
    </w:p>
    <w:p>
      <w:pPr>
        <w:spacing w:after="0" w:line="213"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6"/>
          <w:szCs w:val="16"/>
          <w:i w:val="1"/>
          <w:iCs w:val="1"/>
          <w:color w:val="0E2A35"/>
        </w:rPr>
        <w:t>Section 2.5.</w:t>
        <w:tab/>
        <w:t>Waiver of Notice; Previously Scheduled Meetings.</w:t>
      </w:r>
    </w:p>
    <w:p>
      <w:pPr>
        <w:spacing w:after="0" w:line="210" w:lineRule="exact"/>
        <w:rPr>
          <w:sz w:val="20"/>
          <w:szCs w:val="20"/>
          <w:color w:val="auto"/>
        </w:rPr>
      </w:pPr>
    </w:p>
    <w:p>
      <w:pPr>
        <w:ind w:left="860" w:right="940"/>
        <w:spacing w:after="0" w:line="250" w:lineRule="auto"/>
        <w:tabs>
          <w:tab w:leader="none" w:pos="1211" w:val="left"/>
        </w:tabs>
        <w:numPr>
          <w:ilvl w:val="0"/>
          <w:numId w:val="78"/>
        </w:numPr>
        <w:rPr>
          <w:rFonts w:ascii="Arial" w:cs="Arial" w:eastAsia="Arial" w:hAnsi="Arial"/>
          <w:sz w:val="16"/>
          <w:szCs w:val="16"/>
          <w:color w:val="0E2A35"/>
        </w:rPr>
      </w:pPr>
      <w:r>
        <w:rPr>
          <w:rFonts w:ascii="Arial" w:cs="Arial" w:eastAsia="Arial" w:hAnsi="Arial"/>
          <w:sz w:val="16"/>
          <w:szCs w:val="16"/>
          <w:color w:val="0E2A35"/>
        </w:rPr>
        <w:t>A director may waive notice of the date, time and place of a meeting of the Board. A waiver of notice by a director entitled to notice is effective whether given before, at or after the meeting, and whether given in writing, orally, by authenticated electronic communication, or by attendance. Attendance by a director at a meeting is a waiver of notice of that meeting, unless the director objects at the beginning of the meeting to the transaction of business because the meeting is not lawfully called or convened and thereafter does not participate in the meeting.</w:t>
      </w:r>
    </w:p>
    <w:p>
      <w:pPr>
        <w:spacing w:after="0" w:line="162" w:lineRule="exact"/>
        <w:rPr>
          <w:rFonts w:ascii="Arial" w:cs="Arial" w:eastAsia="Arial" w:hAnsi="Arial"/>
          <w:sz w:val="16"/>
          <w:szCs w:val="16"/>
          <w:color w:val="0E2A35"/>
        </w:rPr>
      </w:pPr>
    </w:p>
    <w:p>
      <w:pPr>
        <w:ind w:left="860" w:right="880"/>
        <w:spacing w:after="0" w:line="253" w:lineRule="auto"/>
        <w:tabs>
          <w:tab w:leader="none" w:pos="1220" w:val="left"/>
        </w:tabs>
        <w:numPr>
          <w:ilvl w:val="0"/>
          <w:numId w:val="78"/>
        </w:numPr>
        <w:rPr>
          <w:rFonts w:ascii="Arial" w:cs="Arial" w:eastAsia="Arial" w:hAnsi="Arial"/>
          <w:sz w:val="16"/>
          <w:szCs w:val="16"/>
          <w:color w:val="0E2A35"/>
        </w:rPr>
      </w:pPr>
      <w:r>
        <w:rPr>
          <w:rFonts w:ascii="Arial" w:cs="Arial" w:eastAsia="Arial" w:hAnsi="Arial"/>
          <w:sz w:val="16"/>
          <w:szCs w:val="16"/>
          <w:color w:val="0E2A35"/>
        </w:rPr>
        <w:t>If the day or date, time and place of a Board meeting have been provided in these Bylaws or announced at a previous meeting of the Board, no notice is required. Notice of an adjourned meeting need not be given other than by announcement at the meeting at which adjournment is taken of the date, time and place at which the meeting will be reconvened.</w:t>
      </w:r>
    </w:p>
    <w:p>
      <w:pPr>
        <w:spacing w:after="0" w:line="145" w:lineRule="exact"/>
        <w:rPr>
          <w:sz w:val="20"/>
          <w:szCs w:val="20"/>
          <w:color w:val="auto"/>
        </w:rPr>
      </w:pPr>
    </w:p>
    <w:p>
      <w:pPr>
        <w:ind w:left="860" w:right="960"/>
        <w:spacing w:after="0" w:line="258" w:lineRule="auto"/>
        <w:rPr>
          <w:sz w:val="20"/>
          <w:szCs w:val="20"/>
          <w:color w:val="auto"/>
        </w:rPr>
      </w:pPr>
      <w:r>
        <w:rPr>
          <w:rFonts w:ascii="Arial" w:cs="Arial" w:eastAsia="Arial" w:hAnsi="Arial"/>
          <w:sz w:val="16"/>
          <w:szCs w:val="16"/>
          <w:i w:val="1"/>
          <w:iCs w:val="1"/>
          <w:color w:val="0E2A35"/>
        </w:rPr>
        <w:t xml:space="preserve">Section 2.6. Action in Writing. </w:t>
      </w:r>
      <w:r>
        <w:rPr>
          <w:rFonts w:ascii="Arial" w:cs="Arial" w:eastAsia="Arial" w:hAnsi="Arial"/>
          <w:sz w:val="16"/>
          <w:szCs w:val="16"/>
          <w:color w:val="0E2A35"/>
        </w:rPr>
        <w:t>Any action which may be taken at a meeting of the Board may be taken without a meeting if</w:t>
      </w:r>
      <w:r>
        <w:rPr>
          <w:rFonts w:ascii="Arial" w:cs="Arial" w:eastAsia="Arial" w:hAnsi="Arial"/>
          <w:sz w:val="16"/>
          <w:szCs w:val="16"/>
          <w:i w:val="1"/>
          <w:iCs w:val="1"/>
          <w:color w:val="0E2A35"/>
        </w:rPr>
        <w:t xml:space="preserve"> </w:t>
      </w:r>
      <w:r>
        <w:rPr>
          <w:rFonts w:ascii="Arial" w:cs="Arial" w:eastAsia="Arial" w:hAnsi="Arial"/>
          <w:sz w:val="16"/>
          <w:szCs w:val="16"/>
          <w:color w:val="0E2A35"/>
        </w:rPr>
        <w:t>authorized by a writing or writings signed, or consented to by authenticated electronic communication, by all of the directors, and such action shall be effective when signed or consented to by authenticated electronic communication by all of the directors or at such other time as is set forth in these Bylaws.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E-4</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3" w:name="page104"/>
    <w:bookmarkEnd w:id="103"/>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860" w:right="940"/>
        <w:spacing w:after="0" w:line="258" w:lineRule="auto"/>
        <w:rPr>
          <w:sz w:val="20"/>
          <w:szCs w:val="20"/>
          <w:color w:val="auto"/>
        </w:rPr>
      </w:pPr>
      <w:r>
        <w:rPr>
          <w:rFonts w:ascii="Arial" w:cs="Arial" w:eastAsia="Arial" w:hAnsi="Arial"/>
          <w:sz w:val="16"/>
          <w:szCs w:val="16"/>
          <w:i w:val="1"/>
          <w:iCs w:val="1"/>
          <w:color w:val="0E2A35"/>
        </w:rPr>
        <w:t xml:space="preserve">Section 2.7. Electronic Communications. </w:t>
      </w:r>
      <w:r>
        <w:rPr>
          <w:rFonts w:ascii="Arial" w:cs="Arial" w:eastAsia="Arial" w:hAnsi="Arial"/>
          <w:sz w:val="16"/>
          <w:szCs w:val="16"/>
          <w:color w:val="0E2A35"/>
        </w:rPr>
        <w:t>Any action which may be taken at a meeting of the Board may be taken by means of</w:t>
      </w:r>
      <w:r>
        <w:rPr>
          <w:rFonts w:ascii="Arial" w:cs="Arial" w:eastAsia="Arial" w:hAnsi="Arial"/>
          <w:sz w:val="16"/>
          <w:szCs w:val="16"/>
          <w:i w:val="1"/>
          <w:iCs w:val="1"/>
          <w:color w:val="0E2A35"/>
        </w:rPr>
        <w:t xml:space="preserve"> </w:t>
      </w:r>
      <w:r>
        <w:rPr>
          <w:rFonts w:ascii="Arial" w:cs="Arial" w:eastAsia="Arial" w:hAnsi="Arial"/>
          <w:sz w:val="16"/>
          <w:szCs w:val="16"/>
          <w:color w:val="0E2A35"/>
        </w:rPr>
        <w:t>conference telephone, or if authorized by the Board, by any other means of remote communication, by means of which all persons participating in the meeting can hear each other, with the same effect as though all such persons were present in person at such meeting. Participation in a meeting by any such means constitutes presence in person at the meeting.</w:t>
      </w:r>
    </w:p>
    <w:p>
      <w:pPr>
        <w:spacing w:after="0" w:line="154" w:lineRule="exact"/>
        <w:rPr>
          <w:sz w:val="20"/>
          <w:szCs w:val="20"/>
          <w:color w:val="auto"/>
        </w:rPr>
      </w:pPr>
    </w:p>
    <w:p>
      <w:pPr>
        <w:ind w:left="860" w:right="900"/>
        <w:spacing w:after="0" w:line="255" w:lineRule="auto"/>
        <w:rPr>
          <w:sz w:val="20"/>
          <w:szCs w:val="20"/>
          <w:color w:val="auto"/>
        </w:rPr>
      </w:pPr>
      <w:r>
        <w:rPr>
          <w:rFonts w:ascii="Arial" w:cs="Arial" w:eastAsia="Arial" w:hAnsi="Arial"/>
          <w:sz w:val="16"/>
          <w:szCs w:val="16"/>
          <w:i w:val="1"/>
          <w:iCs w:val="1"/>
          <w:color w:val="0E2A35"/>
        </w:rPr>
        <w:t xml:space="preserve">Section 2.8. Absent Directors. </w:t>
      </w:r>
      <w:r>
        <w:rPr>
          <w:rFonts w:ascii="Arial" w:cs="Arial" w:eastAsia="Arial" w:hAnsi="Arial"/>
          <w:sz w:val="16"/>
          <w:szCs w:val="16"/>
          <w:color w:val="0E2A35"/>
        </w:rPr>
        <w:t>A director may give advance written consent or opposition to a proposal to be acted on at a</w:t>
      </w:r>
      <w:r>
        <w:rPr>
          <w:rFonts w:ascii="Arial" w:cs="Arial" w:eastAsia="Arial" w:hAnsi="Arial"/>
          <w:sz w:val="16"/>
          <w:szCs w:val="16"/>
          <w:i w:val="1"/>
          <w:iCs w:val="1"/>
          <w:color w:val="0E2A35"/>
        </w:rPr>
        <w:t xml:space="preserve"> </w:t>
      </w:r>
      <w:r>
        <w:rPr>
          <w:rFonts w:ascii="Arial" w:cs="Arial" w:eastAsia="Arial" w:hAnsi="Arial"/>
          <w:sz w:val="16"/>
          <w:szCs w:val="16"/>
          <w:color w:val="0E2A35"/>
        </w:rPr>
        <w:t>Board meeting. If the director is not present at the meeting, consent or opposition to a proposal does not constitute presence for purposes of determining the existence of a quorum, but consent or opposition shall be counted as a vote in favor of or against the proposal and shall be entered in the minutes or other record of action at the meeting, if the proposal acted on at the meeting is substantially the same or has substantially the same effect as the proposal to which the director has consented or objected.</w:t>
      </w:r>
    </w:p>
    <w:p>
      <w:pPr>
        <w:spacing w:after="0" w:line="211"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6"/>
          <w:szCs w:val="16"/>
          <w:i w:val="1"/>
          <w:iCs w:val="1"/>
          <w:color w:val="0E2A35"/>
        </w:rPr>
        <w:t>Section 2.9.</w:t>
        <w:tab/>
        <w:t>Committees.</w:t>
      </w:r>
    </w:p>
    <w:p>
      <w:pPr>
        <w:spacing w:after="0" w:line="197" w:lineRule="exact"/>
        <w:rPr>
          <w:sz w:val="20"/>
          <w:szCs w:val="20"/>
          <w:color w:val="auto"/>
        </w:rPr>
      </w:pPr>
    </w:p>
    <w:p>
      <w:pPr>
        <w:jc w:val="both"/>
        <w:ind w:left="860" w:right="920"/>
        <w:spacing w:after="0" w:line="251" w:lineRule="auto"/>
        <w:tabs>
          <w:tab w:leader="none" w:pos="1211"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A resolution approved by the affirmative vote of a majority of the Board may establish committees having the authority of the Board in the management of the business of the Corporation to the extent provided in the resolution. Committees shall be subject at all times to the direction and control of the Board, except as provided in paragraph (f) of this Bylaw or as otherwise provided by law.</w:t>
      </w:r>
    </w:p>
    <w:p>
      <w:pPr>
        <w:spacing w:after="0" w:line="161" w:lineRule="exact"/>
        <w:rPr>
          <w:rFonts w:ascii="Arial" w:cs="Arial" w:eastAsia="Arial" w:hAnsi="Arial"/>
          <w:sz w:val="16"/>
          <w:szCs w:val="16"/>
          <w:color w:val="0E2A35"/>
        </w:rPr>
      </w:pPr>
    </w:p>
    <w:p>
      <w:pPr>
        <w:ind w:left="860" w:right="1300"/>
        <w:spacing w:after="0" w:line="260" w:lineRule="auto"/>
        <w:tabs>
          <w:tab w:leader="none" w:pos="1211"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A committee shall consist of one or more natural persons, who need not be directors, appointed by affirmative vote of a majority of the directors present at a duly held Board meeting.</w:t>
      </w:r>
    </w:p>
    <w:p>
      <w:pPr>
        <w:spacing w:after="0" w:line="168" w:lineRule="exact"/>
        <w:rPr>
          <w:rFonts w:ascii="Arial" w:cs="Arial" w:eastAsia="Arial" w:hAnsi="Arial"/>
          <w:sz w:val="16"/>
          <w:szCs w:val="16"/>
          <w:color w:val="0E2A35"/>
        </w:rPr>
      </w:pPr>
    </w:p>
    <w:p>
      <w:pPr>
        <w:ind w:left="860" w:right="920"/>
        <w:spacing w:after="0" w:line="260" w:lineRule="auto"/>
        <w:tabs>
          <w:tab w:leader="none" w:pos="1211"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Sections 2.1 through 2.8 apply to committees and members of committees to the same extent as those sections apply to the Board and directors.</w:t>
      </w:r>
    </w:p>
    <w:p>
      <w:pPr>
        <w:spacing w:after="0" w:line="154" w:lineRule="exact"/>
        <w:rPr>
          <w:rFonts w:ascii="Arial" w:cs="Arial" w:eastAsia="Arial" w:hAnsi="Arial"/>
          <w:sz w:val="16"/>
          <w:szCs w:val="16"/>
          <w:color w:val="0E2A35"/>
        </w:rPr>
      </w:pPr>
    </w:p>
    <w:p>
      <w:pPr>
        <w:ind w:left="860" w:right="1380"/>
        <w:spacing w:after="0" w:line="260" w:lineRule="auto"/>
        <w:tabs>
          <w:tab w:leader="none" w:pos="1220"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Minutes, if any, of committee meetings shall be made available upon request to members of the committee and to any director.</w:t>
      </w:r>
    </w:p>
    <w:p>
      <w:pPr>
        <w:spacing w:after="0" w:line="154" w:lineRule="exact"/>
        <w:rPr>
          <w:rFonts w:ascii="Arial" w:cs="Arial" w:eastAsia="Arial" w:hAnsi="Arial"/>
          <w:sz w:val="16"/>
          <w:szCs w:val="16"/>
          <w:color w:val="0E2A35"/>
        </w:rPr>
      </w:pPr>
    </w:p>
    <w:p>
      <w:pPr>
        <w:ind w:left="860" w:right="900"/>
        <w:spacing w:after="0" w:line="250" w:lineRule="auto"/>
        <w:tabs>
          <w:tab w:leader="none" w:pos="1220"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Unless otherwise provided in the resolution of the Board establishing the committee, a committee may create one or more subcommittees, each consisting of one or more members of the committee, and may delegate to a subcommittee any or all of the authority of the committee. In these Bylaws, unless the language or context clearly indicates that a different meaning is intended, any reference to a committee is deemed to include a subcommittee, and any reference to a committee member is deemed to include a subcommittee member.</w:t>
      </w:r>
    </w:p>
    <w:p>
      <w:pPr>
        <w:spacing w:after="0" w:line="175" w:lineRule="exact"/>
        <w:rPr>
          <w:rFonts w:ascii="Arial" w:cs="Arial" w:eastAsia="Arial" w:hAnsi="Arial"/>
          <w:sz w:val="16"/>
          <w:szCs w:val="16"/>
          <w:color w:val="0E2A35"/>
        </w:rPr>
      </w:pPr>
    </w:p>
    <w:p>
      <w:pPr>
        <w:ind w:left="860" w:right="1300"/>
        <w:spacing w:after="0" w:line="260" w:lineRule="auto"/>
        <w:tabs>
          <w:tab w:leader="none" w:pos="1172"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The Board may establish a committee composed of one or more independent directors or other independent persons to consider legal rights or remedies of the Corporation and whether those rights and remedies should be pursued.</w:t>
      </w:r>
    </w:p>
    <w:p>
      <w:pPr>
        <w:spacing w:after="0" w:line="139" w:lineRule="exact"/>
        <w:rPr>
          <w:sz w:val="20"/>
          <w:szCs w:val="20"/>
          <w:color w:val="auto"/>
        </w:rPr>
      </w:pPr>
    </w:p>
    <w:p>
      <w:pPr>
        <w:ind w:left="860" w:right="980"/>
        <w:spacing w:after="0" w:line="263" w:lineRule="auto"/>
        <w:rPr>
          <w:sz w:val="20"/>
          <w:szCs w:val="20"/>
          <w:color w:val="auto"/>
        </w:rPr>
      </w:pPr>
      <w:r>
        <w:rPr>
          <w:rFonts w:ascii="Arial" w:cs="Arial" w:eastAsia="Arial" w:hAnsi="Arial"/>
          <w:sz w:val="16"/>
          <w:szCs w:val="16"/>
          <w:i w:val="1"/>
          <w:iCs w:val="1"/>
          <w:color w:val="0E2A35"/>
        </w:rPr>
        <w:t xml:space="preserve">Section 2.10. Chairman of the Board. </w:t>
      </w:r>
      <w:r>
        <w:rPr>
          <w:rFonts w:ascii="Arial" w:cs="Arial" w:eastAsia="Arial" w:hAnsi="Arial"/>
          <w:sz w:val="16"/>
          <w:szCs w:val="16"/>
          <w:color w:val="0E2A35"/>
        </w:rPr>
        <w:t>The Board may elect or appoint from its members a Chairman of the Board who shall</w:t>
      </w:r>
      <w:r>
        <w:rPr>
          <w:rFonts w:ascii="Arial" w:cs="Arial" w:eastAsia="Arial" w:hAnsi="Arial"/>
          <w:sz w:val="16"/>
          <w:szCs w:val="16"/>
          <w:i w:val="1"/>
          <w:iCs w:val="1"/>
          <w:color w:val="0E2A35"/>
        </w:rPr>
        <w:t xml:space="preserve"> </w:t>
      </w:r>
      <w:r>
        <w:rPr>
          <w:rFonts w:ascii="Arial" w:cs="Arial" w:eastAsia="Arial" w:hAnsi="Arial"/>
          <w:sz w:val="16"/>
          <w:szCs w:val="16"/>
          <w:color w:val="0E2A35"/>
        </w:rPr>
        <w:t>preside at all meetings of shareholders and of the Board, shall make reports to the Board and shareholders, and shall have such other authority and perform such other duties as the Board may from time to time determine.</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284752"/>
        </w:rPr>
        <w:t>Article III</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284752"/>
        </w:rPr>
        <w:t>Officers</w:t>
      </w:r>
    </w:p>
    <w:p>
      <w:pPr>
        <w:spacing w:after="0" w:line="158" w:lineRule="exact"/>
        <w:rPr>
          <w:sz w:val="20"/>
          <w:szCs w:val="20"/>
          <w:color w:val="auto"/>
        </w:rPr>
      </w:pPr>
    </w:p>
    <w:p>
      <w:pPr>
        <w:ind w:left="860" w:right="880"/>
        <w:spacing w:after="0" w:line="252" w:lineRule="auto"/>
        <w:rPr>
          <w:sz w:val="20"/>
          <w:szCs w:val="20"/>
          <w:color w:val="auto"/>
        </w:rPr>
      </w:pPr>
      <w:r>
        <w:rPr>
          <w:rFonts w:ascii="Arial" w:cs="Arial" w:eastAsia="Arial" w:hAnsi="Arial"/>
          <w:sz w:val="16"/>
          <w:szCs w:val="16"/>
          <w:i w:val="1"/>
          <w:iCs w:val="1"/>
          <w:color w:val="0E2A35"/>
        </w:rPr>
        <w:t xml:space="preserve">Section 3.1. Number and Designation. </w:t>
      </w:r>
      <w:r>
        <w:rPr>
          <w:rFonts w:ascii="Arial" w:cs="Arial" w:eastAsia="Arial" w:hAnsi="Arial"/>
          <w:sz w:val="16"/>
          <w:szCs w:val="16"/>
          <w:color w:val="0E2A35"/>
        </w:rPr>
        <w:t>The Corporation shall have one or more natural persons exercising the functions of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offices of Chief Executive Officer and Chief Financial Officer, who shall be elected or appointed by the Board. The Board or Chief Executive Officer may elect or appoint such other officers or agents as deemed necessary for the operation and management of the Corporation, with such powers, rights, duties and responsibilities as may be determined by the Board or the Chief Executive Officer, including, without limitation, a President, one or more Vice Presidents, a Secretary, a Treasurer, one or more Assistant Secretaries, and one or more Assistant Treasurers, provided that the election or appointment of any executive officer shall require approval by the Board. Any of the offices or functions of those offices may be held by the same person.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E-5</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4" w:name="page105"/>
    <w:bookmarkEnd w:id="104"/>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860" w:right="1000"/>
        <w:spacing w:after="0" w:line="263" w:lineRule="auto"/>
        <w:rPr>
          <w:sz w:val="20"/>
          <w:szCs w:val="20"/>
          <w:color w:val="auto"/>
        </w:rPr>
      </w:pPr>
      <w:r>
        <w:rPr>
          <w:rFonts w:ascii="Arial" w:cs="Arial" w:eastAsia="Arial" w:hAnsi="Arial"/>
          <w:sz w:val="16"/>
          <w:szCs w:val="16"/>
          <w:i w:val="1"/>
          <w:iCs w:val="1"/>
          <w:color w:val="0E2A35"/>
        </w:rPr>
        <w:t xml:space="preserve">Section 3.2. Chief Executive Officer. </w:t>
      </w:r>
      <w:r>
        <w:rPr>
          <w:rFonts w:ascii="Arial" w:cs="Arial" w:eastAsia="Arial" w:hAnsi="Arial"/>
          <w:sz w:val="16"/>
          <w:szCs w:val="16"/>
          <w:color w:val="0E2A35"/>
        </w:rPr>
        <w:t>Unless otherwise determined by the Board, the Chief Executive Officer shall have general</w:t>
      </w:r>
      <w:r>
        <w:rPr>
          <w:rFonts w:ascii="Arial" w:cs="Arial" w:eastAsia="Arial" w:hAnsi="Arial"/>
          <w:sz w:val="16"/>
          <w:szCs w:val="16"/>
          <w:i w:val="1"/>
          <w:iCs w:val="1"/>
          <w:color w:val="0E2A35"/>
        </w:rPr>
        <w:t xml:space="preserve"> </w:t>
      </w:r>
      <w:r>
        <w:rPr>
          <w:rFonts w:ascii="Arial" w:cs="Arial" w:eastAsia="Arial" w:hAnsi="Arial"/>
          <w:sz w:val="16"/>
          <w:szCs w:val="16"/>
          <w:color w:val="0E2A35"/>
        </w:rPr>
        <w:t>active management of the business of the Corporation, shall see that all orders and resolutions of the Board are carried into effect, and shall perform such other duties as the Board may from time to time determine.</w:t>
      </w:r>
    </w:p>
    <w:p>
      <w:pPr>
        <w:spacing w:after="0" w:line="151" w:lineRule="exact"/>
        <w:rPr>
          <w:sz w:val="20"/>
          <w:szCs w:val="20"/>
          <w:color w:val="auto"/>
        </w:rPr>
      </w:pPr>
    </w:p>
    <w:p>
      <w:pPr>
        <w:ind w:left="860" w:right="880"/>
        <w:spacing w:after="0" w:line="263" w:lineRule="auto"/>
        <w:rPr>
          <w:sz w:val="20"/>
          <w:szCs w:val="20"/>
          <w:color w:val="auto"/>
        </w:rPr>
      </w:pPr>
      <w:r>
        <w:rPr>
          <w:rFonts w:ascii="Arial" w:cs="Arial" w:eastAsia="Arial" w:hAnsi="Arial"/>
          <w:sz w:val="16"/>
          <w:szCs w:val="16"/>
          <w:i w:val="1"/>
          <w:iCs w:val="1"/>
          <w:color w:val="0E2A35"/>
        </w:rPr>
        <w:t xml:space="preserve">Section 3.3. President. </w:t>
      </w:r>
      <w:r>
        <w:rPr>
          <w:rFonts w:ascii="Arial" w:cs="Arial" w:eastAsia="Arial" w:hAnsi="Arial"/>
          <w:sz w:val="16"/>
          <w:szCs w:val="16"/>
          <w:color w:val="0E2A35"/>
        </w:rPr>
        <w:t>Unless otherwise determined by the Board, the Chief Executive Officer shall be the President of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Corporation. If a person other than the Chief Executive Officer is designated as President, the President shall perform such duties as the Board or the Chief Executive Officer may from time to time determine.</w:t>
      </w:r>
    </w:p>
    <w:p>
      <w:pPr>
        <w:spacing w:after="0" w:line="138" w:lineRule="exact"/>
        <w:rPr>
          <w:sz w:val="20"/>
          <w:szCs w:val="20"/>
          <w:color w:val="auto"/>
        </w:rPr>
      </w:pPr>
    </w:p>
    <w:p>
      <w:pPr>
        <w:jc w:val="both"/>
        <w:ind w:left="860" w:right="1000"/>
        <w:spacing w:after="0" w:line="258" w:lineRule="auto"/>
        <w:rPr>
          <w:sz w:val="20"/>
          <w:szCs w:val="20"/>
          <w:color w:val="auto"/>
        </w:rPr>
      </w:pPr>
      <w:r>
        <w:rPr>
          <w:rFonts w:ascii="Arial" w:cs="Arial" w:eastAsia="Arial" w:hAnsi="Arial"/>
          <w:sz w:val="16"/>
          <w:szCs w:val="16"/>
          <w:i w:val="1"/>
          <w:iCs w:val="1"/>
          <w:color w:val="0E2A35"/>
        </w:rPr>
        <w:t xml:space="preserve">Section 3.4. Chief Financial Officer. </w:t>
      </w:r>
      <w:r>
        <w:rPr>
          <w:rFonts w:ascii="Arial" w:cs="Arial" w:eastAsia="Arial" w:hAnsi="Arial"/>
          <w:sz w:val="16"/>
          <w:szCs w:val="16"/>
          <w:color w:val="0E2A35"/>
        </w:rPr>
        <w:t>Unless otherwise determined by the Board, the Chief Financial Officer shall keep accurate</w:t>
      </w:r>
      <w:r>
        <w:rPr>
          <w:rFonts w:ascii="Arial" w:cs="Arial" w:eastAsia="Arial" w:hAnsi="Arial"/>
          <w:sz w:val="16"/>
          <w:szCs w:val="16"/>
          <w:i w:val="1"/>
          <w:iCs w:val="1"/>
          <w:color w:val="0E2A35"/>
        </w:rPr>
        <w:t xml:space="preserve"> </w:t>
      </w:r>
      <w:r>
        <w:rPr>
          <w:rFonts w:ascii="Arial" w:cs="Arial" w:eastAsia="Arial" w:hAnsi="Arial"/>
          <w:sz w:val="16"/>
          <w:szCs w:val="16"/>
          <w:color w:val="0E2A35"/>
        </w:rPr>
        <w:t>financial records for the Corporation, shall render to the Chief Executive Officer and the Board, whenever requested, an account of the financial condition of the Corporation, and shall perform such other duties as the Board or the Chief Executive Officer may from time to time determine.</w:t>
      </w:r>
    </w:p>
    <w:p>
      <w:pPr>
        <w:spacing w:after="0" w:line="140" w:lineRule="exact"/>
        <w:rPr>
          <w:sz w:val="20"/>
          <w:szCs w:val="20"/>
          <w:color w:val="auto"/>
        </w:rPr>
      </w:pPr>
    </w:p>
    <w:p>
      <w:pPr>
        <w:ind w:left="860" w:right="1000"/>
        <w:spacing w:after="0" w:line="263" w:lineRule="auto"/>
        <w:rPr>
          <w:sz w:val="20"/>
          <w:szCs w:val="20"/>
          <w:color w:val="auto"/>
        </w:rPr>
      </w:pPr>
      <w:r>
        <w:rPr>
          <w:rFonts w:ascii="Arial" w:cs="Arial" w:eastAsia="Arial" w:hAnsi="Arial"/>
          <w:sz w:val="16"/>
          <w:szCs w:val="16"/>
          <w:i w:val="1"/>
          <w:iCs w:val="1"/>
          <w:color w:val="0E2A35"/>
        </w:rPr>
        <w:t xml:space="preserve">Section 3.5. Vice Presidents. </w:t>
      </w:r>
      <w:r>
        <w:rPr>
          <w:rFonts w:ascii="Arial" w:cs="Arial" w:eastAsia="Arial" w:hAnsi="Arial"/>
          <w:sz w:val="16"/>
          <w:szCs w:val="16"/>
          <w:color w:val="0E2A35"/>
        </w:rPr>
        <w:t>Any one or more of the Vice Presidents may be designated by the Board or, to the extent</w:t>
      </w:r>
      <w:r>
        <w:rPr>
          <w:rFonts w:ascii="Arial" w:cs="Arial" w:eastAsia="Arial" w:hAnsi="Arial"/>
          <w:sz w:val="16"/>
          <w:szCs w:val="16"/>
          <w:i w:val="1"/>
          <w:iCs w:val="1"/>
          <w:color w:val="0E2A35"/>
        </w:rPr>
        <w:t xml:space="preserve"> </w:t>
      </w:r>
      <w:r>
        <w:rPr>
          <w:rFonts w:ascii="Arial" w:cs="Arial" w:eastAsia="Arial" w:hAnsi="Arial"/>
          <w:sz w:val="16"/>
          <w:szCs w:val="16"/>
          <w:color w:val="0E2A35"/>
        </w:rPr>
        <w:t>permitted by law, the Chief Executive Officer as an Executive or Senior Vice President, and each Vice President shall have such authority and perform such duties as the Board or the Chief Executive Officer may from time to time determine.</w:t>
      </w:r>
    </w:p>
    <w:p>
      <w:pPr>
        <w:spacing w:after="0" w:line="151" w:lineRule="exact"/>
        <w:rPr>
          <w:sz w:val="20"/>
          <w:szCs w:val="20"/>
          <w:color w:val="auto"/>
        </w:rPr>
      </w:pPr>
    </w:p>
    <w:p>
      <w:pPr>
        <w:ind w:left="860" w:right="980"/>
        <w:spacing w:after="0" w:line="258" w:lineRule="auto"/>
        <w:rPr>
          <w:sz w:val="20"/>
          <w:szCs w:val="20"/>
          <w:color w:val="auto"/>
        </w:rPr>
      </w:pPr>
      <w:r>
        <w:rPr>
          <w:rFonts w:ascii="Arial" w:cs="Arial" w:eastAsia="Arial" w:hAnsi="Arial"/>
          <w:sz w:val="16"/>
          <w:szCs w:val="16"/>
          <w:i w:val="1"/>
          <w:iCs w:val="1"/>
          <w:color w:val="0E2A35"/>
        </w:rPr>
        <w:t xml:space="preserve">Section 3.6. Secretary. </w:t>
      </w:r>
      <w:r>
        <w:rPr>
          <w:rFonts w:ascii="Arial" w:cs="Arial" w:eastAsia="Arial" w:hAnsi="Arial"/>
          <w:sz w:val="16"/>
          <w:szCs w:val="16"/>
          <w:color w:val="0E2A35"/>
        </w:rPr>
        <w:t>Unless otherwise determined by the Board, the Secretary shall issue notices for all meetings, except as</w:t>
      </w:r>
      <w:r>
        <w:rPr>
          <w:rFonts w:ascii="Arial" w:cs="Arial" w:eastAsia="Arial" w:hAnsi="Arial"/>
          <w:sz w:val="16"/>
          <w:szCs w:val="16"/>
          <w:i w:val="1"/>
          <w:iCs w:val="1"/>
          <w:color w:val="0E2A35"/>
        </w:rPr>
        <w:t xml:space="preserve"> </w:t>
      </w:r>
      <w:r>
        <w:rPr>
          <w:rFonts w:ascii="Arial" w:cs="Arial" w:eastAsia="Arial" w:hAnsi="Arial"/>
          <w:sz w:val="16"/>
          <w:szCs w:val="16"/>
          <w:color w:val="0E2A35"/>
        </w:rPr>
        <w:t>otherwise provided for in these Bylaws, and the Secretary shall keep minutes of all meetings, have charge of the seal and the corporate books, and make such reports and perform the other duties incident to that office, and shall have such other authority and perform such other duties as the Board or the Chief Executive Officer may from time to time determine.</w:t>
      </w:r>
    </w:p>
    <w:p>
      <w:pPr>
        <w:spacing w:after="0" w:line="140" w:lineRule="exact"/>
        <w:rPr>
          <w:sz w:val="20"/>
          <w:szCs w:val="20"/>
          <w:color w:val="auto"/>
        </w:rPr>
      </w:pPr>
    </w:p>
    <w:p>
      <w:pPr>
        <w:ind w:left="860" w:right="920"/>
        <w:spacing w:after="0" w:line="281" w:lineRule="auto"/>
        <w:rPr>
          <w:sz w:val="20"/>
          <w:szCs w:val="20"/>
          <w:color w:val="auto"/>
        </w:rPr>
      </w:pPr>
      <w:r>
        <w:rPr>
          <w:rFonts w:ascii="Arial" w:cs="Arial" w:eastAsia="Arial" w:hAnsi="Arial"/>
          <w:sz w:val="16"/>
          <w:szCs w:val="16"/>
          <w:i w:val="1"/>
          <w:iCs w:val="1"/>
          <w:color w:val="0E2A35"/>
        </w:rPr>
        <w:t xml:space="preserve">Section 3.7. Treasurer. </w:t>
      </w:r>
      <w:r>
        <w:rPr>
          <w:rFonts w:ascii="Arial" w:cs="Arial" w:eastAsia="Arial" w:hAnsi="Arial"/>
          <w:sz w:val="16"/>
          <w:szCs w:val="16"/>
          <w:color w:val="0E2A35"/>
        </w:rPr>
        <w:t>The Treasurer shall perform such duties as the Board, the Chief Executive Officer, or the Chief Financial</w:t>
      </w:r>
      <w:r>
        <w:rPr>
          <w:rFonts w:ascii="Arial" w:cs="Arial" w:eastAsia="Arial" w:hAnsi="Arial"/>
          <w:sz w:val="16"/>
          <w:szCs w:val="16"/>
          <w:i w:val="1"/>
          <w:iCs w:val="1"/>
          <w:color w:val="0E2A35"/>
        </w:rPr>
        <w:t xml:space="preserve"> </w:t>
      </w:r>
      <w:r>
        <w:rPr>
          <w:rFonts w:ascii="Arial" w:cs="Arial" w:eastAsia="Arial" w:hAnsi="Arial"/>
          <w:sz w:val="16"/>
          <w:szCs w:val="16"/>
          <w:color w:val="0E2A35"/>
        </w:rPr>
        <w:t>Officer may from time to time determine.</w:t>
      </w:r>
    </w:p>
    <w:p>
      <w:pPr>
        <w:spacing w:after="0" w:line="123" w:lineRule="exact"/>
        <w:rPr>
          <w:sz w:val="20"/>
          <w:szCs w:val="20"/>
          <w:color w:val="auto"/>
        </w:rPr>
      </w:pPr>
    </w:p>
    <w:p>
      <w:pPr>
        <w:ind w:left="860" w:right="920"/>
        <w:spacing w:after="0" w:line="258" w:lineRule="auto"/>
        <w:rPr>
          <w:sz w:val="20"/>
          <w:szCs w:val="20"/>
          <w:color w:val="auto"/>
        </w:rPr>
      </w:pPr>
      <w:r>
        <w:rPr>
          <w:rFonts w:ascii="Arial" w:cs="Arial" w:eastAsia="Arial" w:hAnsi="Arial"/>
          <w:sz w:val="16"/>
          <w:szCs w:val="16"/>
          <w:i w:val="1"/>
          <w:iCs w:val="1"/>
          <w:color w:val="0E2A35"/>
        </w:rPr>
        <w:t xml:space="preserve">Section 3.8. Term of Office. </w:t>
      </w:r>
      <w:r>
        <w:rPr>
          <w:rFonts w:ascii="Arial" w:cs="Arial" w:eastAsia="Arial" w:hAnsi="Arial"/>
          <w:sz w:val="16"/>
          <w:szCs w:val="16"/>
          <w:color w:val="0E2A35"/>
        </w:rPr>
        <w:t>The officers of the Corporation shall hold office until their respective successors are elected or</w:t>
      </w:r>
      <w:r>
        <w:rPr>
          <w:rFonts w:ascii="Arial" w:cs="Arial" w:eastAsia="Arial" w:hAnsi="Arial"/>
          <w:sz w:val="16"/>
          <w:szCs w:val="16"/>
          <w:i w:val="1"/>
          <w:iCs w:val="1"/>
          <w:color w:val="0E2A35"/>
        </w:rPr>
        <w:t xml:space="preserve"> </w:t>
      </w:r>
      <w:r>
        <w:rPr>
          <w:rFonts w:ascii="Arial" w:cs="Arial" w:eastAsia="Arial" w:hAnsi="Arial"/>
          <w:sz w:val="16"/>
          <w:szCs w:val="16"/>
          <w:color w:val="0E2A35"/>
        </w:rPr>
        <w:t>appointed or until their earlier resignation, death or removal. Any officer elected or appointed by the Board may be removed at any time, with or without cause, by the Board or, except in the case of the Chief Executive Officer, Chief Financial Officer and any other executive officer, by the Chief Executive Officer.</w:t>
      </w:r>
    </w:p>
    <w:p>
      <w:pPr>
        <w:spacing w:after="0" w:line="154" w:lineRule="exact"/>
        <w:rPr>
          <w:sz w:val="20"/>
          <w:szCs w:val="20"/>
          <w:color w:val="auto"/>
        </w:rPr>
      </w:pPr>
    </w:p>
    <w:p>
      <w:pPr>
        <w:ind w:left="860" w:right="1140"/>
        <w:spacing w:after="0" w:line="281" w:lineRule="auto"/>
        <w:rPr>
          <w:sz w:val="20"/>
          <w:szCs w:val="20"/>
          <w:color w:val="auto"/>
        </w:rPr>
      </w:pPr>
      <w:r>
        <w:rPr>
          <w:rFonts w:ascii="Arial" w:cs="Arial" w:eastAsia="Arial" w:hAnsi="Arial"/>
          <w:sz w:val="16"/>
          <w:szCs w:val="16"/>
          <w:i w:val="1"/>
          <w:iCs w:val="1"/>
          <w:color w:val="0E2A35"/>
        </w:rPr>
        <w:t xml:space="preserve">Section 3.9. Vacancies. </w:t>
      </w:r>
      <w:r>
        <w:rPr>
          <w:rFonts w:ascii="Arial" w:cs="Arial" w:eastAsia="Arial" w:hAnsi="Arial"/>
          <w:sz w:val="16"/>
          <w:szCs w:val="16"/>
          <w:color w:val="0E2A35"/>
        </w:rPr>
        <w:t>Vacancies in any office or designation arising from any cause may be filled by the directors or, to the</w:t>
      </w:r>
      <w:r>
        <w:rPr>
          <w:rFonts w:ascii="Arial" w:cs="Arial" w:eastAsia="Arial" w:hAnsi="Arial"/>
          <w:sz w:val="16"/>
          <w:szCs w:val="16"/>
          <w:i w:val="1"/>
          <w:iCs w:val="1"/>
          <w:color w:val="0E2A35"/>
        </w:rPr>
        <w:t xml:space="preserve"> </w:t>
      </w:r>
      <w:r>
        <w:rPr>
          <w:rFonts w:ascii="Arial" w:cs="Arial" w:eastAsia="Arial" w:hAnsi="Arial"/>
          <w:sz w:val="16"/>
          <w:szCs w:val="16"/>
          <w:color w:val="0E2A35"/>
        </w:rPr>
        <w:t>extent permitted by law, the Chief Executive Officer.</w:t>
      </w:r>
    </w:p>
    <w:p>
      <w:pPr>
        <w:spacing w:after="0" w:line="190"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6"/>
          <w:szCs w:val="16"/>
          <w:i w:val="1"/>
          <w:iCs w:val="1"/>
          <w:color w:val="0E2A35"/>
        </w:rPr>
        <w:t>Section 3.10.</w:t>
        <w:tab/>
        <w:t>Delegation; Execution of Instruments.</w:t>
      </w:r>
    </w:p>
    <w:p>
      <w:pPr>
        <w:spacing w:after="0" w:line="197" w:lineRule="exact"/>
        <w:rPr>
          <w:sz w:val="20"/>
          <w:szCs w:val="20"/>
          <w:color w:val="auto"/>
        </w:rPr>
      </w:pPr>
    </w:p>
    <w:p>
      <w:pPr>
        <w:ind w:left="860" w:right="1240"/>
        <w:spacing w:after="0" w:line="260" w:lineRule="auto"/>
        <w:tabs>
          <w:tab w:leader="none" w:pos="1220" w:val="left"/>
        </w:tabs>
        <w:numPr>
          <w:ilvl w:val="0"/>
          <w:numId w:val="80"/>
        </w:numPr>
        <w:rPr>
          <w:rFonts w:ascii="Arial" w:cs="Arial" w:eastAsia="Arial" w:hAnsi="Arial"/>
          <w:sz w:val="16"/>
          <w:szCs w:val="16"/>
          <w:color w:val="0E2A35"/>
        </w:rPr>
      </w:pPr>
      <w:r>
        <w:rPr>
          <w:rFonts w:ascii="Arial" w:cs="Arial" w:eastAsia="Arial" w:hAnsi="Arial"/>
          <w:sz w:val="16"/>
          <w:szCs w:val="16"/>
          <w:color w:val="0E2A35"/>
        </w:rPr>
        <w:t>Unless prohibited by the Board, an officer may, without the approval of the Board, delegate some or all of the duties and powers of his or her office to other persons.</w:t>
      </w:r>
    </w:p>
    <w:p>
      <w:pPr>
        <w:spacing w:after="0" w:line="154" w:lineRule="exact"/>
        <w:rPr>
          <w:rFonts w:ascii="Arial" w:cs="Arial" w:eastAsia="Arial" w:hAnsi="Arial"/>
          <w:sz w:val="16"/>
          <w:szCs w:val="16"/>
          <w:color w:val="0E2A35"/>
        </w:rPr>
      </w:pPr>
    </w:p>
    <w:p>
      <w:pPr>
        <w:ind w:left="860" w:right="880"/>
        <w:spacing w:after="0" w:line="251" w:lineRule="auto"/>
        <w:tabs>
          <w:tab w:leader="none" w:pos="1211" w:val="left"/>
        </w:tabs>
        <w:numPr>
          <w:ilvl w:val="0"/>
          <w:numId w:val="80"/>
        </w:numPr>
        <w:rPr>
          <w:rFonts w:ascii="Arial" w:cs="Arial" w:eastAsia="Arial" w:hAnsi="Arial"/>
          <w:sz w:val="16"/>
          <w:szCs w:val="16"/>
          <w:color w:val="0E2A35"/>
        </w:rPr>
      </w:pPr>
      <w:r>
        <w:rPr>
          <w:rFonts w:ascii="Arial" w:cs="Arial" w:eastAsia="Arial" w:hAnsi="Arial"/>
          <w:sz w:val="16"/>
          <w:szCs w:val="16"/>
          <w:color w:val="0E2A35"/>
        </w:rPr>
        <w:t>All contracts, deeds, mortgages, notes, checks, conveyances, releases of mortgages and other instruments shall be signed on behalf of the Corporation by the Chief Executive Officer, the President, the Chief Financial Officer, the Treasurer, or any Vice President, or by such other person or persons pursuant to delegated authority or as may be designated or authorized from time to time by the Board or by the Chief Executive Officer.</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IV</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Indemnification and Insurance</w:t>
      </w:r>
    </w:p>
    <w:p>
      <w:pPr>
        <w:spacing w:after="0" w:line="174" w:lineRule="exact"/>
        <w:rPr>
          <w:sz w:val="20"/>
          <w:szCs w:val="20"/>
          <w:color w:val="auto"/>
        </w:rPr>
      </w:pPr>
    </w:p>
    <w:p>
      <w:pPr>
        <w:ind w:left="860" w:right="1000"/>
        <w:spacing w:after="0" w:line="250" w:lineRule="auto"/>
        <w:rPr>
          <w:sz w:val="20"/>
          <w:szCs w:val="20"/>
          <w:color w:val="auto"/>
        </w:rPr>
      </w:pPr>
      <w:r>
        <w:rPr>
          <w:rFonts w:ascii="Arial" w:cs="Arial" w:eastAsia="Arial" w:hAnsi="Arial"/>
          <w:sz w:val="16"/>
          <w:szCs w:val="16"/>
          <w:color w:val="0E2A35"/>
        </w:rPr>
        <w:t>The Corporation shall indemnify its officers and directors for such expenses and liabilities, in such manner, under such circumstances, and to such extent, as required or permitted by Minnesota Statutes, Section 302A.521, as amended from time to time, or as required or permitted by other provisions of law. The Corporation may purchase and maintain insurance on behalf of any person in such person’s official capacity against any liability asserted against and incurred by such person in or arising from that capacity, whether or not the Corporation would otherwise be required to indemnify the person against the liability.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E-6</w:t>
            </w:r>
          </w:p>
        </w:tc>
      </w:tr>
      <w:tr>
        <w:trPr>
          <w:trHeight w:val="253"/>
        </w:trPr>
        <w:tc>
          <w:tcPr>
            <w:tcW w:w="9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5" w:name="page106"/>
    <w:bookmarkEnd w:id="105"/>
    <w:p>
      <w:pPr>
        <w:ind w:left="860"/>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Certificated and Uncertificated Stock</w:t>
      </w:r>
    </w:p>
    <w:p>
      <w:pPr>
        <w:spacing w:after="0" w:line="187"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The shares of the Corporation shall be either certificated shares or uncertificated shares. Each holder of duly issued certificated shares is entitled to a certificate of shares. The Corporation may determine that some or all of any or all classes and series of the shares of the Corporation will be uncertificated shares. Any such determination shall not apply to shares represented by a certificate until the certificate is surrendered to the Corporation.</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Fiscal Year</w:t>
      </w:r>
    </w:p>
    <w:p>
      <w:pPr>
        <w:spacing w:after="0" w:line="174" w:lineRule="exact"/>
        <w:rPr>
          <w:sz w:val="20"/>
          <w:szCs w:val="20"/>
          <w:color w:val="auto"/>
        </w:rPr>
      </w:pPr>
    </w:p>
    <w:p>
      <w:pPr>
        <w:ind w:left="860" w:right="1140"/>
        <w:spacing w:after="0" w:line="260" w:lineRule="auto"/>
        <w:rPr>
          <w:sz w:val="20"/>
          <w:szCs w:val="20"/>
          <w:color w:val="auto"/>
        </w:rPr>
      </w:pPr>
      <w:r>
        <w:rPr>
          <w:rFonts w:ascii="Arial" w:cs="Arial" w:eastAsia="Arial" w:hAnsi="Arial"/>
          <w:sz w:val="16"/>
          <w:szCs w:val="16"/>
          <w:color w:val="0E2A35"/>
        </w:rPr>
        <w:t>The fiscal year of this Corporation shall begin on the next day following the last Saturday in August of any year and end on the last Saturday in August of the succeeding year.</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Article VII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84752"/>
        </w:rPr>
        <w:t>Amendments</w:t>
      </w:r>
    </w:p>
    <w:p>
      <w:pPr>
        <w:spacing w:after="0" w:line="174" w:lineRule="exact"/>
        <w:rPr>
          <w:sz w:val="20"/>
          <w:szCs w:val="20"/>
          <w:color w:val="auto"/>
        </w:rPr>
      </w:pPr>
    </w:p>
    <w:p>
      <w:pPr>
        <w:ind w:left="860" w:right="940"/>
        <w:spacing w:after="0" w:line="251" w:lineRule="auto"/>
        <w:rPr>
          <w:sz w:val="20"/>
          <w:szCs w:val="20"/>
          <w:color w:val="auto"/>
        </w:rPr>
      </w:pPr>
      <w:r>
        <w:rPr>
          <w:rFonts w:ascii="Arial" w:cs="Arial" w:eastAsia="Arial" w:hAnsi="Arial"/>
          <w:sz w:val="16"/>
          <w:szCs w:val="16"/>
          <w:color w:val="0E2A35"/>
        </w:rPr>
        <w:t>These Bylaws may be altered, amended, added to, or repealed by the affirmative vote of a majority of the members of the Board at any regular meeting of the Board, or at any special meeting of the Board called for that purpose, subject to the power of the shareholders to change or repeal such Bylaws and subject to any other limitations on such authority of the Board provided by the Minnesota Business Corporation Act.</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Effective: January 1, 2022</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820" w:type="dxa"/>
            <w:vAlign w:val="bottom"/>
          </w:tcPr>
          <w:p>
            <w:pPr>
              <w:ind w:left="7360"/>
              <w:spacing w:after="0"/>
              <w:rPr>
                <w:sz w:val="20"/>
                <w:szCs w:val="20"/>
                <w:color w:val="auto"/>
              </w:rPr>
            </w:pPr>
            <w:r>
              <w:rPr>
                <w:rFonts w:ascii="Arial" w:cs="Arial" w:eastAsia="Arial" w:hAnsi="Arial"/>
                <w:sz w:val="13"/>
                <w:szCs w:val="13"/>
                <w:color w:val="0E2A35"/>
              </w:rPr>
              <w:t>Proxy Statement for 2021 Annual Meeting</w:t>
            </w:r>
          </w:p>
        </w:tc>
        <w:tc>
          <w:tcPr>
            <w:tcW w:w="1200" w:type="dxa"/>
            <w:vAlign w:val="bottom"/>
          </w:tcPr>
          <w:p>
            <w:pPr>
              <w:ind w:left="140"/>
              <w:spacing w:after="0"/>
              <w:rPr>
                <w:sz w:val="20"/>
                <w:szCs w:val="20"/>
                <w:color w:val="auto"/>
              </w:rPr>
            </w:pPr>
            <w:r>
              <w:rPr>
                <w:rFonts w:ascii="Arial" w:cs="Arial" w:eastAsia="Arial" w:hAnsi="Arial"/>
                <w:sz w:val="13"/>
                <w:szCs w:val="13"/>
                <w:b w:val="1"/>
                <w:bCs w:val="1"/>
                <w:color w:val="0E2A35"/>
              </w:rPr>
              <w:t>E-7</w:t>
            </w:r>
          </w:p>
        </w:tc>
      </w:tr>
      <w:tr>
        <w:trPr>
          <w:trHeight w:val="239"/>
        </w:trPr>
        <w:tc>
          <w:tcPr>
            <w:tcW w:w="9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3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6995160" cy="9309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930973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6995160" cy="93186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931862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126365</wp:posOffset>
            </wp:positionV>
            <wp:extent cx="6995160" cy="9206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920686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872490</wp:posOffset>
            </wp:positionV>
            <wp:extent cx="6995160" cy="7586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758698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941070</wp:posOffset>
            </wp:positionV>
            <wp:extent cx="5666105" cy="73380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lvl w:ilvl="1">
      <w:lvlJc w:val="left"/>
      <w:lvlText w:val="☐"/>
      <w:numFmt w:val="bullet"/>
      <w:start w:val="1"/>
    </w:lvl>
  </w:abstractNum>
  <w:abstractNum w:abstractNumId="1">
    <w:nsid w:val="153EA438"/>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3855585C"/>
    <w:multiLevelType w:val="hybridMultilevel"/>
    <w:lvl w:ilvl="0">
      <w:lvlJc w:val="left"/>
      <w:lvlText w:val="1"/>
      <w:numFmt w:val="bullet"/>
      <w:start w:val="1"/>
    </w:lvl>
  </w:abstractNum>
  <w:abstractNum w:abstractNumId="3">
    <w:nsid w:val="70A64E2A"/>
    <w:multiLevelType w:val="hybridMultilevel"/>
    <w:lvl w:ilvl="0">
      <w:lvlJc w:val="left"/>
      <w:lvlText w:val="2"/>
      <w:numFmt w:val="bullet"/>
      <w:start w:val="1"/>
    </w:lvl>
  </w:abstractNum>
  <w:abstractNum w:abstractNumId="4">
    <w:nsid w:val="6A2342EC"/>
    <w:multiLevelType w:val="hybridMultilevel"/>
    <w:lvl w:ilvl="0">
      <w:lvlJc w:val="left"/>
      <w:lvlText w:val="3"/>
      <w:numFmt w:val="bullet"/>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C"/>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5"/>
    </w:lvl>
  </w:abstractNum>
  <w:abstractNum w:abstractNumId="10">
    <w:nsid w:val="7A6D8D3C"/>
    <w:multiLevelType w:val="hybridMultilevel"/>
    <w:lvl w:ilvl="0">
      <w:lvlJc w:val="left"/>
      <w:lvlText w:val="1"/>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2"/>
    </w:lvl>
  </w:abstractNum>
  <w:abstractNum w:abstractNumId="44">
    <w:nsid w:val="7E0C57B1"/>
    <w:multiLevelType w:val="hybridMultilevel"/>
    <w:lvl w:ilvl="0">
      <w:lvlJc w:val="left"/>
      <w:lvlText w:val="%1"/>
      <w:numFmt w:val="decimal"/>
      <w:start w:val="1"/>
    </w:lvl>
    <w:lvl w:ilvl="1">
      <w:lvlJc w:val="left"/>
      <w:lvlText w:val="(%2)"/>
      <w:numFmt w:val="lowerLetter"/>
      <w:start w:val="1"/>
    </w:lvl>
  </w:abstractNum>
  <w:abstractNum w:abstractNumId="45">
    <w:nsid w:val="77AE35EB"/>
    <w:multiLevelType w:val="hybridMultilevel"/>
    <w:lvl w:ilvl="0">
      <w:lvlJc w:val="left"/>
      <w:lvlText w:val="(%1)"/>
      <w:numFmt w:val="decimal"/>
      <w:start w:val="3"/>
    </w:lvl>
    <w:lvl w:ilvl="1">
      <w:lvlJc w:val="left"/>
      <w:lvlText w:val="%2"/>
      <w:numFmt w:val="lowerLetter"/>
      <w:start w:val="1"/>
    </w:lvl>
  </w:abstractNum>
  <w:abstractNum w:abstractNumId="46">
    <w:nsid w:val="579BE4F1"/>
    <w:multiLevelType w:val="hybridMultilevel"/>
    <w:lvl w:ilvl="0">
      <w:lvlJc w:val="left"/>
      <w:lvlText w:val="(%1)"/>
      <w:numFmt w:val="decimal"/>
      <w:start w:val="5"/>
    </w:lvl>
  </w:abstractNum>
  <w:abstractNum w:abstractNumId="47">
    <w:nsid w:val="310C50B3"/>
    <w:multiLevelType w:val="hybridMultilevel"/>
    <w:lvl w:ilvl="0">
      <w:lvlJc w:val="left"/>
      <w:lvlText w:val="%1"/>
      <w:numFmt w:val="decimal"/>
      <w:start w:val="1"/>
    </w:lvl>
    <w:lvl w:ilvl="1">
      <w:lvlJc w:val="left"/>
      <w:lvlText w:val="(%2)"/>
      <w:numFmt w:val="lowerLetter"/>
      <w:start w:val="1"/>
    </w:lvl>
  </w:abstractNum>
  <w:abstractNum w:abstractNumId="48">
    <w:nsid w:val="5FF87E05"/>
    <w:multiLevelType w:val="hybridMultilevel"/>
    <w:lvl w:ilvl="0">
      <w:lvlJc w:val="left"/>
      <w:lvlText w:val="(%1)"/>
      <w:numFmt w:val="decimal"/>
      <w:start w:val="6"/>
    </w:lvl>
    <w:lvl w:ilvl="1">
      <w:lvlJc w:val="left"/>
      <w:lvlText w:val="%2"/>
      <w:numFmt w:val="lowerLetter"/>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3"/>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lowerLetter"/>
      <w:start w:val="3"/>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lowerRoman"/>
      <w:start w:val="9"/>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2"/>
    </w:lvl>
  </w:abstractNum>
  <w:abstractNum w:abstractNumId="75">
    <w:nsid w:val="A0382C5"/>
    <w:multiLevelType w:val="hybridMultilevel"/>
    <w:lvl w:ilvl="0">
      <w:lvlJc w:val="left"/>
      <w:lvlText w:val="(%1)"/>
      <w:numFmt w:val="decimal"/>
      <w:start w:val="2"/>
    </w:lvl>
  </w:abstractNum>
  <w:abstractNum w:abstractNumId="76">
    <w:nsid w:val="8F2B15E"/>
    <w:multiLevelType w:val="hybridMultilevel"/>
    <w:lvl w:ilvl="0">
      <w:lvlJc w:val="left"/>
      <w:lvlText w:val="(%1)"/>
      <w:numFmt w:val="decimal"/>
      <w:start w:val="1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lowerLetter"/>
      <w:start w:val="1"/>
    </w:lvl>
  </w:abstractNum>
  <w:abstractNum w:abstractNumId="79">
    <w:nsid w:val="68EB2F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2021-10-20T16:11:36Z</dcterms:created>
  <dcterms:modified xsi:type="dcterms:W3CDTF">2021-10-20T16:11:36Z</dcterms:modified>
</cp:coreProperties>
</file>