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Happe Michael J</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200" w:type="dxa"/>
            <w:vAlign w:val="bottom"/>
            <w:gridSpan w:val="2"/>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Arial" w:cs="Arial" w:eastAsia="Arial" w:hAnsi="Arial"/>
                <w:sz w:val="1"/>
                <w:szCs w:val="1"/>
                <w:color w:val="auto"/>
              </w:rPr>
            </w:pPr>
            <w:hyperlink r:id="rId13">
              <w:r>
                <w:rPr>
                  <w:rFonts w:ascii="Arial" w:cs="Arial" w:eastAsia="Arial" w:hAnsi="Arial"/>
                  <w:sz w:val="1"/>
                  <w:szCs w:val="1"/>
                  <w:color w:val="auto"/>
                </w:rPr>
                <w:t>]</w:t>
              </w:r>
            </w:hyperlink>
          </w:p>
        </w:tc>
        <w:tc>
          <w:tcPr>
            <w:tcW w:w="29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10/12/2023</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tcPr>
          <w:p>
            <w:pPr>
              <w:ind w:left="40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0"/>
          <w:szCs w:val="20"/>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3,056</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57.18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254,788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10/12/2022 under the Winnebago Industries, Inc. 2019 Omnibus Equity, Performance Awards, and Incentive Compensation Plan, which is a Section l 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2023-10-13T14:18:15Z</dcterms:created>
  <dcterms:modified xsi:type="dcterms:W3CDTF">2023-10-13T14:18:15Z</dcterms:modified>
</cp:coreProperties>
</file>