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66"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FORM 10-Q</w:t>
      </w:r>
    </w:p>
    <w:p>
      <w:pPr>
        <w:spacing w:after="0" w:line="3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1820" w:right="2080" w:hanging="793"/>
        <w:spacing w:after="0" w:line="228" w:lineRule="auto"/>
        <w:tabs>
          <w:tab w:leader="none" w:pos="1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238" w:lineRule="exact"/>
        <w:rPr>
          <w:sz w:val="24"/>
          <w:szCs w:val="24"/>
          <w:color w:val="auto"/>
        </w:rPr>
      </w:pPr>
    </w:p>
    <w:p>
      <w:pPr>
        <w:ind w:left="660"/>
        <w:spacing w:after="0"/>
        <w:tabs>
          <w:tab w:leader="none" w:pos="37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February 26,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1804670</wp:posOffset>
            </wp:positionH>
            <wp:positionV relativeFrom="paragraph">
              <wp:posOffset>-13970</wp:posOffset>
            </wp:positionV>
            <wp:extent cx="1991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spacing w:after="0" w:line="232"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1820" w:right="2060" w:hanging="793"/>
        <w:spacing w:after="0" w:line="228" w:lineRule="auto"/>
        <w:tabs>
          <w:tab w:leader="none" w:pos="1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TRANSITION REPORT PURSUANT TO SECTION 13 OR 15(d) OF THE SECURITIES EXCHANGE ACT OF 1934</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_______________________ to _____________________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001-06403</w:t>
      </w:r>
    </w:p>
    <w:p>
      <w:pPr>
        <w:spacing w:after="0" w:line="200" w:lineRule="exact"/>
        <w:rPr>
          <w:sz w:val="24"/>
          <w:szCs w:val="24"/>
          <w:color w:val="auto"/>
        </w:rPr>
      </w:pP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588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7"/>
              </w:rPr>
              <w:t>IOWA</w:t>
            </w:r>
          </w:p>
        </w:tc>
        <w:tc>
          <w:tcPr>
            <w:tcW w:w="5020" w:type="dxa"/>
            <w:vAlign w:val="bottom"/>
            <w:gridSpan w:val="2"/>
          </w:tcPr>
          <w:p>
            <w:pPr>
              <w:jc w:val="right"/>
              <w:ind w:right="1632"/>
              <w:spacing w:after="0"/>
              <w:rPr>
                <w:sz w:val="20"/>
                <w:szCs w:val="20"/>
                <w:color w:val="auto"/>
              </w:rPr>
            </w:pPr>
            <w:r>
              <w:rPr>
                <w:rFonts w:ascii="Arial" w:cs="Arial" w:eastAsia="Arial" w:hAnsi="Arial"/>
                <w:sz w:val="18"/>
                <w:szCs w:val="18"/>
                <w:b w:val="1"/>
                <w:bCs w:val="1"/>
                <w:color w:val="auto"/>
              </w:rPr>
              <w:t>42-0802678</w:t>
            </w:r>
          </w:p>
        </w:tc>
      </w:tr>
      <w:tr>
        <w:trPr>
          <w:trHeight w:val="110"/>
        </w:trPr>
        <w:tc>
          <w:tcPr>
            <w:tcW w:w="4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r>
        <w:trPr>
          <w:trHeight w:val="309"/>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76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76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459"/>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8"/>
              </w:rPr>
              <w:t>P. O. Box 152, Forest City, Iowa</w:t>
            </w:r>
          </w:p>
        </w:tc>
        <w:tc>
          <w:tcPr>
            <w:tcW w:w="5020" w:type="dxa"/>
            <w:vAlign w:val="bottom"/>
            <w:gridSpan w:val="2"/>
          </w:tcPr>
          <w:p>
            <w:pPr>
              <w:jc w:val="right"/>
              <w:ind w:right="1832"/>
              <w:spacing w:after="0"/>
              <w:rPr>
                <w:sz w:val="20"/>
                <w:szCs w:val="20"/>
                <w:color w:val="auto"/>
              </w:rPr>
            </w:pPr>
            <w:r>
              <w:rPr>
                <w:rFonts w:ascii="Arial" w:cs="Arial" w:eastAsia="Arial" w:hAnsi="Arial"/>
                <w:sz w:val="18"/>
                <w:szCs w:val="18"/>
                <w:b w:val="1"/>
                <w:bCs w:val="1"/>
                <w:color w:val="auto"/>
              </w:rPr>
              <w:t>50436</w:t>
            </w:r>
          </w:p>
        </w:tc>
      </w:tr>
      <w:tr>
        <w:trPr>
          <w:trHeight w:val="110"/>
        </w:trPr>
        <w:tc>
          <w:tcPr>
            <w:tcW w:w="4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r>
        <w:trPr>
          <w:trHeight w:val="316"/>
        </w:trPr>
        <w:tc>
          <w:tcPr>
            <w:tcW w:w="424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76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Registrant’s telephone number, including area code: (641) 585-3535</w:t>
      </w:r>
    </w:p>
    <w:p>
      <w:pPr>
        <w:spacing w:after="0" w:line="225" w:lineRule="exact"/>
        <w:rPr>
          <w:sz w:val="24"/>
          <w:szCs w:val="24"/>
          <w:color w:val="auto"/>
        </w:rPr>
      </w:pPr>
    </w:p>
    <w:p>
      <w:pPr>
        <w:ind w:left="300" w:right="26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ind w:left="300"/>
        <w:spacing w:after="0"/>
        <w:tabs>
          <w:tab w:leader="none" w:pos="7360" w:val="left"/>
          <w:tab w:leader="none" w:pos="7740" w:val="left"/>
          <w:tab w:leader="none" w:pos="8400" w:val="left"/>
        </w:tabs>
        <w:rPr>
          <w:sz w:val="20"/>
          <w:szCs w:val="20"/>
          <w:color w:val="auto"/>
        </w:rPr>
      </w:pPr>
      <w:r>
        <w:rPr>
          <w:rFonts w:ascii="Arial" w:cs="Arial" w:eastAsia="Arial" w:hAnsi="Arial"/>
          <w:sz w:val="16"/>
          <w:szCs w:val="16"/>
          <w:color w:val="auto"/>
        </w:rPr>
        <w:t>to file such reports), and (2) has been subject to such filing requirements for the past 90 days. Yes</w:t>
      </w:r>
      <w:r>
        <w:rPr>
          <w:sz w:val="20"/>
          <w:szCs w:val="20"/>
          <w:color w:val="auto"/>
        </w:rPr>
        <w:tab/>
      </w:r>
      <w:r>
        <w:rPr>
          <w:rFonts w:ascii="Arial" w:cs="Arial" w:eastAsia="Arial" w:hAnsi="Arial"/>
          <w:sz w:val="18"/>
          <w:szCs w:val="18"/>
          <w:color w:val="auto"/>
        </w:rPr>
        <w:t>X</w:t>
        <w:tab/>
        <w:t>No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4596765</wp:posOffset>
            </wp:positionH>
            <wp:positionV relativeFrom="paragraph">
              <wp:posOffset>-17780</wp:posOffset>
            </wp:positionV>
            <wp:extent cx="24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-17780</wp:posOffset>
            </wp:positionV>
            <wp:extent cx="222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p>
    <w:p>
      <w:pPr>
        <w:spacing w:after="0" w:line="38" w:lineRule="exact"/>
        <w:rPr>
          <w:sz w:val="24"/>
          <w:szCs w:val="24"/>
          <w:color w:val="auto"/>
        </w:rPr>
      </w:pPr>
    </w:p>
    <w:p>
      <w:pPr>
        <w:ind w:left="300"/>
        <w:spacing w:after="0"/>
        <w:tabs>
          <w:tab w:leader="none" w:pos="760" w:val="left"/>
          <w:tab w:leader="none" w:pos="1140" w:val="left"/>
          <w:tab w:leader="none" w:pos="1800" w:val="left"/>
        </w:tabs>
        <w:rPr>
          <w:sz w:val="20"/>
          <w:szCs w:val="20"/>
          <w:color w:val="auto"/>
        </w:rPr>
      </w:pPr>
      <w:r>
        <w:rPr>
          <w:rFonts w:ascii="Arial" w:cs="Arial" w:eastAsia="Arial" w:hAnsi="Arial"/>
          <w:sz w:val="18"/>
          <w:szCs w:val="18"/>
          <w:color w:val="auto"/>
        </w:rPr>
        <w:t>Yes</w:t>
        <w:tab/>
        <w:t>X</w:t>
        <w:tab/>
        <w:t>No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411480</wp:posOffset>
            </wp:positionH>
            <wp:positionV relativeFrom="paragraph">
              <wp:posOffset>-17780</wp:posOffset>
            </wp:positionV>
            <wp:extent cx="24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-17780</wp:posOffset>
            </wp:positionV>
            <wp:extent cx="222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ind w:left="300"/>
        <w:spacing w:after="0"/>
        <w:rPr>
          <w:sz w:val="20"/>
          <w:szCs w:val="20"/>
          <w:color w:val="auto"/>
        </w:rPr>
      </w:pPr>
      <w:r>
        <w:rPr>
          <w:rFonts w:ascii="Arial" w:cs="Arial" w:eastAsia="Arial" w:hAnsi="Arial"/>
          <w:sz w:val="18"/>
          <w:szCs w:val="18"/>
          <w:color w:val="auto"/>
        </w:rPr>
        <w:t>There were 33,379,859 shares of $0.50 par value common stock outstanding on April 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437515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30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REPORT ON FORM 10-Q</w:t>
      </w:r>
    </w:p>
    <w:p>
      <w:pPr>
        <w:spacing w:after="0" w:line="294" w:lineRule="exact"/>
        <w:rPr>
          <w:sz w:val="24"/>
          <w:szCs w:val="24"/>
          <w:color w:val="auto"/>
        </w:rPr>
      </w:pPr>
    </w:p>
    <w:tbl>
      <w:tblPr>
        <w:tblLayout w:type="fixed"/>
        <w:tblInd w:w="66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95"/>
        </w:trPr>
        <w:tc>
          <w:tcPr>
            <w:tcW w:w="580" w:type="dxa"/>
            <w:vAlign w:val="bottom"/>
            <w:gridSpan w:val="2"/>
            <w:vMerge w:val="restart"/>
          </w:tcPr>
          <w:p>
            <w:pPr>
              <w:spacing w:after="0"/>
              <w:rPr>
                <w:sz w:val="20"/>
                <w:szCs w:val="20"/>
                <w:color w:val="auto"/>
              </w:rPr>
            </w:pPr>
            <w:r>
              <w:rPr>
                <w:rFonts w:ascii="Arial" w:cs="Arial" w:eastAsia="Arial" w:hAnsi="Arial"/>
                <w:sz w:val="18"/>
                <w:szCs w:val="18"/>
                <w:color w:val="0000EE"/>
                <w:w w:val="88"/>
              </w:rPr>
              <w:t>PART I.</w:t>
            </w:r>
          </w:p>
        </w:tc>
        <w:tc>
          <w:tcPr>
            <w:tcW w:w="360" w:type="dxa"/>
            <w:vAlign w:val="bottom"/>
            <w:vMerge w:val="restart"/>
          </w:tcPr>
          <w:p>
            <w:pPr>
              <w:spacing w:after="0"/>
              <w:rPr>
                <w:sz w:val="8"/>
                <w:szCs w:val="8"/>
                <w:color w:val="auto"/>
              </w:rPr>
            </w:pPr>
          </w:p>
        </w:tc>
        <w:tc>
          <w:tcPr>
            <w:tcW w:w="2260" w:type="dxa"/>
            <w:vAlign w:val="bottom"/>
            <w:vMerge w:val="restart"/>
          </w:tcPr>
          <w:p>
            <w:pPr>
              <w:spacing w:after="0"/>
              <w:rPr>
                <w:sz w:val="20"/>
                <w:szCs w:val="20"/>
                <w:color w:val="auto"/>
              </w:rPr>
            </w:pPr>
            <w:r>
              <w:rPr>
                <w:rFonts w:ascii="Arial" w:cs="Arial" w:eastAsia="Arial" w:hAnsi="Arial"/>
                <w:sz w:val="18"/>
                <w:szCs w:val="18"/>
                <w:color w:val="0000EE"/>
                <w:w w:val="97"/>
              </w:rPr>
              <w:t>FINANCIAL INFORMATION:</w:t>
            </w:r>
          </w:p>
        </w:tc>
        <w:tc>
          <w:tcPr>
            <w:tcW w:w="3940" w:type="dxa"/>
            <w:vAlign w:val="bottom"/>
            <w:gridSpan w:val="5"/>
            <w:vMerge w:val="restart"/>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gridSpan w:val="2"/>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2260" w:type="dxa"/>
            <w:vAlign w:val="bottom"/>
            <w:tcBorders>
              <w:bottom w:val="single" w:sz="8" w:color="0000EE"/>
            </w:tcBorders>
            <w:vMerge w:val="continue"/>
          </w:tcPr>
          <w:p>
            <w:pPr>
              <w:spacing w:after="0"/>
              <w:rPr>
                <w:sz w:val="24"/>
                <w:szCs w:val="24"/>
                <w:color w:val="auto"/>
              </w:rPr>
            </w:pPr>
          </w:p>
        </w:tc>
        <w:tc>
          <w:tcPr>
            <w:tcW w:w="3940" w:type="dxa"/>
            <w:vAlign w:val="bottom"/>
            <w:gridSpan w:val="5"/>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0000EE"/>
                <w:w w:val="87"/>
              </w:rPr>
              <w:t>Item 1.</w:t>
            </w:r>
          </w:p>
        </w:tc>
        <w:tc>
          <w:tcPr>
            <w:tcW w:w="440" w:type="dxa"/>
            <w:vAlign w:val="bottom"/>
            <w:gridSpan w:val="2"/>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18"/>
                <w:szCs w:val="18"/>
                <w:color w:val="0000EE"/>
              </w:rPr>
              <w:t>Unaudited Consolidated Balance Sheets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1 &amp; 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18"/>
                <w:szCs w:val="18"/>
                <w:color w:val="0000EE"/>
              </w:rPr>
              <w:t>Unaudited Consolidated Statements of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18"/>
                <w:szCs w:val="18"/>
                <w:color w:val="0000EE"/>
              </w:rPr>
              <w:t>Unaudited Condensed Consolidated Statements of Cash Flows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18"/>
                <w:szCs w:val="18"/>
                <w:color w:val="0000EE"/>
                <w:w w:val="97"/>
              </w:rPr>
              <w:t>Unaudited Condensed Notes to Condensed Consolidated Financial Statements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5 – 11</w:t>
            </w:r>
          </w:p>
        </w:tc>
        <w:tc>
          <w:tcPr>
            <w:tcW w:w="0" w:type="dxa"/>
            <w:vAlign w:val="bottom"/>
          </w:tcPr>
          <w:p>
            <w:pPr>
              <w:spacing w:after="0"/>
              <w:rPr>
                <w:sz w:val="1"/>
                <w:szCs w:val="1"/>
                <w:color w:val="auto"/>
              </w:rPr>
            </w:pP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0000EE"/>
                <w:w w:val="87"/>
              </w:rPr>
              <w:t>Item 2.</w:t>
            </w:r>
          </w:p>
        </w:tc>
        <w:tc>
          <w:tcPr>
            <w:tcW w:w="440" w:type="dxa"/>
            <w:vAlign w:val="bottom"/>
            <w:gridSpan w:val="2"/>
          </w:tcPr>
          <w:p>
            <w:pPr>
              <w:spacing w:after="0"/>
              <w:rPr>
                <w:sz w:val="24"/>
                <w:szCs w:val="24"/>
                <w:color w:val="auto"/>
              </w:rPr>
            </w:pPr>
          </w:p>
        </w:tc>
        <w:tc>
          <w:tcPr>
            <w:tcW w:w="55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Management’s Discussion and Analysis of Financial Condition</w:t>
            </w:r>
          </w:p>
        </w:tc>
        <w:tc>
          <w:tcPr>
            <w:tcW w:w="7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 – 18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60"/>
          </w:cols>
          <w:pgMar w:left="1240" w:top="233" w:right="1399" w:bottom="49" w:gutter="0" w:footer="0" w:header="0"/>
        </w:sectPr>
      </w:pPr>
    </w:p>
    <w:bookmarkStart w:id="1" w:name="page2"/>
    <w:bookmarkEnd w:id="1"/>
    <w:p>
      <w:pPr>
        <w:spacing w:after="0" w:line="15"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3.</w:t>
            </w:r>
          </w:p>
        </w:tc>
        <w:tc>
          <w:tcPr>
            <w:tcW w:w="440" w:type="dxa"/>
            <w:vAlign w:val="bottom"/>
            <w:gridSpan w:val="2"/>
          </w:tcPr>
          <w:p>
            <w:pPr>
              <w:spacing w:after="0"/>
              <w:rPr>
                <w:sz w:val="17"/>
                <w:szCs w:val="17"/>
                <w:color w:val="auto"/>
              </w:rPr>
            </w:pPr>
          </w:p>
        </w:tc>
        <w:tc>
          <w:tcPr>
            <w:tcW w:w="42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Quantitative and Qualitative Disclosures About Market Risk</w:t>
            </w:r>
          </w:p>
        </w:tc>
        <w:tc>
          <w:tcPr>
            <w:tcW w:w="1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9"/>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4.</w:t>
            </w:r>
          </w:p>
        </w:tc>
        <w:tc>
          <w:tcPr>
            <w:tcW w:w="440" w:type="dxa"/>
            <w:vAlign w:val="bottom"/>
            <w:gridSpan w:val="2"/>
          </w:tcPr>
          <w:p>
            <w:pPr>
              <w:spacing w:after="0"/>
              <w:rPr>
                <w:sz w:val="24"/>
                <w:szCs w:val="24"/>
                <w:color w:val="auto"/>
              </w:rPr>
            </w:pPr>
          </w:p>
        </w:tc>
        <w:tc>
          <w:tcPr>
            <w:tcW w:w="1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6"/>
              </w:rPr>
              <w:t>Controls and Procedures</w:t>
            </w:r>
          </w:p>
        </w:tc>
        <w:tc>
          <w:tcPr>
            <w:tcW w:w="3660" w:type="dxa"/>
            <w:vAlign w:val="bottom"/>
            <w:gridSpan w:val="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9"/>
        </w:trPr>
        <w:tc>
          <w:tcPr>
            <w:tcW w:w="940" w:type="dxa"/>
            <w:vAlign w:val="bottom"/>
            <w:gridSpan w:val="3"/>
          </w:tcPr>
          <w:p>
            <w:pPr>
              <w:spacing w:after="0"/>
              <w:rPr>
                <w:sz w:val="20"/>
                <w:szCs w:val="20"/>
                <w:color w:val="auto"/>
              </w:rPr>
            </w:pPr>
            <w:r>
              <w:rPr>
                <w:rFonts w:ascii="Arial" w:cs="Arial" w:eastAsia="Arial" w:hAnsi="Arial"/>
                <w:sz w:val="18"/>
                <w:szCs w:val="18"/>
                <w:color w:val="0000EE"/>
              </w:rPr>
              <w:t>PART II</w:t>
            </w:r>
          </w:p>
        </w:tc>
        <w:tc>
          <w:tcPr>
            <w:tcW w:w="41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OTHER INFORMATION</w:t>
            </w:r>
          </w:p>
        </w:tc>
        <w:tc>
          <w:tcPr>
            <w:tcW w:w="1280" w:type="dxa"/>
            <w:vAlign w:val="bottom"/>
            <w:gridSpan w:val="3"/>
          </w:tcPr>
          <w:p>
            <w:pPr>
              <w:spacing w:after="0"/>
              <w:rPr>
                <w:sz w:val="24"/>
                <w:szCs w:val="24"/>
                <w:color w:val="auto"/>
              </w:rPr>
            </w:pPr>
          </w:p>
        </w:tc>
        <w:tc>
          <w:tcPr>
            <w:tcW w:w="1320" w:type="dxa"/>
            <w:vAlign w:val="bottom"/>
          </w:tcPr>
          <w:p>
            <w:pPr>
              <w:spacing w:after="0"/>
              <w:rPr>
                <w:sz w:val="24"/>
                <w:szCs w:val="24"/>
                <w:color w:val="auto"/>
              </w:rPr>
            </w:pPr>
          </w:p>
        </w:tc>
      </w:tr>
      <w:tr>
        <w:trPr>
          <w:trHeight w:val="439"/>
        </w:trPr>
        <w:tc>
          <w:tcPr>
            <w:tcW w:w="5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7"/>
              </w:rPr>
              <w:t>Item 1.</w:t>
            </w: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Legal Proceedings</w:t>
            </w:r>
          </w:p>
        </w:tc>
        <w:tc>
          <w:tcPr>
            <w:tcW w:w="3560" w:type="dxa"/>
            <w:vAlign w:val="bottom"/>
            <w:gridSpan w:val="6"/>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0000EE"/>
                <w:w w:val="87"/>
              </w:rPr>
              <w:t>Item 2.</w:t>
            </w:r>
          </w:p>
        </w:tc>
        <w:tc>
          <w:tcPr>
            <w:tcW w:w="440" w:type="dxa"/>
            <w:vAlign w:val="bottom"/>
            <w:gridSpan w:val="2"/>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9"/>
        </w:trPr>
        <w:tc>
          <w:tcPr>
            <w:tcW w:w="5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7"/>
              </w:rPr>
              <w:t>Item 4.</w:t>
            </w:r>
          </w:p>
        </w:tc>
        <w:tc>
          <w:tcPr>
            <w:tcW w:w="440" w:type="dxa"/>
            <w:vAlign w:val="bottom"/>
            <w:gridSpan w:val="2"/>
          </w:tcPr>
          <w:p>
            <w:pPr>
              <w:spacing w:after="0"/>
              <w:rPr>
                <w:sz w:val="24"/>
                <w:szCs w:val="24"/>
                <w:color w:val="auto"/>
              </w:rPr>
            </w:pPr>
          </w:p>
        </w:tc>
        <w:tc>
          <w:tcPr>
            <w:tcW w:w="42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Submission of Matters to a Vote of Security Holders</w:t>
            </w:r>
          </w:p>
        </w:tc>
        <w:tc>
          <w:tcPr>
            <w:tcW w:w="116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9"/>
        </w:trPr>
        <w:tc>
          <w:tcPr>
            <w:tcW w:w="5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7"/>
              </w:rPr>
              <w:t>Item 6.</w:t>
            </w:r>
          </w:p>
        </w:tc>
        <w:tc>
          <w:tcPr>
            <w:tcW w:w="440" w:type="dxa"/>
            <w:vAlign w:val="bottom"/>
            <w:gridSpan w:val="2"/>
          </w:tcPr>
          <w:p>
            <w:pPr>
              <w:spacing w:after="0"/>
              <w:rPr>
                <w:sz w:val="24"/>
                <w:szCs w:val="24"/>
                <w:color w:val="auto"/>
              </w:rPr>
            </w:pPr>
          </w:p>
        </w:tc>
        <w:tc>
          <w:tcPr>
            <w:tcW w:w="36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Exhibits and Reports on Form 8-K</w:t>
            </w:r>
          </w:p>
        </w:tc>
        <w:tc>
          <w:tcPr>
            <w:tcW w:w="172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9"/>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Signatures</w:t>
            </w:r>
          </w:p>
        </w:tc>
        <w:tc>
          <w:tcPr>
            <w:tcW w:w="2960" w:type="dxa"/>
            <w:vAlign w:val="bottom"/>
            <w:gridSpan w:val="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0000EE"/>
              </w:rPr>
              <w:t>Exhibit Index</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769620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4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w:t>
      </w:r>
    </w:p>
    <w:p>
      <w:pPr>
        <w:spacing w:after="0" w:line="235"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February 26,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89"/>
              </w:rPr>
              <w:t>August 28,</w:t>
            </w:r>
          </w:p>
        </w:tc>
        <w:tc>
          <w:tcPr>
            <w:tcW w:w="0" w:type="dxa"/>
            <w:vAlign w:val="bottom"/>
          </w:tcPr>
          <w:p>
            <w:pPr>
              <w:spacing w:after="0"/>
              <w:rPr>
                <w:sz w:val="1"/>
                <w:szCs w:val="1"/>
                <w:color w:val="auto"/>
              </w:rPr>
            </w:pPr>
          </w:p>
        </w:tc>
      </w:tr>
      <w:tr>
        <w:trPr>
          <w:trHeight w:val="174"/>
        </w:trPr>
        <w:tc>
          <w:tcPr>
            <w:tcW w:w="5420" w:type="dxa"/>
            <w:vAlign w:val="bottom"/>
          </w:tcPr>
          <w:p>
            <w:pPr>
              <w:ind w:left="246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5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5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16,107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24,445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Receivables, less allowance for doubtful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40"/>
              <w:spacing w:after="0"/>
              <w:rPr>
                <w:sz w:val="20"/>
                <w:szCs w:val="20"/>
                <w:color w:val="auto"/>
              </w:rPr>
            </w:pPr>
            <w:r>
              <w:rPr>
                <w:rFonts w:ascii="Arial" w:cs="Arial" w:eastAsia="Arial" w:hAnsi="Arial"/>
                <w:sz w:val="18"/>
                <w:szCs w:val="18"/>
                <w:color w:val="auto"/>
              </w:rPr>
              <w:t>accounts ($137 and $161,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46,112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146,452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130,733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12,865</w:t>
            </w:r>
          </w:p>
        </w:tc>
        <w:tc>
          <w:tcPr>
            <w:tcW w:w="0" w:type="dxa"/>
            <w:vAlign w:val="bottom"/>
          </w:tcPr>
          <w:p>
            <w:pPr>
              <w:spacing w:after="0"/>
              <w:rPr>
                <w:sz w:val="1"/>
                <w:szCs w:val="1"/>
                <w:color w:val="auto"/>
              </w:rPr>
            </w:pPr>
          </w:p>
        </w:tc>
      </w:tr>
      <w:tr>
        <w:trPr>
          <w:trHeight w:val="110"/>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4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305,556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270,069</w:t>
            </w:r>
          </w:p>
        </w:tc>
        <w:tc>
          <w:tcPr>
            <w:tcW w:w="0" w:type="dxa"/>
            <w:vAlign w:val="bottom"/>
          </w:tcPr>
          <w:p>
            <w:pPr>
              <w:spacing w:after="0"/>
              <w:rPr>
                <w:sz w:val="1"/>
                <w:szCs w:val="1"/>
                <w:color w:val="auto"/>
              </w:rPr>
            </w:pPr>
          </w:p>
        </w:tc>
      </w:tr>
      <w:tr>
        <w:trPr>
          <w:trHeight w:val="110"/>
        </w:trPr>
        <w:tc>
          <w:tcPr>
            <w:tcW w:w="5420" w:type="dxa"/>
            <w:vAlign w:val="bottom"/>
            <w:vMerge w:val="restart"/>
          </w:tcPr>
          <w:p>
            <w:pPr>
              <w:spacing w:after="0"/>
              <w:rPr>
                <w:sz w:val="20"/>
                <w:szCs w:val="20"/>
                <w:color w:val="auto"/>
              </w:rPr>
            </w:pPr>
            <w:r>
              <w:rPr>
                <w:rFonts w:ascii="Arial" w:cs="Arial" w:eastAsia="Arial" w:hAnsi="Arial"/>
                <w:sz w:val="18"/>
                <w:szCs w:val="18"/>
                <w:color w:val="auto"/>
              </w:rPr>
              <w:t>PROPERTY AND EQUIPMENT, at cost</w:t>
            </w: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57,029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99,511</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110"/>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168,670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166,889</w:t>
            </w:r>
          </w:p>
        </w:tc>
        <w:tc>
          <w:tcPr>
            <w:tcW w:w="0" w:type="dxa"/>
            <w:vAlign w:val="bottom"/>
          </w:tcPr>
          <w:p>
            <w:pPr>
              <w:spacing w:after="0"/>
              <w:rPr>
                <w:sz w:val="1"/>
                <w:szCs w:val="1"/>
                <w:color w:val="auto"/>
              </w:rPr>
            </w:pPr>
          </w:p>
        </w:tc>
      </w:tr>
      <w:tr>
        <w:trPr>
          <w:trHeight w:val="222"/>
        </w:trPr>
        <w:tc>
          <w:tcPr>
            <w:tcW w:w="5420" w:type="dxa"/>
            <w:vAlign w:val="bottom"/>
          </w:tcPr>
          <w:p>
            <w:pPr>
              <w:ind w:left="2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105,539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102,894</w:t>
            </w:r>
          </w:p>
        </w:tc>
        <w:tc>
          <w:tcPr>
            <w:tcW w:w="0" w:type="dxa"/>
            <w:vAlign w:val="bottom"/>
          </w:tcPr>
          <w:p>
            <w:pPr>
              <w:spacing w:after="0"/>
              <w:rPr>
                <w:sz w:val="1"/>
                <w:szCs w:val="1"/>
                <w:color w:val="auto"/>
              </w:rPr>
            </w:pPr>
          </w:p>
        </w:tc>
      </w:tr>
      <w:tr>
        <w:trPr>
          <w:trHeight w:val="110"/>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42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63,131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63,995</w:t>
            </w:r>
          </w:p>
        </w:tc>
        <w:tc>
          <w:tcPr>
            <w:tcW w:w="0" w:type="dxa"/>
            <w:vAlign w:val="bottom"/>
          </w:tcPr>
          <w:p>
            <w:pPr>
              <w:spacing w:after="0"/>
              <w:rPr>
                <w:sz w:val="1"/>
                <w:szCs w:val="1"/>
                <w:color w:val="auto"/>
              </w:rPr>
            </w:pPr>
          </w:p>
        </w:tc>
      </w:tr>
      <w:tr>
        <w:trPr>
          <w:trHeight w:val="110"/>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25,228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110"/>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42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21,686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110"/>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53" w:orient="portrait"/>
          <w:cols w:equalWidth="0" w:num="1">
            <w:col w:w="10219"/>
          </w:cols>
          <w:pgMar w:left="240" w:top="108" w:right="1440" w:bottom="0" w:gutter="0" w:footer="0" w:header="0"/>
        </w:sectPr>
      </w:pPr>
    </w:p>
    <w:p>
      <w:pPr>
        <w:spacing w:after="0" w:line="143" w:lineRule="exact"/>
        <w:rPr>
          <w:sz w:val="20"/>
          <w:szCs w:val="20"/>
          <w:color w:val="auto"/>
        </w:rPr>
      </w:pPr>
    </w:p>
    <w:p>
      <w:pPr>
        <w:ind w:left="1660"/>
        <w:spacing w:after="0"/>
        <w:tabs>
          <w:tab w:leader="none" w:pos="7800" w:val="left"/>
          <w:tab w:leader="none" w:pos="9100" w:val="left"/>
        </w:tabs>
        <w:rPr>
          <w:sz w:val="20"/>
          <w:szCs w:val="20"/>
          <w:color w:val="auto"/>
        </w:rPr>
      </w:pPr>
      <w:r>
        <w:rPr>
          <w:rFonts w:ascii="Arial" w:cs="Arial" w:eastAsia="Arial" w:hAnsi="Arial"/>
          <w:sz w:val="18"/>
          <w:szCs w:val="18"/>
          <w:color w:val="auto"/>
        </w:rPr>
        <w:t>OTHER ASSETS</w:t>
      </w:r>
      <w:r>
        <w:rPr>
          <w:sz w:val="20"/>
          <w:szCs w:val="20"/>
          <w:color w:val="auto"/>
        </w:rPr>
        <w:tab/>
      </w:r>
      <w:r>
        <w:rPr>
          <w:rFonts w:ascii="Arial" w:cs="Arial" w:eastAsia="Arial" w:hAnsi="Arial"/>
          <w:sz w:val="18"/>
          <w:szCs w:val="18"/>
          <w:color w:val="auto"/>
        </w:rPr>
        <w:t>14,492</w:t>
      </w:r>
      <w:r>
        <w:rPr>
          <w:sz w:val="20"/>
          <w:szCs w:val="20"/>
          <w:color w:val="auto"/>
        </w:rPr>
        <w:tab/>
      </w:r>
      <w:r>
        <w:rPr>
          <w:rFonts w:ascii="Arial" w:cs="Arial" w:eastAsia="Arial" w:hAnsi="Arial"/>
          <w:sz w:val="15"/>
          <w:szCs w:val="15"/>
          <w:color w:val="auto"/>
        </w:rPr>
        <w:t>12,463</w:t>
      </w:r>
    </w:p>
    <w:p>
      <w:pPr>
        <w:sectPr>
          <w:pgSz w:w="11900" w:h="16853" w:orient="portrait"/>
          <w:cols w:equalWidth="0" w:num="1">
            <w:col w:w="10219"/>
          </w:cols>
          <w:pgMar w:left="240" w:top="108" w:right="1440" w:bottom="0" w:gutter="0" w:footer="0" w:header="0"/>
          <w:type w:val="continuous"/>
        </w:sectPr>
      </w:pPr>
    </w:p>
    <w:bookmarkStart w:id="2" w:name="page3"/>
    <w:bookmarkEnd w:id="2"/>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4796790</wp:posOffset>
            </wp:positionH>
            <wp:positionV relativeFrom="page">
              <wp:posOffset>88900</wp:posOffset>
            </wp:positionV>
            <wp:extent cx="1457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$430,093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$394,556</w:t>
            </w:r>
          </w:p>
        </w:tc>
      </w:tr>
      <w:tr>
        <w:trPr>
          <w:trHeight w:val="120"/>
        </w:trPr>
        <w:tc>
          <w:tcPr>
            <w:tcW w:w="566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 except par value</w:t>
      </w:r>
    </w:p>
    <w:tbl>
      <w:tblPr>
        <w:tblLayout w:type="fixed"/>
        <w:tblInd w:w="460" w:type="dxa"/>
        <w:tblCellMar>
          <w:top w:w="0" w:type="dxa"/>
          <w:left w:w="0" w:type="dxa"/>
          <w:bottom w:w="0" w:type="dxa"/>
          <w:right w:w="0" w:type="dxa"/>
        </w:tblCellMar>
      </w:tblPr>
      <w:tr>
        <w:trPr>
          <w:trHeight w:val="153"/>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February 26,</w:t>
            </w:r>
          </w:p>
        </w:tc>
        <w:tc>
          <w:tcPr>
            <w:tcW w:w="32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August 28,</w:t>
            </w:r>
          </w:p>
        </w:tc>
      </w:tr>
      <w:tr>
        <w:trPr>
          <w:trHeight w:val="174"/>
        </w:trPr>
        <w:tc>
          <w:tcPr>
            <w:tcW w:w="558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2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2004</w:t>
            </w:r>
          </w:p>
        </w:tc>
      </w:tr>
      <w:tr>
        <w:trPr>
          <w:trHeight w:val="95"/>
        </w:trPr>
        <w:tc>
          <w:tcPr>
            <w:tcW w:w="5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3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40,894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46,659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16,107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21,217</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Product warranties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13,152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Promotional</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12,485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Self-insurance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22"/>
        </w:trPr>
        <w:tc>
          <w:tcPr>
            <w:tcW w:w="582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8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109,175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105,278</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color w:val="auto"/>
              </w:rPr>
              <w:t>POSTRETIREMENT HEALTH CARE AND DEFERRED</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140"/>
              <w:spacing w:after="0"/>
              <w:rPr>
                <w:sz w:val="20"/>
                <w:szCs w:val="20"/>
                <w:color w:val="auto"/>
              </w:rPr>
            </w:pPr>
            <w:r>
              <w:rPr>
                <w:rFonts w:ascii="Arial" w:cs="Arial" w:eastAsia="Arial" w:hAnsi="Arial"/>
                <w:sz w:val="18"/>
                <w:szCs w:val="18"/>
                <w:color w:val="auto"/>
              </w:rPr>
              <w:t>COMPENSATION BENEFITS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88,069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87,403</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Capital stock, common, par value $.50; authorized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60,000,000 shares: issued 51,776,000 shares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Reinvested earnings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421,627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392,430</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463,386</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432,888</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230,537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231,013</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232,849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201,875</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8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430,093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394,556</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142240</wp:posOffset>
            </wp:positionV>
            <wp:extent cx="516699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984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 except per share data</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40" w:type="dxa"/>
            <w:vAlign w:val="bottom"/>
            <w:gridSpan w:val="3"/>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5"/>
                <w:szCs w:val="15"/>
                <w:color w:val="auto"/>
              </w:rPr>
            </w:pPr>
          </w:p>
        </w:tc>
        <w:tc>
          <w:tcPr>
            <w:tcW w:w="174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Twenty-Six Weeks Ended</w:t>
            </w:r>
          </w:p>
        </w:tc>
      </w:tr>
      <w:tr>
        <w:trPr>
          <w:trHeight w:val="84"/>
        </w:trPr>
        <w:tc>
          <w:tcPr>
            <w:tcW w:w="25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37"/>
        </w:trPr>
        <w:tc>
          <w:tcPr>
            <w:tcW w:w="2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February</w:t>
            </w:r>
          </w:p>
        </w:tc>
        <w:tc>
          <w:tcPr>
            <w:tcW w:w="24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February</w:t>
            </w:r>
          </w:p>
        </w:tc>
        <w:tc>
          <w:tcPr>
            <w:tcW w:w="24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February</w:t>
            </w:r>
          </w:p>
        </w:tc>
        <w:tc>
          <w:tcPr>
            <w:tcW w:w="24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February</w:t>
            </w:r>
          </w:p>
        </w:tc>
      </w:tr>
      <w:tr>
        <w:trPr>
          <w:trHeight w:val="149"/>
        </w:trPr>
        <w:tc>
          <w:tcPr>
            <w:tcW w:w="2580" w:type="dxa"/>
            <w:vAlign w:val="bottom"/>
          </w:tcPr>
          <w:p>
            <w:pPr>
              <w:spacing w:after="0"/>
              <w:rPr>
                <w:sz w:val="12"/>
                <w:szCs w:val="12"/>
                <w:color w:val="auto"/>
              </w:rPr>
            </w:pPr>
          </w:p>
        </w:tc>
        <w:tc>
          <w:tcPr>
            <w:tcW w:w="2420" w:type="dxa"/>
            <w:vAlign w:val="bottom"/>
            <w:gridSpan w:val="2"/>
          </w:tcPr>
          <w:p>
            <w:pPr>
              <w:jc w:val="center"/>
              <w:ind w:left="1586"/>
              <w:spacing w:after="0" w:line="149" w:lineRule="exact"/>
              <w:rPr>
                <w:sz w:val="20"/>
                <w:szCs w:val="20"/>
                <w:color w:val="auto"/>
              </w:rPr>
            </w:pPr>
            <w:r>
              <w:rPr>
                <w:rFonts w:ascii="Arial" w:cs="Arial" w:eastAsia="Arial" w:hAnsi="Arial"/>
                <w:sz w:val="14"/>
                <w:szCs w:val="14"/>
                <w:b w:val="1"/>
                <w:bCs w:val="1"/>
                <w:color w:val="auto"/>
                <w:w w:val="81"/>
              </w:rPr>
              <w:t>26,</w:t>
            </w:r>
          </w:p>
        </w:tc>
        <w:tc>
          <w:tcPr>
            <w:tcW w:w="980" w:type="dxa"/>
            <w:vAlign w:val="bottom"/>
            <w:gridSpan w:val="2"/>
          </w:tcPr>
          <w:p>
            <w:pPr>
              <w:jc w:val="center"/>
              <w:ind w:left="146"/>
              <w:spacing w:after="0" w:line="149" w:lineRule="exact"/>
              <w:rPr>
                <w:sz w:val="20"/>
                <w:szCs w:val="20"/>
                <w:color w:val="auto"/>
              </w:rPr>
            </w:pPr>
            <w:r>
              <w:rPr>
                <w:rFonts w:ascii="Arial" w:cs="Arial" w:eastAsia="Arial" w:hAnsi="Arial"/>
                <w:sz w:val="14"/>
                <w:szCs w:val="14"/>
                <w:b w:val="1"/>
                <w:bCs w:val="1"/>
                <w:color w:val="auto"/>
                <w:w w:val="81"/>
              </w:rPr>
              <w:t>28,</w:t>
            </w:r>
          </w:p>
        </w:tc>
        <w:tc>
          <w:tcPr>
            <w:tcW w:w="980" w:type="dxa"/>
            <w:vAlign w:val="bottom"/>
            <w:gridSpan w:val="2"/>
          </w:tcPr>
          <w:p>
            <w:pPr>
              <w:jc w:val="center"/>
              <w:ind w:left="166"/>
              <w:spacing w:after="0" w:line="149" w:lineRule="exact"/>
              <w:rPr>
                <w:sz w:val="20"/>
                <w:szCs w:val="20"/>
                <w:color w:val="auto"/>
              </w:rPr>
            </w:pPr>
            <w:r>
              <w:rPr>
                <w:rFonts w:ascii="Arial" w:cs="Arial" w:eastAsia="Arial" w:hAnsi="Arial"/>
                <w:sz w:val="14"/>
                <w:szCs w:val="14"/>
                <w:b w:val="1"/>
                <w:bCs w:val="1"/>
                <w:color w:val="auto"/>
                <w:w w:val="92"/>
              </w:rPr>
              <w:t>26,</w:t>
            </w:r>
          </w:p>
        </w:tc>
        <w:tc>
          <w:tcPr>
            <w:tcW w:w="1000" w:type="dxa"/>
            <w:vAlign w:val="bottom"/>
            <w:gridSpan w:val="2"/>
          </w:tcPr>
          <w:p>
            <w:pPr>
              <w:jc w:val="center"/>
              <w:ind w:left="146"/>
              <w:spacing w:after="0" w:line="149" w:lineRule="exact"/>
              <w:rPr>
                <w:sz w:val="20"/>
                <w:szCs w:val="20"/>
                <w:color w:val="auto"/>
              </w:rPr>
            </w:pPr>
            <w:r>
              <w:rPr>
                <w:rFonts w:ascii="Arial" w:cs="Arial" w:eastAsia="Arial" w:hAnsi="Arial"/>
                <w:sz w:val="14"/>
                <w:szCs w:val="14"/>
                <w:b w:val="1"/>
                <w:bCs w:val="1"/>
                <w:color w:val="auto"/>
                <w:w w:val="92"/>
              </w:rPr>
              <w:t>28,</w:t>
            </w:r>
          </w:p>
        </w:tc>
      </w:tr>
      <w:tr>
        <w:trPr>
          <w:trHeight w:val="174"/>
        </w:trPr>
        <w:tc>
          <w:tcPr>
            <w:tcW w:w="2580" w:type="dxa"/>
            <w:vAlign w:val="bottom"/>
          </w:tcPr>
          <w:p>
            <w:pPr>
              <w:spacing w:after="0"/>
              <w:rPr>
                <w:sz w:val="15"/>
                <w:szCs w:val="15"/>
                <w:color w:val="auto"/>
              </w:rPr>
            </w:pPr>
          </w:p>
        </w:tc>
        <w:tc>
          <w:tcPr>
            <w:tcW w:w="2420" w:type="dxa"/>
            <w:vAlign w:val="bottom"/>
            <w:gridSpan w:val="2"/>
          </w:tcPr>
          <w:p>
            <w:pPr>
              <w:jc w:val="center"/>
              <w:ind w:left="1566"/>
              <w:spacing w:after="0"/>
              <w:rPr>
                <w:sz w:val="20"/>
                <w:szCs w:val="20"/>
                <w:color w:val="auto"/>
              </w:rPr>
            </w:pPr>
            <w:r>
              <w:rPr>
                <w:rFonts w:ascii="Arial" w:cs="Arial" w:eastAsia="Arial" w:hAnsi="Arial"/>
                <w:sz w:val="14"/>
                <w:szCs w:val="14"/>
                <w:b w:val="1"/>
                <w:bCs w:val="1"/>
                <w:color w:val="auto"/>
                <w:w w:val="83"/>
              </w:rPr>
              <w:t>2005</w:t>
            </w:r>
          </w:p>
        </w:tc>
        <w:tc>
          <w:tcPr>
            <w:tcW w:w="980" w:type="dxa"/>
            <w:vAlign w:val="bottom"/>
            <w:gridSpan w:val="2"/>
          </w:tcPr>
          <w:p>
            <w:pPr>
              <w:jc w:val="center"/>
              <w:ind w:left="146"/>
              <w:spacing w:after="0"/>
              <w:rPr>
                <w:sz w:val="20"/>
                <w:szCs w:val="20"/>
                <w:color w:val="auto"/>
              </w:rPr>
            </w:pPr>
            <w:r>
              <w:rPr>
                <w:rFonts w:ascii="Arial" w:cs="Arial" w:eastAsia="Arial" w:hAnsi="Arial"/>
                <w:sz w:val="14"/>
                <w:szCs w:val="14"/>
                <w:b w:val="1"/>
                <w:bCs w:val="1"/>
                <w:color w:val="auto"/>
                <w:w w:val="87"/>
              </w:rPr>
              <w:t>2004*</w:t>
            </w:r>
          </w:p>
        </w:tc>
        <w:tc>
          <w:tcPr>
            <w:tcW w:w="980" w:type="dxa"/>
            <w:vAlign w:val="bottom"/>
            <w:gridSpan w:val="2"/>
          </w:tcPr>
          <w:p>
            <w:pPr>
              <w:jc w:val="center"/>
              <w:ind w:left="166"/>
              <w:spacing w:after="0"/>
              <w:rPr>
                <w:sz w:val="20"/>
                <w:szCs w:val="20"/>
                <w:color w:val="auto"/>
              </w:rPr>
            </w:pPr>
            <w:r>
              <w:rPr>
                <w:rFonts w:ascii="Arial" w:cs="Arial" w:eastAsia="Arial" w:hAnsi="Arial"/>
                <w:sz w:val="14"/>
                <w:szCs w:val="14"/>
                <w:b w:val="1"/>
                <w:bCs w:val="1"/>
                <w:color w:val="auto"/>
                <w:w w:val="83"/>
              </w:rPr>
              <w:t>2005</w:t>
            </w:r>
          </w:p>
        </w:tc>
        <w:tc>
          <w:tcPr>
            <w:tcW w:w="1000" w:type="dxa"/>
            <w:vAlign w:val="bottom"/>
            <w:gridSpan w:val="2"/>
          </w:tcPr>
          <w:p>
            <w:pPr>
              <w:jc w:val="center"/>
              <w:ind w:left="146"/>
              <w:spacing w:after="0"/>
              <w:rPr>
                <w:sz w:val="20"/>
                <w:szCs w:val="20"/>
                <w:color w:val="auto"/>
              </w:rPr>
            </w:pPr>
            <w:r>
              <w:rPr>
                <w:rFonts w:ascii="Arial" w:cs="Arial" w:eastAsia="Arial" w:hAnsi="Arial"/>
                <w:sz w:val="14"/>
                <w:szCs w:val="14"/>
                <w:b w:val="1"/>
                <w:bCs w:val="1"/>
                <w:color w:val="auto"/>
                <w:w w:val="92"/>
              </w:rPr>
              <w:t>2004*</w:t>
            </w:r>
          </w:p>
        </w:tc>
      </w:tr>
      <w:tr>
        <w:trPr>
          <w:trHeight w:val="95"/>
        </w:trPr>
        <w:tc>
          <w:tcPr>
            <w:tcW w:w="2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559"/>
        </w:trPr>
        <w:tc>
          <w:tcPr>
            <w:tcW w:w="2580" w:type="dxa"/>
            <w:vAlign w:val="bottom"/>
          </w:tcPr>
          <w:p>
            <w:pPr>
              <w:spacing w:after="0"/>
              <w:rPr>
                <w:sz w:val="20"/>
                <w:szCs w:val="20"/>
                <w:color w:val="auto"/>
              </w:rPr>
            </w:pPr>
            <w:r>
              <w:rPr>
                <w:rFonts w:ascii="Arial" w:cs="Arial" w:eastAsia="Arial" w:hAnsi="Arial"/>
                <w:sz w:val="18"/>
                <w:szCs w:val="18"/>
                <w:color w:val="auto"/>
              </w:rPr>
              <w:t>Net revenues</w:t>
            </w:r>
          </w:p>
        </w:tc>
        <w:tc>
          <w:tcPr>
            <w:tcW w:w="2420" w:type="dxa"/>
            <w:vAlign w:val="bottom"/>
            <w:gridSpan w:val="2"/>
          </w:tcPr>
          <w:p>
            <w:pPr>
              <w:jc w:val="center"/>
              <w:ind w:left="1566"/>
              <w:spacing w:after="0"/>
              <w:rPr>
                <w:sz w:val="20"/>
                <w:szCs w:val="20"/>
                <w:color w:val="auto"/>
              </w:rPr>
            </w:pPr>
            <w:r>
              <w:rPr>
                <w:rFonts w:ascii="Arial" w:cs="Arial" w:eastAsia="Arial" w:hAnsi="Arial"/>
                <w:sz w:val="18"/>
                <w:szCs w:val="18"/>
                <w:color w:val="auto"/>
                <w:w w:val="92"/>
              </w:rPr>
              <w:t>$ 239,359</w:t>
            </w:r>
          </w:p>
        </w:tc>
        <w:tc>
          <w:tcPr>
            <w:tcW w:w="980" w:type="dxa"/>
            <w:vAlign w:val="bottom"/>
            <w:gridSpan w:val="2"/>
          </w:tcPr>
          <w:p>
            <w:pPr>
              <w:jc w:val="center"/>
              <w:ind w:left="166"/>
              <w:spacing w:after="0"/>
              <w:rPr>
                <w:sz w:val="20"/>
                <w:szCs w:val="20"/>
                <w:color w:val="auto"/>
              </w:rPr>
            </w:pPr>
            <w:r>
              <w:rPr>
                <w:rFonts w:ascii="Arial" w:cs="Arial" w:eastAsia="Arial" w:hAnsi="Arial"/>
                <w:sz w:val="18"/>
                <w:szCs w:val="18"/>
                <w:color w:val="auto"/>
                <w:w w:val="92"/>
              </w:rPr>
              <w:t>$ 266,033</w:t>
            </w:r>
          </w:p>
        </w:tc>
        <w:tc>
          <w:tcPr>
            <w:tcW w:w="980" w:type="dxa"/>
            <w:vAlign w:val="bottom"/>
            <w:gridSpan w:val="2"/>
          </w:tcPr>
          <w:p>
            <w:pPr>
              <w:jc w:val="center"/>
              <w:ind w:left="166"/>
              <w:spacing w:after="0"/>
              <w:rPr>
                <w:sz w:val="20"/>
                <w:szCs w:val="20"/>
                <w:color w:val="auto"/>
              </w:rPr>
            </w:pPr>
            <w:r>
              <w:rPr>
                <w:rFonts w:ascii="Arial" w:cs="Arial" w:eastAsia="Arial" w:hAnsi="Arial"/>
                <w:sz w:val="18"/>
                <w:szCs w:val="18"/>
                <w:color w:val="auto"/>
                <w:w w:val="92"/>
              </w:rPr>
              <w:t>$ 505,492</w:t>
            </w:r>
          </w:p>
        </w:tc>
        <w:tc>
          <w:tcPr>
            <w:tcW w:w="1000" w:type="dxa"/>
            <w:vAlign w:val="bottom"/>
            <w:gridSpan w:val="2"/>
          </w:tcPr>
          <w:p>
            <w:pPr>
              <w:jc w:val="center"/>
              <w:ind w:left="146"/>
              <w:spacing w:after="0"/>
              <w:rPr>
                <w:sz w:val="20"/>
                <w:szCs w:val="20"/>
                <w:color w:val="auto"/>
              </w:rPr>
            </w:pPr>
            <w:r>
              <w:rPr>
                <w:rFonts w:ascii="Arial" w:cs="Arial" w:eastAsia="Arial" w:hAnsi="Arial"/>
                <w:sz w:val="18"/>
                <w:szCs w:val="18"/>
                <w:color w:val="auto"/>
                <w:w w:val="92"/>
              </w:rPr>
              <w:t>$ 520,966</w:t>
            </w:r>
          </w:p>
        </w:tc>
      </w:tr>
    </w:tbl>
    <w:p>
      <w:pPr>
        <w:sectPr>
          <w:pgSz w:w="11900" w:h="16895" w:orient="portrait"/>
          <w:cols w:equalWidth="0" w:num="1">
            <w:col w:w="9019"/>
          </w:cols>
          <w:pgMar w:left="1440" w:top="509" w:right="1440" w:bottom="0" w:gutter="0" w:footer="0" w:header="0"/>
        </w:sectPr>
      </w:pPr>
    </w:p>
    <w:bookmarkStart w:id="3" w:name="page4"/>
    <w:bookmarkEnd w:id="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207,305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231,004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433,374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446,472</w:t>
            </w:r>
          </w:p>
        </w:tc>
        <w:tc>
          <w:tcPr>
            <w:tcW w:w="0" w:type="dxa"/>
            <w:vAlign w:val="bottom"/>
          </w:tcPr>
          <w:p>
            <w:pPr>
              <w:spacing w:after="0"/>
              <w:rPr>
                <w:sz w:val="1"/>
                <w:szCs w:val="1"/>
                <w:color w:val="auto"/>
              </w:rPr>
            </w:pPr>
          </w:p>
        </w:tc>
      </w:tr>
      <w:tr>
        <w:trPr>
          <w:trHeight w:val="124"/>
        </w:trPr>
        <w:tc>
          <w:tcPr>
            <w:tcW w:w="4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42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32,054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72,118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74,494</w:t>
            </w:r>
          </w:p>
        </w:tc>
        <w:tc>
          <w:tcPr>
            <w:tcW w:w="0" w:type="dxa"/>
            <w:vAlign w:val="bottom"/>
          </w:tcPr>
          <w:p>
            <w:pPr>
              <w:spacing w:after="0"/>
              <w:rPr>
                <w:sz w:val="1"/>
                <w:szCs w:val="1"/>
                <w:color w:val="auto"/>
              </w:rPr>
            </w:pPr>
          </w:p>
        </w:tc>
      </w:tr>
      <w:tr>
        <w:trPr>
          <w:trHeight w:val="11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22"/>
        </w:trPr>
        <w:tc>
          <w:tcPr>
            <w:tcW w:w="42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11,355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10,362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20,473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20,799</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2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21,692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51,645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53,695</w:t>
            </w: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Financial income</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52,778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54,281</w:t>
            </w: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18,868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20,334</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14,366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15,880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33,910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tcPr>
          <w:p>
            <w:pPr>
              <w:spacing w:after="0"/>
              <w:rPr>
                <w:sz w:val="20"/>
                <w:szCs w:val="20"/>
                <w:color w:val="auto"/>
              </w:rPr>
            </w:pPr>
            <w:r>
              <w:rPr>
                <w:rFonts w:ascii="Arial" w:cs="Arial" w:eastAsia="Arial" w:hAnsi="Arial"/>
                <w:sz w:val="18"/>
                <w:szCs w:val="18"/>
                <w:color w:val="auto"/>
              </w:rPr>
              <w:t>Income per share - basic (Note 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tcPr>
          <w:p>
            <w:pPr>
              <w:spacing w:after="0"/>
              <w:rPr>
                <w:sz w:val="20"/>
                <w:szCs w:val="20"/>
                <w:color w:val="auto"/>
              </w:rPr>
            </w:pPr>
            <w:r>
              <w:rPr>
                <w:rFonts w:ascii="Arial" w:cs="Arial" w:eastAsia="Arial" w:hAnsi="Arial"/>
                <w:sz w:val="18"/>
                <w:szCs w:val="18"/>
                <w:color w:val="auto"/>
              </w:rPr>
              <w:t>Income per share - diluted (Note 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20"/>
        </w:trPr>
        <w:tc>
          <w:tcPr>
            <w:tcW w:w="424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33,647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34,613</w:t>
            </w: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34,254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34,545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34,224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35,196</w:t>
            </w: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-1454785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-1454785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-1454785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-1454785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-1454785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-1454785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-1454785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-1454785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-1163320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-1163320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-1163320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-1163320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-1163320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-1163320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-1163320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-1163320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-871855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-871855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-871855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-871855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-871855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-871855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-871855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-871855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-306070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-306070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-306070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-306070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-306070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-306070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-306070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-306070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for 2-for-1 stock split on March 5, 2004.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Twenty-Six Weeks Ended</w:t>
            </w:r>
          </w:p>
        </w:tc>
        <w:tc>
          <w:tcPr>
            <w:tcW w:w="0" w:type="dxa"/>
            <w:vAlign w:val="bottom"/>
          </w:tcPr>
          <w:p>
            <w:pPr>
              <w:spacing w:after="0"/>
              <w:rPr>
                <w:sz w:val="1"/>
                <w:szCs w:val="1"/>
                <w:color w:val="auto"/>
              </w:rPr>
            </w:pPr>
          </w:p>
        </w:tc>
      </w:tr>
      <w:tr>
        <w:trPr>
          <w:trHeight w:val="84"/>
        </w:trPr>
        <w:tc>
          <w:tcPr>
            <w:tcW w:w="5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February 26,</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4"/>
        </w:trPr>
        <w:tc>
          <w:tcPr>
            <w:tcW w:w="5280" w:type="dxa"/>
            <w:vAlign w:val="bottom"/>
          </w:tcPr>
          <w:p>
            <w:pPr>
              <w:spacing w:after="0"/>
              <w:rPr>
                <w:sz w:val="15"/>
                <w:szCs w:val="15"/>
                <w:color w:val="auto"/>
              </w:rPr>
            </w:pPr>
          </w:p>
        </w:tc>
        <w:tc>
          <w:tcPr>
            <w:tcW w:w="15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33,910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33,947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4,931</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80"/>
              <w:spacing w:after="0"/>
              <w:rPr>
                <w:sz w:val="20"/>
                <w:szCs w:val="20"/>
                <w:color w:val="auto"/>
              </w:rPr>
            </w:pPr>
            <w:r>
              <w:rPr>
                <w:rFonts w:ascii="Arial" w:cs="Arial" w:eastAsia="Arial" w:hAnsi="Arial"/>
                <w:sz w:val="18"/>
                <w:szCs w:val="18"/>
                <w:color w:val="auto"/>
              </w:rPr>
              <w:t>Tax benefit of stock options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Decrease (increase) in receivable and other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18,210</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Increase in inventories</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(15,719)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(23,101)</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Increase in deferred income taxes</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(Decrease) increase in accounts payable and accrued expenses</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(3,419)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Increase in income taxes payable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7,316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100"/>
              <w:spacing w:after="0"/>
              <w:rPr>
                <w:sz w:val="20"/>
                <w:szCs w:val="20"/>
                <w:color w:val="auto"/>
              </w:rPr>
            </w:pPr>
            <w:r>
              <w:rPr>
                <w:rFonts w:ascii="Arial" w:cs="Arial" w:eastAsia="Arial" w:hAnsi="Arial"/>
                <w:sz w:val="18"/>
                <w:szCs w:val="18"/>
                <w:color w:val="auto"/>
              </w:rPr>
              <w:t>(Decrease) increase in postretirement benefits</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(249)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46,207</w:t>
            </w:r>
          </w:p>
        </w:tc>
        <w:tc>
          <w:tcPr>
            <w:tcW w:w="2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25,687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80" w:type="dxa"/>
            <w:vAlign w:val="bottom"/>
            <w:vMerge w:val="restart"/>
          </w:tcPr>
          <w:p>
            <w:pPr>
              <w:spacing w:after="0"/>
              <w:rPr>
                <w:sz w:val="20"/>
                <w:szCs w:val="20"/>
                <w:color w:val="auto"/>
              </w:rPr>
            </w:pPr>
            <w:r>
              <w:rPr>
                <w:rFonts w:ascii="Arial" w:cs="Arial" w:eastAsia="Arial" w:hAnsi="Arial"/>
                <w:sz w:val="18"/>
                <w:szCs w:val="18"/>
                <w:color w:val="auto"/>
              </w:rPr>
              <w:t>Cash flows (used in) provided by investing activities</w:t>
            </w:r>
          </w:p>
        </w:tc>
        <w:tc>
          <w:tcPr>
            <w:tcW w:w="8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(4,178)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Purchases of short-term investments</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(147,473)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(63,707)</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Proceeds from the sale of short-term investments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101,094</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100"/>
              <w:spacing w:after="0"/>
              <w:rPr>
                <w:sz w:val="20"/>
                <w:szCs w:val="20"/>
                <w:color w:val="auto"/>
              </w:rPr>
            </w:pPr>
            <w:r>
              <w:rPr>
                <w:rFonts w:ascii="Arial" w:cs="Arial" w:eastAsia="Arial" w:hAnsi="Arial"/>
                <w:sz w:val="18"/>
                <w:szCs w:val="18"/>
                <w:color w:val="auto"/>
              </w:rPr>
              <w:t>Other</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(365)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10"/>
        </w:trPr>
        <w:tc>
          <w:tcPr>
            <w:tcW w:w="5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1" w:right="1440" w:bottom="0" w:gutter="0" w:footer="0" w:header="0"/>
        </w:sectPr>
      </w:pPr>
    </w:p>
    <w:bookmarkStart w:id="4" w:name="page5"/>
    <w:bookmarkEnd w:id="4"/>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(50,922)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20" w:type="dxa"/>
            <w:vAlign w:val="bottom"/>
            <w:vMerge w:val="restart"/>
          </w:tcPr>
          <w:p>
            <w:pPr>
              <w:ind w:left="40"/>
              <w:spacing w:after="0"/>
              <w:rPr>
                <w:sz w:val="20"/>
                <w:szCs w:val="20"/>
                <w:color w:val="auto"/>
              </w:rPr>
            </w:pPr>
            <w:r>
              <w:rPr>
                <w:rFonts w:ascii="Arial" w:cs="Arial" w:eastAsia="Arial" w:hAnsi="Arial"/>
                <w:sz w:val="18"/>
                <w:szCs w:val="18"/>
                <w:color w:val="auto"/>
              </w:rPr>
              <w:t>Cash flows used in financing activities and capital transactions</w:t>
            </w: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61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Arial" w:cs="Arial" w:eastAsia="Arial" w:hAnsi="Arial"/>
                <w:sz w:val="18"/>
                <w:szCs w:val="18"/>
                <w:color w:val="auto"/>
              </w:rPr>
              <w:t>Payments for purchase of common stock</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(63,979)</w:t>
            </w: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Arial" w:cs="Arial" w:eastAsia="Arial" w:hAnsi="Arial"/>
                <w:sz w:val="18"/>
                <w:szCs w:val="18"/>
                <w:color w:val="auto"/>
              </w:rPr>
              <w:t>Payment of cash dividends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(4,712)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22"/>
        </w:trPr>
        <w:tc>
          <w:tcPr>
            <w:tcW w:w="6120" w:type="dxa"/>
            <w:vAlign w:val="bottom"/>
          </w:tcPr>
          <w:p>
            <w:pPr>
              <w:ind w:left="100"/>
              <w:spacing w:after="0"/>
              <w:rPr>
                <w:sz w:val="20"/>
                <w:szCs w:val="20"/>
                <w:color w:val="auto"/>
              </w:rPr>
            </w:pPr>
            <w:r>
              <w:rPr>
                <w:rFonts w:ascii="Arial" w:cs="Arial" w:eastAsia="Arial" w:hAnsi="Arial"/>
                <w:sz w:val="18"/>
                <w:szCs w:val="18"/>
                <w:color w:val="auto"/>
              </w:rPr>
              <w:t>Proceeds from issuance of common and treasury stock</w:t>
            </w:r>
          </w:p>
        </w:tc>
        <w:tc>
          <w:tcPr>
            <w:tcW w:w="740" w:type="dxa"/>
            <w:vAlign w:val="bottom"/>
          </w:tcPr>
          <w:p>
            <w:pPr>
              <w:jc w:val="right"/>
              <w:spacing w:after="0"/>
              <w:rPr>
                <w:sz w:val="20"/>
                <w:szCs w:val="20"/>
                <w:color w:val="auto"/>
              </w:rPr>
            </w:pPr>
            <w:r>
              <w:rPr>
                <w:rFonts w:ascii="Arial" w:cs="Arial" w:eastAsia="Arial" w:hAnsi="Arial"/>
                <w:sz w:val="18"/>
                <w:szCs w:val="18"/>
                <w:color w:val="auto"/>
              </w:rPr>
              <w:t>2,876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20" w:type="dxa"/>
            <w:vAlign w:val="bottom"/>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(3,623)</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(63,270)</w:t>
            </w: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1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(8,338)</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459"/>
        </w:trPr>
        <w:tc>
          <w:tcPr>
            <w:tcW w:w="61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24,445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2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  16,107</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1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WINNEBAGO INDUSTRIES, INC. AND SUBSIDIARIES UNAUDITED CONDENSED NOTES TO CONDENSED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99"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consisting of normal recurring accruals, necessary to present fairly the consolidated financial position as of February 26, 2005, the consolidated results of operations for the 13 and 26 weeks ended February 26, 2005 and February 28, 2004 and the consolidated cash flows for the 26 weeks ended February 26, 2005 and February 28, 2004. The statement of income for the 26 weeks ended February 26, 2005, is not necessarily indicative of the results to be expected for the full year. The balance sheet data as of August 28, 2004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28, 2004.</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The Company maintains cash and money market account balances to meet daily liquidity needs.</w:t>
      </w:r>
    </w:p>
    <w:p>
      <w:pPr>
        <w:spacing w:after="0" w:line="252" w:lineRule="exact"/>
        <w:rPr>
          <w:sz w:val="20"/>
          <w:szCs w:val="20"/>
          <w:color w:val="auto"/>
        </w:rPr>
      </w:pPr>
    </w:p>
    <w:p>
      <w:pPr>
        <w:ind w:left="580"/>
        <w:spacing w:after="0" w:line="296" w:lineRule="auto"/>
        <w:rPr>
          <w:sz w:val="20"/>
          <w:szCs w:val="20"/>
          <w:color w:val="auto"/>
        </w:rPr>
      </w:pPr>
      <w:r>
        <w:rPr>
          <w:rFonts w:ascii="Arial" w:cs="Arial" w:eastAsia="Arial" w:hAnsi="Arial"/>
          <w:sz w:val="16"/>
          <w:szCs w:val="16"/>
          <w:b w:val="1"/>
          <w:bCs w:val="1"/>
          <w:color w:val="auto"/>
        </w:rPr>
        <w:t>Short-Term Investments</w:t>
      </w:r>
      <w:r>
        <w:rPr>
          <w:rFonts w:ascii="Arial" w:cs="Arial" w:eastAsia="Arial" w:hAnsi="Arial"/>
          <w:sz w:val="16"/>
          <w:szCs w:val="16"/>
          <w:color w:val="auto"/>
        </w:rPr>
        <w:t>. As of February 26, 2005, the Company classified its auction rate securities, municipal auction rate notes and other investment-grade marketable debt securities to short-term investments — available-for-sale securities. As a result, the Company reclassified $97.5 million from “cash and cash equivalents” to “short-term investments — available-for-sale-securities” as of February 26, 2005 with a corresponding reclassification of $51.1 million recorded as of August 28, 2004. The Company also made corresponding adjustments to its unaudited condensed consolidated statements of cash flows to reflect the purchases and sales or maturity of these securities as investing cash flows.</w:t>
      </w:r>
    </w:p>
    <w:p>
      <w:pPr>
        <w:spacing w:after="0" w:line="189"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b w:val="1"/>
          <w:bCs w:val="1"/>
          <w:color w:val="auto"/>
        </w:rPr>
        <w:t>Accounting for Stock-Based Compensation</w:t>
      </w:r>
      <w:r>
        <w:rPr>
          <w:rFonts w:ascii="Arial" w:cs="Arial" w:eastAsia="Arial" w:hAnsi="Arial"/>
          <w:sz w:val="16"/>
          <w:szCs w:val="16"/>
          <w:color w:val="auto"/>
        </w:rPr>
        <w:t>. The Company adopted SFAS No. 123,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fiscal 1997.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has elected to continue following the accounting guidance of Accounting Principles Board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for measurement and recognition of stock-based transactions with employees. No compensation cost has been recognized for options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Company’s equity compensation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income and income per share for the 13 and 26 weeks ended February 26, 2005 and February 28, 2004 would have been changed to the proforma amounts as follows:</w:t>
      </w:r>
    </w:p>
    <w:p>
      <w:pPr>
        <w:spacing w:after="0" w:line="196"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9"/>
              </w:rPr>
              <w:t>Thirteen Weeks Ended</w:t>
            </w:r>
          </w:p>
        </w:tc>
        <w:tc>
          <w:tcPr>
            <w:tcW w:w="160" w:type="dxa"/>
            <w:vAlign w:val="bottom"/>
          </w:tcPr>
          <w:p>
            <w:pPr>
              <w:spacing w:after="0"/>
              <w:rPr>
                <w:sz w:val="15"/>
                <w:szCs w:val="15"/>
                <w:color w:val="auto"/>
              </w:rPr>
            </w:pPr>
          </w:p>
        </w:tc>
        <w:tc>
          <w:tcPr>
            <w:tcW w:w="18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95"/>
        </w:trPr>
        <w:tc>
          <w:tcPr>
            <w:tcW w:w="3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rPr>
              <w:t>February 26,</w:t>
            </w: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28,</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February 26,</w:t>
            </w:r>
          </w:p>
        </w:tc>
        <w:tc>
          <w:tcPr>
            <w:tcW w:w="12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80" w:type="dxa"/>
            <w:vAlign w:val="bottom"/>
            <w:vMerge w:val="restart"/>
          </w:tcPr>
          <w:p>
            <w:pPr>
              <w:spacing w:after="0"/>
              <w:rPr>
                <w:sz w:val="20"/>
                <w:szCs w:val="20"/>
                <w:color w:val="auto"/>
              </w:rPr>
            </w:pPr>
            <w:r>
              <w:rPr>
                <w:rFonts w:ascii="Arial" w:cs="Arial" w:eastAsia="Arial" w:hAnsi="Arial"/>
                <w:sz w:val="18"/>
                <w:szCs w:val="18"/>
                <w:color w:val="auto"/>
              </w:rPr>
              <w:t>In thousands, except per-share amounts</w:t>
            </w: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00"/>
              <w:spacing w:after="0"/>
              <w:rPr>
                <w:sz w:val="20"/>
                <w:szCs w:val="20"/>
                <w:color w:val="auto"/>
              </w:rPr>
            </w:pPr>
            <w:r>
              <w:rPr>
                <w:rFonts w:ascii="Arial" w:cs="Arial" w:eastAsia="Arial" w:hAnsi="Arial"/>
                <w:sz w:val="18"/>
                <w:szCs w:val="18"/>
                <w:color w:val="auto"/>
              </w:rPr>
              <w:t>Net income - as reported</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14,366</w:t>
            </w:r>
          </w:p>
        </w:tc>
        <w:tc>
          <w:tcPr>
            <w:tcW w:w="14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15,880</w:t>
            </w:r>
          </w:p>
        </w:tc>
        <w:tc>
          <w:tcPr>
            <w:tcW w:w="24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33,910</w:t>
            </w:r>
          </w:p>
        </w:tc>
        <w:tc>
          <w:tcPr>
            <w:tcW w:w="18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00"/>
              <w:spacing w:after="0"/>
              <w:rPr>
                <w:sz w:val="20"/>
                <w:szCs w:val="20"/>
                <w:color w:val="auto"/>
              </w:rPr>
            </w:pPr>
            <w:r>
              <w:rPr>
                <w:rFonts w:ascii="Arial" w:cs="Arial" w:eastAsia="Arial" w:hAnsi="Arial"/>
                <w:sz w:val="18"/>
                <w:szCs w:val="18"/>
                <w:color w:val="auto"/>
                <w:w w:val="88"/>
              </w:rPr>
              <w:t>Less estimated stock-based employee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80" w:type="dxa"/>
            <w:vAlign w:val="bottom"/>
          </w:tcPr>
          <w:p>
            <w:pPr>
              <w:ind w:left="100"/>
              <w:spacing w:after="0"/>
              <w:rPr>
                <w:sz w:val="20"/>
                <w:szCs w:val="20"/>
                <w:color w:val="auto"/>
              </w:rPr>
            </w:pPr>
            <w:r>
              <w:rPr>
                <w:rFonts w:ascii="Arial" w:cs="Arial" w:eastAsia="Arial" w:hAnsi="Arial"/>
                <w:sz w:val="18"/>
                <w:szCs w:val="18"/>
                <w:color w:val="auto"/>
              </w:rPr>
              <w:t>Net income - proforma</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13,251</w:t>
            </w:r>
          </w:p>
        </w:tc>
        <w:tc>
          <w:tcPr>
            <w:tcW w:w="14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15,072</w:t>
            </w:r>
          </w:p>
        </w:tc>
        <w:tc>
          <w:tcPr>
            <w:tcW w:w="24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31,925</w:t>
            </w:r>
          </w:p>
        </w:tc>
        <w:tc>
          <w:tcPr>
            <w:tcW w:w="180" w:type="dxa"/>
            <w:vAlign w:val="bottom"/>
          </w:tcPr>
          <w:p>
            <w:pPr>
              <w:spacing w:after="0"/>
              <w:rPr>
                <w:sz w:val="24"/>
                <w:szCs w:val="24"/>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32,331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88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00"/>
              <w:spacing w:after="0"/>
              <w:rPr>
                <w:sz w:val="20"/>
                <w:szCs w:val="20"/>
                <w:color w:val="auto"/>
              </w:rPr>
            </w:pPr>
            <w:r>
              <w:rPr>
                <w:rFonts w:ascii="Arial" w:cs="Arial" w:eastAsia="Arial" w:hAnsi="Arial"/>
                <w:sz w:val="18"/>
                <w:szCs w:val="18"/>
                <w:color w:val="auto"/>
              </w:rPr>
              <w:t>Basic - as reported</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0 .43</w:t>
            </w:r>
          </w:p>
        </w:tc>
        <w:tc>
          <w:tcPr>
            <w:tcW w:w="14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00"/>
              <w:spacing w:after="0"/>
              <w:rPr>
                <w:sz w:val="20"/>
                <w:szCs w:val="20"/>
                <w:color w:val="auto"/>
              </w:rPr>
            </w:pPr>
            <w:r>
              <w:rPr>
                <w:rFonts w:ascii="Arial" w:cs="Arial" w:eastAsia="Arial" w:hAnsi="Arial"/>
                <w:sz w:val="18"/>
                <w:szCs w:val="18"/>
                <w:color w:val="auto"/>
                <w:w w:val="88"/>
              </w:rPr>
              <w:t>Less estimated stock-based employee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-706755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-706755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-706755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-706755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-706755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-706755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-706755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-706755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45" w:right="25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5540" w:type="dxa"/>
            <w:vAlign w:val="bottom"/>
          </w:tcPr>
          <w:p>
            <w:pPr>
              <w:ind w:left="1760"/>
              <w:spacing w:after="0"/>
              <w:rPr>
                <w:sz w:val="20"/>
                <w:szCs w:val="20"/>
                <w:color w:val="auto"/>
              </w:rPr>
            </w:pPr>
            <w:r>
              <w:rPr>
                <w:rFonts w:ascii="Arial" w:cs="Arial" w:eastAsia="Arial" w:hAnsi="Arial"/>
                <w:sz w:val="18"/>
                <w:szCs w:val="18"/>
                <w:color w:val="auto"/>
              </w:rPr>
              <w:t>Basic - proforma</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540" w:type="dxa"/>
            <w:vAlign w:val="bottom"/>
          </w:tcPr>
          <w:p>
            <w:pPr>
              <w:ind w:left="1760"/>
              <w:spacing w:after="0"/>
              <w:rPr>
                <w:sz w:val="20"/>
                <w:szCs w:val="20"/>
                <w:color w:val="auto"/>
              </w:rPr>
            </w:pPr>
            <w:r>
              <w:rPr>
                <w:rFonts w:ascii="Arial" w:cs="Arial" w:eastAsia="Arial" w:hAnsi="Arial"/>
                <w:sz w:val="18"/>
                <w:szCs w:val="18"/>
                <w:color w:val="auto"/>
              </w:rPr>
              <w:t>Diluted - as reported</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0 .42</w:t>
            </w:r>
          </w:p>
        </w:tc>
        <w:tc>
          <w:tcPr>
            <w:tcW w:w="2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0 .46</w:t>
            </w:r>
          </w:p>
        </w:tc>
        <w:tc>
          <w:tcPr>
            <w:tcW w:w="2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0.99</w:t>
            </w:r>
          </w:p>
        </w:tc>
        <w:tc>
          <w:tcPr>
            <w:tcW w:w="18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760"/>
              <w:spacing w:after="0"/>
              <w:rPr>
                <w:sz w:val="20"/>
                <w:szCs w:val="20"/>
                <w:color w:val="auto"/>
              </w:rPr>
            </w:pPr>
            <w:r>
              <w:rPr>
                <w:rFonts w:ascii="Arial" w:cs="Arial" w:eastAsia="Arial" w:hAnsi="Arial"/>
                <w:sz w:val="18"/>
                <w:szCs w:val="18"/>
                <w:color w:val="auto"/>
                <w:w w:val="88"/>
              </w:rPr>
              <w:t>Less estimated stock-based employee compensation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ind w:left="1760"/>
              <w:spacing w:after="0"/>
              <w:rPr>
                <w:sz w:val="20"/>
                <w:szCs w:val="20"/>
                <w:color w:val="auto"/>
              </w:rPr>
            </w:pPr>
            <w:r>
              <w:rPr>
                <w:rFonts w:ascii="Arial" w:cs="Arial" w:eastAsia="Arial" w:hAnsi="Arial"/>
                <w:sz w:val="18"/>
                <w:szCs w:val="18"/>
                <w:color w:val="auto"/>
              </w:rPr>
              <w:t>determined under fair value based method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2"/>
          </w:tcPr>
          <w:p>
            <w:pPr>
              <w:jc w:val="right"/>
              <w:ind w:right="17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tcPr>
          <w:p>
            <w:pPr>
              <w:ind w:left="1760"/>
              <w:spacing w:after="0"/>
              <w:rPr>
                <w:sz w:val="20"/>
                <w:szCs w:val="20"/>
                <w:color w:val="auto"/>
              </w:rPr>
            </w:pPr>
            <w:r>
              <w:rPr>
                <w:rFonts w:ascii="Arial" w:cs="Arial" w:eastAsia="Arial" w:hAnsi="Arial"/>
                <w:sz w:val="18"/>
                <w:szCs w:val="18"/>
                <w:color w:val="auto"/>
              </w:rPr>
              <w:t>Diluted - proforma</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0 .44</w:t>
            </w:r>
          </w:p>
        </w:tc>
        <w:tc>
          <w:tcPr>
            <w:tcW w:w="2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40" w:type="dxa"/>
            <w:vAlign w:val="bottom"/>
            <w:vMerge w:val="restart"/>
          </w:tcPr>
          <w:p>
            <w:pPr>
              <w:ind w:left="166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40" w:type="dxa"/>
            <w:vAlign w:val="bottom"/>
          </w:tcPr>
          <w:p>
            <w:pPr>
              <w:ind w:left="17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33,672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33,928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34,613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tcPr>
          <w:p>
            <w:pPr>
              <w:ind w:left="17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34,254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34,545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35,196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8"/>
        </w:trPr>
        <w:tc>
          <w:tcPr>
            <w:tcW w:w="554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5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18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-2244090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-2244090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-2244090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-2244090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-2244090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-2244090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-2244090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-2244090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-1395095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-1395095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-1395095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-1395095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-1395095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-1395095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-1395095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-1395095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-966470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-966470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-966470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-966470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-966470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-966470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-966470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-966470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-674370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-674370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-674370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-674370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-674370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-674370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-674370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-674370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estimated the fair values using the Black-Scholes option-pricing model, modified for dividends and using the following assumptions:</w:t>
      </w:r>
    </w:p>
    <w:p>
      <w:pPr>
        <w:spacing w:after="0" w:line="271"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ind w:right="656"/>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656"/>
              <w:spacing w:after="0"/>
              <w:rPr>
                <w:sz w:val="20"/>
                <w:szCs w:val="20"/>
                <w:color w:val="auto"/>
              </w:rPr>
            </w:pPr>
            <w:r>
              <w:rPr>
                <w:rFonts w:ascii="Arial" w:cs="Arial" w:eastAsia="Arial" w:hAnsi="Arial"/>
                <w:sz w:val="14"/>
                <w:szCs w:val="14"/>
                <w:b w:val="1"/>
                <w:bCs w:val="1"/>
                <w:color w:val="auto"/>
              </w:rPr>
              <w:t>2004</w:t>
            </w:r>
          </w:p>
        </w:tc>
      </w:tr>
      <w:tr>
        <w:trPr>
          <w:trHeight w:val="95"/>
        </w:trPr>
        <w:tc>
          <w:tcPr>
            <w:tcW w:w="57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309"/>
        </w:trPr>
        <w:tc>
          <w:tcPr>
            <w:tcW w:w="5740" w:type="dxa"/>
            <w:vAlign w:val="bottom"/>
          </w:tcPr>
          <w:p>
            <w:pPr>
              <w:spacing w:after="0"/>
              <w:rPr>
                <w:sz w:val="20"/>
                <w:szCs w:val="20"/>
                <w:color w:val="auto"/>
              </w:rPr>
            </w:pPr>
            <w:r>
              <w:rPr>
                <w:rFonts w:ascii="Arial" w:cs="Arial" w:eastAsia="Arial" w:hAnsi="Arial"/>
                <w:sz w:val="18"/>
                <w:szCs w:val="18"/>
                <w:color w:val="auto"/>
              </w:rPr>
              <w:t>Risk-free rate</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46.35 – 46.56%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48.19 – 48.54%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option term</w:t>
            </w:r>
          </w:p>
        </w:tc>
        <w:tc>
          <w:tcPr>
            <w:tcW w:w="320" w:type="dxa"/>
            <w:vAlign w:val="bottom"/>
          </w:tcPr>
          <w:p>
            <w:pPr>
              <w:spacing w:after="0"/>
              <w:rPr>
                <w:sz w:val="18"/>
                <w:szCs w:val="18"/>
                <w:color w:val="auto"/>
              </w:rPr>
            </w:pP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3 years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4 years</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Fair value per option</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10.87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10.04</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99" w:lineRule="exact"/>
        <w:rPr>
          <w:sz w:val="20"/>
          <w:szCs w:val="20"/>
          <w:color w:val="auto"/>
        </w:rPr>
      </w:pPr>
    </w:p>
    <w:p>
      <w:pPr>
        <w:ind w:left="580" w:right="40"/>
        <w:spacing w:after="0" w:line="289" w:lineRule="auto"/>
        <w:rPr>
          <w:sz w:val="20"/>
          <w:szCs w:val="20"/>
          <w:color w:val="auto"/>
        </w:rPr>
      </w:pPr>
      <w:r>
        <w:rPr>
          <w:rFonts w:ascii="Arial" w:cs="Arial" w:eastAsia="Arial" w:hAnsi="Arial"/>
          <w:sz w:val="16"/>
          <w:szCs w:val="16"/>
          <w:color w:val="auto"/>
        </w:rPr>
        <w:t xml:space="preserve">In January 2004, the FASB issued FASB Staff Position (FSP) FAS 106-1, </w:t>
      </w:r>
      <w:r>
        <w:rPr>
          <w:rFonts w:ascii="Arial" w:cs="Arial" w:eastAsia="Arial" w:hAnsi="Arial"/>
          <w:sz w:val="16"/>
          <w:szCs w:val="16"/>
          <w:i w:val="1"/>
          <w:iCs w:val="1"/>
          <w:color w:val="auto"/>
        </w:rPr>
        <w:t>Accounting and Disclosure Requirements Related to the Medicare Prescription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Drug, Improvement and Modernization Act of 2003 </w:t>
      </w:r>
      <w:r>
        <w:rPr>
          <w:rFonts w:ascii="Arial" w:cs="Arial" w:eastAsia="Arial" w:hAnsi="Arial"/>
          <w:sz w:val="16"/>
          <w:szCs w:val="16"/>
          <w:color w:val="auto"/>
        </w:rPr>
        <w:t>(Act). The Act introduced a prescription drug benefit and federal subsidy to sponsors of retiree health</w:t>
      </w:r>
      <w:r>
        <w:rPr>
          <w:rFonts w:ascii="Arial" w:cs="Arial" w:eastAsia="Arial" w:hAnsi="Arial"/>
          <w:sz w:val="16"/>
          <w:szCs w:val="16"/>
          <w:i w:val="1"/>
          <w:iCs w:val="1"/>
          <w:color w:val="auto"/>
        </w:rPr>
        <w:t xml:space="preserve"> </w:t>
      </w:r>
      <w:r>
        <w:rPr>
          <w:rFonts w:ascii="Arial" w:cs="Arial" w:eastAsia="Arial" w:hAnsi="Arial"/>
          <w:sz w:val="16"/>
          <w:szCs w:val="16"/>
          <w:color w:val="auto"/>
        </w:rPr>
        <w:t>care benefit plans. The FSP permits a sponsor of a postretirement health care plan that provides a prescription drug benefit to make a one-time election to defer recognition of the effects of the Act in accounting for its retiree healthcare benefit plans until authoritative guidance on accounting for subsidies provided by the Act is issued. SFAS No. 106, “Employers’ Accounting for Postretirement Benefits Other Than Pension,” requires enacted changes in relevant laws to be considered in current period measurements of postretirement benefit costs and accumulated postretirement benefit obligation. The Company provides prescription drug benefits to certain eligible retirees and elected the one-time deferral of accounting for the effects of the Act in the second quarter of fiscal 2004 until authoritative accounting guidance was provided.</w:t>
      </w:r>
    </w:p>
    <w:p>
      <w:pPr>
        <w:spacing w:after="0" w:line="199"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In May 2004, the FASB issued FSP FAS 106-2 to provide guidance on accounting for the effects of the Act and supercedes FSP FAS 106-1. This FSP is effective for the first interim or annual accounting period beginning after June 15, 2004. In addition, this FSP requires employers to provide certain disclosures in their future financial statements regarding the effect of the Act and the related subsidy on postretirement health obligations and net periodic postretirement benefit cost. The Company does not believe the federal subsidy will have a material effect, if any, upon adoption of the FSP in fiscal 2006 due to the September 2004 plan amendment discussed further in Note 6.</w:t>
      </w:r>
    </w:p>
    <w:p>
      <w:pPr>
        <w:spacing w:after="0" w:line="197" w:lineRule="exact"/>
        <w:rPr>
          <w:sz w:val="20"/>
          <w:szCs w:val="20"/>
          <w:color w:val="auto"/>
        </w:rPr>
      </w:pPr>
    </w:p>
    <w:p>
      <w:pPr>
        <w:ind w:left="580" w:right="60"/>
        <w:spacing w:after="0" w:line="294" w:lineRule="auto"/>
        <w:rPr>
          <w:sz w:val="20"/>
          <w:szCs w:val="20"/>
          <w:color w:val="auto"/>
        </w:rPr>
      </w:pPr>
      <w:r>
        <w:rPr>
          <w:rFonts w:ascii="Arial" w:cs="Arial" w:eastAsia="Arial" w:hAnsi="Arial"/>
          <w:sz w:val="16"/>
          <w:szCs w:val="16"/>
          <w:color w:val="auto"/>
        </w:rPr>
        <w:t xml:space="preserve">In December 2004, the FASB issued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amends FASB Statement Nos. 123 and 95. SFAS 123R requires all companies to measure compensation cost for all share-based payments (including employee stock options) at fair value, and will be effective for public companies for interim or annual periods beginning after June 15, 2005. This new standard may be adopted in one of two ways — the modified prospective transition method or the modified retrospective transition method. The Company is currently evaluating the effect that the accounting change will have on its financial position and results of operations.</w:t>
      </w:r>
    </w:p>
    <w:p>
      <w:pPr>
        <w:spacing w:after="0" w:line="197" w:lineRule="exact"/>
        <w:rPr>
          <w:sz w:val="20"/>
          <w:szCs w:val="20"/>
          <w:color w:val="auto"/>
        </w:rPr>
      </w:pPr>
    </w:p>
    <w:p>
      <w:pPr>
        <w:ind w:left="580" w:right="40"/>
        <w:spacing w:after="0" w:line="254" w:lineRule="auto"/>
        <w:rPr>
          <w:sz w:val="20"/>
          <w:szCs w:val="20"/>
          <w:color w:val="auto"/>
        </w:rPr>
      </w:pPr>
      <w:r>
        <w:rPr>
          <w:rFonts w:ascii="Arial" w:cs="Arial" w:eastAsia="Arial" w:hAnsi="Arial"/>
          <w:sz w:val="18"/>
          <w:szCs w:val="18"/>
          <w:color w:val="auto"/>
        </w:rPr>
        <w:t>In November 2004, the FASB issued Statement of Financial Accounting Standards No. 151, Inventory Costs (“SFAS 151”), which amends Accounting Research Bulletin (ARB) No. 43, Chapter 4. SFAS 151 clarifies the accounting for abnormal amounts of idle facility expense, freight, handling costs and wasted material (spoilage) as current-period charges regardless of whether they meet the criteria of “so abnormal.” SFAS 151 also requires the allocation of fixed production overhead to the costs of conversion based on the normal capacity of the production facilities. SFAS 151 will be effective during fiscal years beginning after June 15, 2005. The Company is currently evaluating the effect that the accounting change will have on its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 — Available-For-Sale-Securities</w:t>
      </w:r>
    </w:p>
    <w:p>
      <w:pPr>
        <w:spacing w:after="0" w:line="299" w:lineRule="exact"/>
        <w:rPr>
          <w:sz w:val="20"/>
          <w:szCs w:val="20"/>
          <w:color w:val="auto"/>
        </w:rPr>
      </w:pPr>
    </w:p>
    <w:p>
      <w:pPr>
        <w:ind w:left="580" w:right="60"/>
        <w:spacing w:after="0" w:line="318" w:lineRule="auto"/>
        <w:rPr>
          <w:sz w:val="20"/>
          <w:szCs w:val="20"/>
          <w:color w:val="auto"/>
        </w:rPr>
      </w:pPr>
      <w:r>
        <w:rPr>
          <w:rFonts w:ascii="Arial" w:cs="Arial" w:eastAsia="Arial" w:hAnsi="Arial"/>
          <w:sz w:val="15"/>
          <w:szCs w:val="15"/>
          <w:color w:val="auto"/>
        </w:rPr>
        <w:t>The Company’s short-term investments consist of auction rate preferred securities, municipal auction rate notes and other investment-grade marketable debt securities. The original maturities of these investments may be over one year. However, these securities have certain economic characteristics of short-term investments due to a rate-setting mechanism and the ability to sell them through a Dutch auction process that occurs at pre-determined intervals of less than one year. The Company’s short-term investments are classified as available-for-sale securities due to management’s intent regarding these securities. The carrying value of these securities approximates fair market value due to their liquidity profile. As of February 26, 2005 and August</w:t>
      </w:r>
    </w:p>
    <w:p>
      <w:pPr>
        <w:sectPr>
          <w:pgSz w:w="11900" w:h="16838" w:orient="portrait"/>
          <w:cols w:equalWidth="0" w:num="1">
            <w:col w:w="11420"/>
          </w:cols>
          <w:pgMar w:left="240" w:top="131" w:right="239" w:bottom="0" w:gutter="0" w:footer="0" w:header="0"/>
        </w:sectPr>
      </w:pPr>
    </w:p>
    <w:bookmarkStart w:id="6" w:name="page7"/>
    <w:bookmarkEnd w:id="6"/>
    <w:p>
      <w:pPr>
        <w:ind w:left="580" w:right="20"/>
        <w:spacing w:after="0" w:line="268" w:lineRule="auto"/>
        <w:rPr>
          <w:sz w:val="20"/>
          <w:szCs w:val="20"/>
          <w:color w:val="auto"/>
        </w:rPr>
      </w:pPr>
      <w:r>
        <w:rPr>
          <w:rFonts w:ascii="Arial" w:cs="Arial" w:eastAsia="Arial" w:hAnsi="Arial"/>
          <w:sz w:val="18"/>
          <w:szCs w:val="18"/>
          <w:color w:val="auto"/>
        </w:rPr>
        <w:t>28, 2004, there were no unrealized gains or losses associated with these investments. The Company had approximately $97.5 million and $51.1 million in short-term investments as of February 26, 2005 and August 28, 2004,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312"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235"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February 26,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August 28,</w:t>
            </w:r>
          </w:p>
        </w:tc>
      </w:tr>
      <w:tr>
        <w:trPr>
          <w:trHeight w:val="174"/>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637"/>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657"/>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r>
      <w:tr>
        <w:trPr>
          <w:trHeight w:val="95"/>
        </w:trPr>
        <w:tc>
          <w:tcPr>
            <w:tcW w:w="3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309"/>
        </w:trPr>
        <w:tc>
          <w:tcPr>
            <w:tcW w:w="3800" w:type="dxa"/>
            <w:vAlign w:val="bottom"/>
          </w:tcPr>
          <w:p>
            <w:pPr>
              <w:spacing w:after="0"/>
              <w:rPr>
                <w:sz w:val="20"/>
                <w:szCs w:val="20"/>
                <w:color w:val="auto"/>
              </w:rPr>
            </w:pPr>
            <w:r>
              <w:rPr>
                <w:rFonts w:ascii="Arial" w:cs="Arial" w:eastAsia="Arial" w:hAnsi="Arial"/>
                <w:sz w:val="18"/>
                <w:szCs w:val="18"/>
                <w:color w:val="auto"/>
              </w:rPr>
              <w:t>Finished goods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67,666</w:t>
            </w:r>
          </w:p>
        </w:tc>
        <w:tc>
          <w:tcPr>
            <w:tcW w:w="40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58,913</w:t>
            </w:r>
          </w:p>
        </w:tc>
        <w:tc>
          <w:tcPr>
            <w:tcW w:w="4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50,780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47,337</w:t>
            </w:r>
          </w:p>
        </w:tc>
        <w:tc>
          <w:tcPr>
            <w:tcW w:w="40" w:type="dxa"/>
            <w:vAlign w:val="bottom"/>
          </w:tcPr>
          <w:p>
            <w:pPr>
              <w:spacing w:after="0"/>
              <w:rPr>
                <w:sz w:val="18"/>
                <w:szCs w:val="18"/>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56,805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51,675</w:t>
            </w:r>
          </w:p>
        </w:tc>
        <w:tc>
          <w:tcPr>
            <w:tcW w:w="40" w:type="dxa"/>
            <w:vAlign w:val="bottom"/>
          </w:tcPr>
          <w:p>
            <w:pPr>
              <w:spacing w:after="0"/>
              <w:rPr>
                <w:sz w:val="19"/>
                <w:szCs w:val="19"/>
                <w:color w:val="auto"/>
              </w:rPr>
            </w:pPr>
          </w:p>
        </w:tc>
      </w:tr>
      <w:tr>
        <w:trPr>
          <w:trHeight w:val="110"/>
        </w:trPr>
        <w:tc>
          <w:tcPr>
            <w:tcW w:w="38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175,251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157,925</w:t>
            </w:r>
          </w:p>
        </w:tc>
        <w:tc>
          <w:tcPr>
            <w:tcW w:w="40" w:type="dxa"/>
            <w:vAlign w:val="bottom"/>
          </w:tcPr>
          <w:p>
            <w:pPr>
              <w:spacing w:after="0"/>
              <w:rPr>
                <w:sz w:val="24"/>
                <w:szCs w:val="24"/>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LIFO reserve</w:t>
            </w:r>
          </w:p>
        </w:tc>
        <w:tc>
          <w:tcPr>
            <w:tcW w:w="28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(28,799)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(27,192)</w:t>
            </w:r>
          </w:p>
        </w:tc>
      </w:tr>
      <w:tr>
        <w:trPr>
          <w:trHeight w:val="110"/>
        </w:trPr>
        <w:tc>
          <w:tcPr>
            <w:tcW w:w="38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8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146,452</w:t>
            </w:r>
          </w:p>
        </w:tc>
        <w:tc>
          <w:tcPr>
            <w:tcW w:w="40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130,733</w:t>
            </w:r>
          </w:p>
        </w:tc>
        <w:tc>
          <w:tcPr>
            <w:tcW w:w="40" w:type="dxa"/>
            <w:vAlign w:val="bottom"/>
          </w:tcPr>
          <w:p>
            <w:pPr>
              <w:spacing w:after="0"/>
              <w:rPr>
                <w:sz w:val="24"/>
                <w:szCs w:val="24"/>
                <w:color w:val="auto"/>
              </w:rPr>
            </w:pPr>
          </w:p>
        </w:tc>
      </w:tr>
      <w:tr>
        <w:trPr>
          <w:trHeight w:val="120"/>
        </w:trPr>
        <w:tc>
          <w:tcPr>
            <w:tcW w:w="38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Warranties</w:t>
      </w:r>
    </w:p>
    <w:p>
      <w:pPr>
        <w:spacing w:after="0" w:line="312"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Estimated warranty costs are provided at the time of sale of the warranted products. Estimates of future warranty costs are based on prior experience and known current events. The changes in the provision for warranty reserve for the 26 weeks ended February 26, 2005 and February 28, 2004 are as follows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February 26,</w:t>
            </w:r>
          </w:p>
        </w:tc>
        <w:tc>
          <w:tcPr>
            <w:tcW w:w="120" w:type="dxa"/>
            <w:vAlign w:val="bottom"/>
          </w:tcPr>
          <w:p>
            <w:pPr>
              <w:spacing w:after="0"/>
              <w:rPr>
                <w:sz w:val="14"/>
                <w:szCs w:val="14"/>
                <w:color w:val="auto"/>
              </w:rPr>
            </w:pPr>
          </w:p>
        </w:tc>
        <w:tc>
          <w:tcPr>
            <w:tcW w:w="2760" w:type="dxa"/>
            <w:vAlign w:val="bottom"/>
            <w:gridSpan w:val="2"/>
          </w:tcPr>
          <w:p>
            <w:pPr>
              <w:jc w:val="right"/>
              <w:ind w:right="198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48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2004</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880" w:type="dxa"/>
            <w:vAlign w:val="bottom"/>
          </w:tcPr>
          <w:p>
            <w:pPr>
              <w:ind w:left="1660"/>
              <w:spacing w:after="0"/>
              <w:rPr>
                <w:sz w:val="20"/>
                <w:szCs w:val="20"/>
                <w:color w:val="auto"/>
              </w:rPr>
            </w:pPr>
            <w:r>
              <w:rPr>
                <w:rFonts w:ascii="Arial" w:cs="Arial" w:eastAsia="Arial" w:hAnsi="Arial"/>
                <w:sz w:val="18"/>
                <w:szCs w:val="18"/>
                <w:color w:val="auto"/>
              </w:rPr>
              <w:t>Balance at beginning of fiscal year</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13,356</w:t>
            </w:r>
          </w:p>
        </w:tc>
        <w:tc>
          <w:tcPr>
            <w:tcW w:w="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660"/>
              <w:spacing w:after="0"/>
              <w:rPr>
                <w:sz w:val="20"/>
                <w:szCs w:val="20"/>
                <w:color w:val="auto"/>
              </w:rPr>
            </w:pPr>
            <w:r>
              <w:rPr>
                <w:rFonts w:ascii="Arial" w:cs="Arial" w:eastAsia="Arial" w:hAnsi="Arial"/>
                <w:sz w:val="18"/>
                <w:szCs w:val="18"/>
                <w:color w:val="auto"/>
              </w:rPr>
              <w:t>Provision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1660"/>
              <w:spacing w:after="0"/>
              <w:rPr>
                <w:sz w:val="20"/>
                <w:szCs w:val="20"/>
                <w:color w:val="auto"/>
              </w:rPr>
            </w:pPr>
            <w:r>
              <w:rPr>
                <w:rFonts w:ascii="Arial" w:cs="Arial" w:eastAsia="Arial" w:hAnsi="Arial"/>
                <w:sz w:val="18"/>
                <w:szCs w:val="18"/>
                <w:color w:val="auto"/>
              </w:rPr>
              <w:t>Claims paid</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(7,069)</w:t>
            </w:r>
          </w:p>
        </w:tc>
        <w:tc>
          <w:tcPr>
            <w:tcW w:w="120" w:type="dxa"/>
            <w:vAlign w:val="bottom"/>
          </w:tcPr>
          <w:p>
            <w:pPr>
              <w:spacing w:after="0"/>
              <w:rPr>
                <w:sz w:val="19"/>
                <w:szCs w:val="19"/>
                <w:color w:val="auto"/>
              </w:rPr>
            </w:pPr>
          </w:p>
        </w:tc>
        <w:tc>
          <w:tcPr>
            <w:tcW w:w="2760" w:type="dxa"/>
            <w:vAlign w:val="bottom"/>
            <w:gridSpan w:val="2"/>
          </w:tcPr>
          <w:p>
            <w:pPr>
              <w:jc w:val="right"/>
              <w:ind w:right="176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110"/>
        </w:trPr>
        <w:tc>
          <w:tcPr>
            <w:tcW w:w="48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80" w:type="dxa"/>
            <w:vAlign w:val="bottom"/>
          </w:tcPr>
          <w:p>
            <w:pPr>
              <w:ind w:left="1660"/>
              <w:spacing w:after="0"/>
              <w:rPr>
                <w:sz w:val="20"/>
                <w:szCs w:val="20"/>
                <w:color w:val="auto"/>
              </w:rPr>
            </w:pPr>
            <w:r>
              <w:rPr>
                <w:rFonts w:ascii="Arial" w:cs="Arial" w:eastAsia="Arial" w:hAnsi="Arial"/>
                <w:sz w:val="18"/>
                <w:szCs w:val="18"/>
                <w:color w:val="auto"/>
              </w:rPr>
              <w:t>Balance at end of period</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13,152</w:t>
            </w:r>
          </w:p>
        </w:tc>
        <w:tc>
          <w:tcPr>
            <w:tcW w:w="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11,890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2120" w:type="dxa"/>
            <w:vAlign w:val="bottom"/>
            <w:vMerge w:val="restart"/>
          </w:tcPr>
          <w:p>
            <w:pPr>
              <w:jc w:val="right"/>
              <w:ind w:right="115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8"/>
        </w:trPr>
        <w:tc>
          <w:tcPr>
            <w:tcW w:w="48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880" w:type="dxa"/>
            <w:vAlign w:val="bottom"/>
            <w:tcBorders>
              <w:bottom w:val="single" w:sz="8" w:color="808080"/>
            </w:tcBorders>
          </w:tcPr>
          <w:p>
            <w:pPr>
              <w:spacing w:after="0"/>
              <w:rPr>
                <w:sz w:val="21"/>
                <w:szCs w:val="21"/>
                <w:color w:val="auto"/>
              </w:rPr>
            </w:pPr>
          </w:p>
        </w:tc>
        <w:tc>
          <w:tcPr>
            <w:tcW w:w="21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18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-674370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-674370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-674370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-674370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Retirement Plans</w:t>
      </w:r>
    </w:p>
    <w:p>
      <w:pPr>
        <w:spacing w:after="0" w:line="312" w:lineRule="exact"/>
        <w:rPr>
          <w:sz w:val="20"/>
          <w:szCs w:val="20"/>
          <w:color w:val="auto"/>
        </w:rPr>
      </w:pPr>
    </w:p>
    <w:p>
      <w:pPr>
        <w:ind w:left="580" w:right="120"/>
        <w:spacing w:after="0" w:line="291" w:lineRule="auto"/>
        <w:rPr>
          <w:sz w:val="20"/>
          <w:szCs w:val="20"/>
          <w:color w:val="auto"/>
        </w:rPr>
      </w:pPr>
      <w:r>
        <w:rPr>
          <w:rFonts w:ascii="Arial" w:cs="Arial" w:eastAsia="Arial" w:hAnsi="Arial"/>
          <w:sz w:val="16"/>
          <w:szCs w:val="16"/>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their age. Effective September 2004, the Company amended its postretirement health care benefit plan to establish a maximum monthly amount the Company will pay per retiree. The plan amendment will significantly reduce the cost of the plan and resulted in a $40.4 million reduction in the accumulated postretirement benefit obligation as of September 2004 which was required to be deferred and is being amortized over the approximate remaining service period of active participants. Net postretirement benefit expense consisted of the following components (dollars in thousands):</w:t>
      </w:r>
    </w:p>
    <w:p>
      <w:pPr>
        <w:spacing w:after="0" w:line="197"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5"/>
          </w:tcPr>
          <w:p>
            <w:pPr>
              <w:jc w:val="right"/>
              <w:ind w:right="216"/>
              <w:spacing w:after="0"/>
              <w:rPr>
                <w:sz w:val="20"/>
                <w:szCs w:val="20"/>
                <w:color w:val="auto"/>
              </w:rPr>
            </w:pPr>
            <w:r>
              <w:rPr>
                <w:rFonts w:ascii="Arial" w:cs="Arial" w:eastAsia="Arial" w:hAnsi="Arial"/>
                <w:sz w:val="14"/>
                <w:szCs w:val="14"/>
                <w:b w:val="1"/>
                <w:bCs w:val="1"/>
                <w:color w:val="auto"/>
                <w:w w:val="94"/>
              </w:rPr>
              <w:t>Thirteen Weeks Ended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w w:val="90"/>
              </w:rPr>
              <w:t>Twenty-Six Weeks Ended</w:t>
            </w:r>
          </w:p>
        </w:tc>
      </w:tr>
      <w:tr>
        <w:trPr>
          <w:trHeight w:val="95"/>
        </w:trPr>
        <w:tc>
          <w:tcPr>
            <w:tcW w:w="3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r>
      <w:tr>
        <w:trPr>
          <w:trHeight w:val="237"/>
        </w:trPr>
        <w:tc>
          <w:tcPr>
            <w:tcW w:w="3140" w:type="dxa"/>
            <w:vAlign w:val="bottom"/>
          </w:tcPr>
          <w:p>
            <w:pPr>
              <w:spacing w:after="0"/>
              <w:rPr>
                <w:sz w:val="20"/>
                <w:szCs w:val="20"/>
                <w:color w:val="auto"/>
              </w:rPr>
            </w:pPr>
          </w:p>
        </w:tc>
        <w:tc>
          <w:tcPr>
            <w:tcW w:w="1720" w:type="dxa"/>
            <w:vAlign w:val="bottom"/>
            <w:gridSpan w:val="4"/>
          </w:tcPr>
          <w:p>
            <w:pPr>
              <w:ind w:left="720"/>
              <w:spacing w:after="0"/>
              <w:rPr>
                <w:sz w:val="20"/>
                <w:szCs w:val="20"/>
                <w:color w:val="auto"/>
              </w:rPr>
            </w:pPr>
            <w:r>
              <w:rPr>
                <w:rFonts w:ascii="Arial" w:cs="Arial" w:eastAsia="Arial" w:hAnsi="Arial"/>
                <w:sz w:val="14"/>
                <w:szCs w:val="14"/>
                <w:b w:val="1"/>
                <w:bCs w:val="1"/>
                <w:color w:val="auto"/>
              </w:rPr>
              <w:t>February 26,</w:t>
            </w: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w w:val="88"/>
              </w:rPr>
              <w:t>February 28,</w:t>
            </w: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February 26,</w:t>
            </w: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w w:val="88"/>
              </w:rPr>
              <w:t>February 28,</w:t>
            </w:r>
          </w:p>
        </w:tc>
      </w:tr>
      <w:tr>
        <w:trPr>
          <w:trHeight w:val="174"/>
        </w:trPr>
        <w:tc>
          <w:tcPr>
            <w:tcW w:w="3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r>
      <w:tr>
        <w:trPr>
          <w:trHeight w:val="95"/>
        </w:trPr>
        <w:tc>
          <w:tcPr>
            <w:tcW w:w="3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309"/>
        </w:trPr>
        <w:tc>
          <w:tcPr>
            <w:tcW w:w="31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24"/>
                <w:szCs w:val="24"/>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947</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24"/>
                <w:szCs w:val="24"/>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Service cost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10"/>
        </w:trPr>
        <w:tc>
          <w:tcPr>
            <w:tcW w:w="3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316"/>
        </w:trPr>
        <w:tc>
          <w:tcPr>
            <w:tcW w:w="3140" w:type="dxa"/>
            <w:vAlign w:val="bottom"/>
          </w:tcPr>
          <w:p>
            <w:pPr>
              <w:spacing w:after="0"/>
              <w:rPr>
                <w:sz w:val="20"/>
                <w:szCs w:val="20"/>
                <w:color w:val="auto"/>
              </w:rPr>
            </w:pPr>
            <w:r>
              <w:rPr>
                <w:rFonts w:ascii="Arial" w:cs="Arial" w:eastAsia="Arial" w:hAnsi="Arial"/>
                <w:sz w:val="18"/>
                <w:szCs w:val="18"/>
                <w:color w:val="auto"/>
              </w:rPr>
              <w:t>Net periodic benefit (income) cost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120"/>
        </w:trPr>
        <w:tc>
          <w:tcPr>
            <w:tcW w:w="3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80" w:right="40"/>
        <w:spacing w:after="0" w:line="306" w:lineRule="auto"/>
        <w:rPr>
          <w:sz w:val="20"/>
          <w:szCs w:val="20"/>
          <w:color w:val="auto"/>
        </w:rPr>
      </w:pPr>
      <w:r>
        <w:rPr>
          <w:rFonts w:ascii="Arial" w:cs="Arial" w:eastAsia="Arial" w:hAnsi="Arial"/>
          <w:sz w:val="16"/>
          <w:szCs w:val="16"/>
          <w:color w:val="auto"/>
        </w:rPr>
        <w:t>For accounting purposes, the Company is recognizing income from the plan in fiscal 2005 due to the amortization of the cost savings from the September 2004 amendment. However, the Company is still obligated to pay the cost of previously accrued and earned retiree benefits and paid approximately $262,000 and $313,000 of such benefits for the 26 weeks ended February 26, 2005 and February 28, 2004, respectively.</w:t>
      </w:r>
    </w:p>
    <w:p>
      <w:pPr>
        <w:sectPr>
          <w:pgSz w:w="11900" w:h="16838" w:orient="portrait"/>
          <w:cols w:equalWidth="0" w:num="1">
            <w:col w:w="11420"/>
          </w:cols>
          <w:pgMar w:left="240" w:top="131" w:right="239" w:bottom="1"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Contingent Liabilities and Commitments</w:t>
      </w:r>
    </w:p>
    <w:p>
      <w:pPr>
        <w:sectPr>
          <w:pgSz w:w="11900" w:h="16838" w:orient="portrait"/>
          <w:cols w:equalWidth="0" w:num="1">
            <w:col w:w="11420"/>
          </w:cols>
          <w:pgMar w:left="240" w:top="131" w:right="239" w:bottom="1"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Repurchase Commitments.</w:t>
      </w:r>
    </w:p>
    <w:p>
      <w:pPr>
        <w:spacing w:after="0" w:line="299" w:lineRule="exact"/>
        <w:rPr>
          <w:sz w:val="20"/>
          <w:szCs w:val="20"/>
          <w:color w:val="auto"/>
        </w:rPr>
      </w:pPr>
    </w:p>
    <w:p>
      <w:pPr>
        <w:ind w:left="580" w:right="620"/>
        <w:spacing w:after="0" w:line="268"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lending institutions which have provided wholesale floorplan financing to dealers.</w:t>
      </w:r>
    </w:p>
    <w:p>
      <w:pPr>
        <w:spacing w:after="0" w:line="213" w:lineRule="exact"/>
        <w:rPr>
          <w:sz w:val="20"/>
          <w:szCs w:val="20"/>
          <w:color w:val="auto"/>
        </w:rPr>
      </w:pPr>
    </w:p>
    <w:p>
      <w:pPr>
        <w:ind w:left="580"/>
        <w:spacing w:after="0" w:line="287" w:lineRule="auto"/>
        <w:rPr>
          <w:sz w:val="20"/>
          <w:szCs w:val="20"/>
          <w:color w:val="auto"/>
        </w:rPr>
      </w:pPr>
      <w:r>
        <w:rPr>
          <w:rFonts w:ascii="Arial" w:cs="Arial" w:eastAsia="Arial" w:hAnsi="Arial"/>
          <w:sz w:val="16"/>
          <w:szCs w:val="16"/>
          <w:color w:val="auto"/>
        </w:rPr>
        <w:t>Most dealers are financed on a “floorplan” basis under which a bank or finance company lends the dealer all, or substantially all, of the purchase price, collateralized by a security interest in the merchandise purchased. These repurchase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$401,250,000 and $353,624,000 at February 26, 2005 and August 28, 2004, respectively. The Company’s actual losses under these repurchase agreements were approximately $33,000 and $-0- during the 26 weeks ended February 26, 2005 and February 28, 2004, respectively, and charged against the reserve the Company carries on its balance sheet. The reserve for repurchases at February 26, 2005 and February 28, 2004 was approximately $304,000 and $319,000, respectively.</w:t>
      </w:r>
    </w:p>
    <w:p>
      <w:pPr>
        <w:spacing w:after="0" w:line="204" w:lineRule="exact"/>
        <w:rPr>
          <w:sz w:val="20"/>
          <w:szCs w:val="20"/>
          <w:color w:val="auto"/>
        </w:rPr>
      </w:pPr>
    </w:p>
    <w:p>
      <w:pPr>
        <w:ind w:left="580" w:right="180"/>
        <w:spacing w:after="0" w:line="332" w:lineRule="auto"/>
        <w:rPr>
          <w:sz w:val="20"/>
          <w:szCs w:val="20"/>
          <w:color w:val="auto"/>
        </w:rPr>
      </w:pPr>
      <w:r>
        <w:rPr>
          <w:rFonts w:ascii="Arial" w:cs="Arial" w:eastAsia="Arial" w:hAnsi="Arial"/>
          <w:sz w:val="16"/>
          <w:szCs w:val="16"/>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under this agreement was approximately $-0- and $1,772,000 at February 26, 2005 and August 28, 2004, respectively. The Company did not incur any actual losses under this repurchase agreement during the 26 weeks ended February 26, 2005 and February 28, 2004. The initial agreement covered a two year period with the option, subject to annual renewal, at the discretion of the parties thereto. The agreement was renewed as of February 1, 2004. However, during the first quarter of fiscal 2005, the dealer involved transferred its financing to a different banking institution, thus eliminating the Company’s liability under this agreement.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99" w:lineRule="exact"/>
        <w:rPr>
          <w:sz w:val="20"/>
          <w:szCs w:val="20"/>
          <w:color w:val="auto"/>
        </w:rPr>
      </w:pPr>
    </w:p>
    <w:p>
      <w:pPr>
        <w:ind w:left="580" w:right="140"/>
        <w:spacing w:after="0" w:line="287" w:lineRule="auto"/>
        <w:rPr>
          <w:sz w:val="20"/>
          <w:szCs w:val="20"/>
          <w:color w:val="auto"/>
        </w:rPr>
      </w:pPr>
      <w:r>
        <w:rPr>
          <w:rFonts w:ascii="Arial" w:cs="Arial" w:eastAsia="Arial" w:hAnsi="Arial"/>
          <w:sz w:val="16"/>
          <w:szCs w:val="16"/>
          <w:color w:val="auto"/>
        </w:rPr>
        <w:t>During the second quarter of fiscal 2002, the Company entered into a five year services agreement (the “Agreement”) with one of its suppliers (the “Supplier”) and the Forest City Economic Development, Inc., an Iowa non-profit corporation (the “FCED”), requiring the Supplier to provide RV paint services to the Company. Three of the Company’s officers have board seats on the 20 member FCED board. The FCED constructed and debt financed a paint facility on its land adjoining one of the Company’s manufacturing plants for the Supplier and the Supplier leases the land and facility from the FCED under a lease that expires in August 2012. In the event of termination of the Agreement by any of the parties involved before September 1, 2007, the rights and obligations of the Supplier under the lease would be transferred to the Company. As of February 26, 2005, the Supplier is current with its lease payment obligations to the FCED with approximately $3,630,000 (principal and interest) remaining to be paid through August 2012. Also, under the terms of the Agreement in the event of a default by the Supplier, the Company would be obligated to purchase from the Supplier approximately $750,000 of equipment installed in the paint facility at net book value and is obligated to assume payment obligations for approximately $45,000 in capital equipment leases.</w:t>
      </w:r>
    </w:p>
    <w:p>
      <w:pPr>
        <w:spacing w:after="0" w:line="204" w:lineRule="exact"/>
        <w:rPr>
          <w:sz w:val="20"/>
          <w:szCs w:val="20"/>
          <w:color w:val="auto"/>
        </w:rPr>
      </w:pPr>
    </w:p>
    <w:p>
      <w:pPr>
        <w:ind w:left="580" w:right="100"/>
        <w:spacing w:after="0" w:line="332" w:lineRule="auto"/>
        <w:rPr>
          <w:sz w:val="20"/>
          <w:szCs w:val="20"/>
          <w:color w:val="auto"/>
        </w:rPr>
      </w:pPr>
      <w:r>
        <w:rPr>
          <w:rFonts w:ascii="Arial" w:cs="Arial" w:eastAsia="Arial" w:hAnsi="Arial"/>
          <w:sz w:val="16"/>
          <w:szCs w:val="16"/>
          <w:color w:val="auto"/>
        </w:rPr>
        <w:t>Also in the second quarter of fiscal 2002, the Company guaranteed $700,000 of the FCED $2,200,000 bank debt for the construction of the paint facility leased by the Supplier. The Company also pledged a $500,000 certificate of deposit to the bank to collateralize a portion of its $700,000 guarantee.</w:t>
      </w:r>
    </w:p>
    <w:p>
      <w:pPr>
        <w:spacing w:after="0" w:line="166"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color w:val="auto"/>
        </w:rPr>
        <w:t>During the first quarter of fiscal 2004, the debt obligations for the FCED’s paint facility were renegotiated from $2,200,000 to $2,925,000 and as part of this transaction, the Company executed a new guaranty whereby the amount of the guarantee was reduced from $700,000 to $500,000 with the Company continuing to agree to pledge a $500,000 certificate of deposit to the bank and the prior guarantee was released. The term of the guarantee coincides with the payment of the first $500,000 of lease obligations of the Supplier scheduled to be paid by February 2006. As a result of the new guarantee, the Company recorded a $500,000 liability in the first quarter of fiscal 2004 which will be amortized as the FCED makes its monthly debt payments funded by monthly lease payments from the Supplier. The balance of the guarantee as of February 26, 2005 was approximately $231,000.</w:t>
      </w:r>
    </w:p>
    <w:p>
      <w:pPr>
        <w:spacing w:after="0" w:line="201" w:lineRule="exact"/>
        <w:rPr>
          <w:sz w:val="20"/>
          <w:szCs w:val="20"/>
          <w:color w:val="auto"/>
        </w:rPr>
      </w:pPr>
    </w:p>
    <w:p>
      <w:pPr>
        <w:ind w:left="580" w:right="120"/>
        <w:spacing w:after="0" w:line="255" w:lineRule="auto"/>
        <w:rPr>
          <w:sz w:val="20"/>
          <w:szCs w:val="20"/>
          <w:color w:val="auto"/>
        </w:rPr>
      </w:pPr>
      <w:r>
        <w:rPr>
          <w:rFonts w:ascii="Arial" w:cs="Arial" w:eastAsia="Arial" w:hAnsi="Arial"/>
          <w:sz w:val="18"/>
          <w:szCs w:val="18"/>
          <w:color w:val="auto"/>
        </w:rPr>
        <w:t>During the second quarter of fiscal 2004, the Company entered into a five-year limited guaranty agreement (“Guarantee Agreement”) with a leasing corporation (“Landlord”) and the Supplier. The Landlord will construct a paint facility for the Supplier through debt financing on land adjoining one of the Company’s manufacturing plants. The Landlord and the Supplier have signed a ten-year lease agreement which commenced on August 1, 2004. The Guarantee Agreement states that the Company will guarantee the first 60 monthly lease payments (totaling approximately $1,559,000 of principal and interest).</w:t>
      </w:r>
    </w:p>
    <w:p>
      <w:pPr>
        <w:spacing w:after="0" w:line="224" w:lineRule="exact"/>
        <w:rPr>
          <w:sz w:val="20"/>
          <w:szCs w:val="20"/>
          <w:color w:val="auto"/>
        </w:rPr>
      </w:pPr>
    </w:p>
    <w:p>
      <w:pPr>
        <w:jc w:val="both"/>
        <w:ind w:left="580" w:right="80"/>
        <w:spacing w:after="0" w:line="256" w:lineRule="auto"/>
        <w:rPr>
          <w:sz w:val="20"/>
          <w:szCs w:val="20"/>
          <w:color w:val="auto"/>
        </w:rPr>
      </w:pPr>
      <w:r>
        <w:rPr>
          <w:rFonts w:ascii="Arial" w:cs="Arial" w:eastAsia="Arial" w:hAnsi="Arial"/>
          <w:sz w:val="18"/>
          <w:szCs w:val="18"/>
          <w:color w:val="auto"/>
        </w:rPr>
        <w:t>In the event of a payment default before August 2009 and the Supplier’s failure to correct the default, the Landlord shall give the Company (Guarantor) written notice of its intent to terminate said lease. At the time of this notification, the Company will have various options that it must exercise in a timely manner. As of February 26, 2005, the Supplier is current with its lease payment obligations to the Landlord. The estimated fair value of the guarantee as of February 26, 2005 was approximately $275,000.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ectPr>
          <w:pgSz w:w="11900" w:h="16838" w:orient="portrait"/>
          <w:cols w:equalWidth="0" w:num="1">
            <w:col w:w="11400"/>
          </w:cols>
          <w:pgMar w:left="240" w:top="125" w:right="259" w:bottom="0" w:gutter="0" w:footer="0" w:header="0"/>
          <w:type w:val="continuous"/>
        </w:sectPr>
      </w:pPr>
    </w:p>
    <w:bookmarkStart w:id="8" w:name="page9"/>
    <w:bookmarkEnd w:id="8"/>
    <w:p>
      <w:pPr>
        <w:ind w:left="580" w:right="80"/>
        <w:spacing w:after="0" w:line="268" w:lineRule="auto"/>
        <w:rPr>
          <w:sz w:val="20"/>
          <w:szCs w:val="20"/>
          <w:color w:val="auto"/>
        </w:rPr>
      </w:pPr>
      <w:r>
        <w:rPr>
          <w:rFonts w:ascii="Arial" w:cs="Arial" w:eastAsia="Arial" w:hAnsi="Arial"/>
          <w:sz w:val="18"/>
          <w:szCs w:val="18"/>
          <w:color w:val="auto"/>
        </w:rPr>
        <w:t>Certain legal proceedings in which the Company is involved are described in the Company’s Annual Report on Form 10-K for the year ended August 28, 2004.</w:t>
      </w:r>
    </w:p>
    <w:p>
      <w:pPr>
        <w:spacing w:after="0" w:line="213" w:lineRule="exact"/>
        <w:rPr>
          <w:sz w:val="20"/>
          <w:szCs w:val="20"/>
          <w:color w:val="auto"/>
        </w:rPr>
      </w:pPr>
    </w:p>
    <w:p>
      <w:pPr>
        <w:ind w:left="580" w:right="60"/>
        <w:spacing w:after="0" w:line="255"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which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Supplemental Cash Flow Disclosure</w:t>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periods indicated, the Company paid cash for the following (dollars in thousands):</w:t>
      </w:r>
    </w:p>
    <w:p>
      <w:pPr>
        <w:spacing w:after="0" w:line="248" w:lineRule="exact"/>
        <w:rPr>
          <w:sz w:val="20"/>
          <w:szCs w:val="20"/>
          <w:color w:val="auto"/>
        </w:rPr>
      </w:pPr>
    </w:p>
    <w:tbl>
      <w:tblPr>
        <w:tblLayout w:type="fixed"/>
        <w:tblInd w:w="368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4"/>
              </w:rPr>
              <w:t>Twenty-Six Weeks Ended</w:t>
            </w:r>
          </w:p>
        </w:tc>
      </w:tr>
      <w:tr>
        <w:trPr>
          <w:trHeight w:val="95"/>
        </w:trPr>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r>
      <w:tr>
        <w:trPr>
          <w:trHeight w:val="237"/>
        </w:trPr>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6"/>
              </w:rPr>
              <w:t>February 26,</w:t>
            </w: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February 28,</w:t>
            </w:r>
          </w:p>
        </w:tc>
      </w:tr>
      <w:tr>
        <w:trPr>
          <w:trHeight w:val="174"/>
        </w:trPr>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2004</w:t>
            </w:r>
          </w:p>
        </w:tc>
      </w:tr>
      <w:tr>
        <w:trPr>
          <w:trHeight w:val="95"/>
        </w:trPr>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Interest</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11,058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12,631</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Dividends Declared</w:t>
      </w:r>
    </w:p>
    <w:p>
      <w:pPr>
        <w:spacing w:after="0" w:line="312" w:lineRule="exact"/>
        <w:rPr>
          <w:sz w:val="20"/>
          <w:szCs w:val="20"/>
          <w:color w:val="auto"/>
        </w:rPr>
      </w:pPr>
    </w:p>
    <w:p>
      <w:pPr>
        <w:ind w:left="580"/>
        <w:spacing w:after="0" w:line="332" w:lineRule="auto"/>
        <w:rPr>
          <w:sz w:val="20"/>
          <w:szCs w:val="20"/>
          <w:color w:val="auto"/>
        </w:rPr>
      </w:pPr>
      <w:r>
        <w:rPr>
          <w:rFonts w:ascii="Arial" w:cs="Arial" w:eastAsia="Arial" w:hAnsi="Arial"/>
          <w:sz w:val="16"/>
          <w:szCs w:val="16"/>
          <w:color w:val="auto"/>
        </w:rPr>
        <w:t>On January 12, 2005, the Board of Directors declared a quarterly cash dividend of $.07 per common share payable April 4, 2005 to shareholders of record on March 4, 2005 which has been recorded as an accrued liability in the accompanying February 26, 2005 balance sheet.</w:t>
      </w:r>
    </w:p>
    <w:p>
      <w:pPr>
        <w:spacing w:after="0" w:line="166"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On March 16, 2005, the Board of Directors declared a quarterly cash dividend of $.07 per common share, payable July 6, 2005 to shareholders of record on June 3, 2005.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Repurchase of Outstanding Stock</w:t>
      </w:r>
    </w:p>
    <w:p>
      <w:pPr>
        <w:spacing w:after="0" w:line="312"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On June 16, 2004, the Board of Directors authorized the repurchase of outstanding shares of the Company’s common stock, at the discretion of management, for an aggregate consideration of up to $30 million. As of February 26, 2005, 163,610 shares had been repurchased for an aggregate consideration of approximately $5.0 million under this authorization. Also, during the second quarter of fiscal 2005, 5,790 shares for an aggregate consideration of approximately $196,000 was repurchased terminating the prior authorizations of up to $15 million accounced on June 19, 2002 and up to $20 million announced on March 19, 2003. (See Part II, 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Per Share</w:t>
      </w:r>
    </w:p>
    <w:p>
      <w:pPr>
        <w:spacing w:after="0" w:line="312" w:lineRule="exact"/>
        <w:rPr>
          <w:sz w:val="20"/>
          <w:szCs w:val="20"/>
          <w:color w:val="auto"/>
        </w:rPr>
      </w:pPr>
    </w:p>
    <w:p>
      <w:pPr>
        <w:ind w:left="580" w:right="300"/>
        <w:spacing w:after="0" w:line="268" w:lineRule="auto"/>
        <w:rPr>
          <w:sz w:val="20"/>
          <w:szCs w:val="20"/>
          <w:color w:val="auto"/>
        </w:rPr>
      </w:pPr>
      <w:r>
        <w:rPr>
          <w:rFonts w:ascii="Arial" w:cs="Arial" w:eastAsia="Arial" w:hAnsi="Arial"/>
          <w:sz w:val="18"/>
          <w:szCs w:val="18"/>
          <w:color w:val="auto"/>
        </w:rPr>
        <w:t>The following table reflects the calculation of basic and diluted earnings per share for the 13 and 26 weeks ended February 26, 2005 and February 28, 2004.</w:t>
      </w:r>
    </w:p>
    <w:p>
      <w:pPr>
        <w:spacing w:after="0" w:line="209"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0"/>
              </w:rPr>
              <w:t>Thirteen Weeks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86"/>
              </w:rPr>
              <w:t>Twenty-Six Weeks Ended</w:t>
            </w: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1520" w:type="dxa"/>
            <w:vAlign w:val="bottom"/>
            <w:gridSpan w:val="3"/>
          </w:tcPr>
          <w:p>
            <w:pPr>
              <w:ind w:left="760"/>
              <w:spacing w:after="0"/>
              <w:rPr>
                <w:sz w:val="20"/>
                <w:szCs w:val="20"/>
                <w:color w:val="auto"/>
              </w:rPr>
            </w:pPr>
            <w:r>
              <w:rPr>
                <w:rFonts w:ascii="Arial" w:cs="Arial" w:eastAsia="Arial" w:hAnsi="Arial"/>
                <w:sz w:val="14"/>
                <w:szCs w:val="14"/>
                <w:b w:val="1"/>
                <w:bCs w:val="1"/>
                <w:color w:val="auto"/>
                <w:w w:val="88"/>
              </w:rPr>
              <w:t>February 26,</w:t>
            </w: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w w:val="88"/>
              </w:rPr>
              <w:t>February 28,</w:t>
            </w: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w w:val="88"/>
              </w:rPr>
              <w:t>February 26,</w:t>
            </w:r>
          </w:p>
        </w:tc>
        <w:tc>
          <w:tcPr>
            <w:tcW w:w="1000" w:type="dxa"/>
            <w:vAlign w:val="bottom"/>
            <w:gridSpan w:val="3"/>
          </w:tcPr>
          <w:p>
            <w:pPr>
              <w:ind w:left="240"/>
              <w:spacing w:after="0"/>
              <w:rPr>
                <w:sz w:val="20"/>
                <w:szCs w:val="20"/>
                <w:color w:val="auto"/>
              </w:rPr>
            </w:pPr>
            <w:r>
              <w:rPr>
                <w:rFonts w:ascii="Arial" w:cs="Arial" w:eastAsia="Arial" w:hAnsi="Arial"/>
                <w:sz w:val="14"/>
                <w:szCs w:val="14"/>
                <w:b w:val="1"/>
                <w:bCs w:val="1"/>
                <w:color w:val="auto"/>
                <w:w w:val="88"/>
              </w:rPr>
              <w:t>February 28,</w:t>
            </w:r>
          </w:p>
        </w:tc>
        <w:tc>
          <w:tcPr>
            <w:tcW w:w="0" w:type="dxa"/>
            <w:vAlign w:val="bottom"/>
          </w:tcPr>
          <w:p>
            <w:pPr>
              <w:spacing w:after="0"/>
              <w:rPr>
                <w:sz w:val="1"/>
                <w:szCs w:val="1"/>
                <w:color w:val="auto"/>
              </w:rPr>
            </w:pPr>
          </w:p>
        </w:tc>
      </w:tr>
      <w:tr>
        <w:trPr>
          <w:trHeight w:val="174"/>
        </w:trPr>
        <w:tc>
          <w:tcPr>
            <w:tcW w:w="348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1820" w:type="dxa"/>
            <w:vAlign w:val="bottom"/>
            <w:vMerge w:val="restart"/>
          </w:tcPr>
          <w:p>
            <w:pPr>
              <w:spacing w:after="0"/>
              <w:rPr>
                <w:sz w:val="20"/>
                <w:szCs w:val="20"/>
                <w:color w:val="auto"/>
              </w:rPr>
            </w:pPr>
            <w:r>
              <w:rPr>
                <w:rFonts w:ascii="Arial" w:cs="Arial" w:eastAsia="Arial" w:hAnsi="Arial"/>
                <w:sz w:val="18"/>
                <w:szCs w:val="18"/>
                <w:color w:val="auto"/>
                <w:w w:val="85"/>
              </w:rPr>
              <w:t>Earnings per share - basic</w:t>
            </w:r>
          </w:p>
        </w:tc>
        <w:tc>
          <w:tcPr>
            <w:tcW w:w="1660" w:type="dxa"/>
            <w:vAlign w:val="bottom"/>
            <w:gridSpan w:val="2"/>
            <w:vMerge w:val="restart"/>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820" w:type="dxa"/>
            <w:vAlign w:val="bottom"/>
            <w:tcBorders>
              <w:bottom w:val="single" w:sz="8" w:color="auto"/>
            </w:tcBorders>
            <w:vMerge w:val="continue"/>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14,366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15,880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33,910</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33,928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33,647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34,613</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10"/>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 assuming dilution</w:t>
            </w: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48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0"/>
                <w:szCs w:val="20"/>
                <w:color w:val="auto"/>
              </w:rPr>
            </w:pP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14,366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15,880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33,910</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48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33,928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33,647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34,613</w:t>
            </w:r>
          </w:p>
        </w:tc>
        <w:tc>
          <w:tcPr>
            <w:tcW w:w="0" w:type="dxa"/>
            <w:vAlign w:val="bottom"/>
          </w:tcPr>
          <w:p>
            <w:pPr>
              <w:spacing w:after="0"/>
              <w:rPr>
                <w:sz w:val="1"/>
                <w:szCs w:val="1"/>
                <w:color w:val="auto"/>
              </w:rPr>
            </w:pPr>
          </w:p>
        </w:tc>
      </w:tr>
      <w:tr>
        <w:trPr>
          <w:trHeight w:val="222"/>
        </w:trPr>
        <w:tc>
          <w:tcPr>
            <w:tcW w:w="348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110"/>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&amp; potential</w:t>
            </w: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48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80" w:type="dxa"/>
            <w:vAlign w:val="bottom"/>
            <w:gridSpan w:val="3"/>
          </w:tcPr>
          <w:p>
            <w:pPr>
              <w:ind w:left="180"/>
              <w:spacing w:after="0"/>
              <w:rPr>
                <w:sz w:val="20"/>
                <w:szCs w:val="20"/>
                <w:color w:val="auto"/>
              </w:rPr>
            </w:pPr>
            <w:r>
              <w:rPr>
                <w:rFonts w:ascii="Arial" w:cs="Arial" w:eastAsia="Arial" w:hAnsi="Arial"/>
                <w:sz w:val="18"/>
                <w:szCs w:val="18"/>
                <w:color w:val="auto"/>
              </w:rPr>
              <w:t>dilutive shares outstanding</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35,196</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3"/>
          </w:tcPr>
          <w:p>
            <w:pPr>
              <w:spacing w:after="0"/>
              <w:rPr>
                <w:sz w:val="20"/>
                <w:szCs w:val="20"/>
                <w:color w:val="auto"/>
              </w:rPr>
            </w:pPr>
            <w:r>
              <w:rPr>
                <w:rFonts w:ascii="Arial" w:cs="Arial" w:eastAsia="Arial" w:hAnsi="Arial"/>
                <w:sz w:val="18"/>
                <w:szCs w:val="18"/>
                <w:color w:val="auto"/>
              </w:rPr>
              <w:t>Earnings per share - assuming dilution</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0.99</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9" w:name="page10"/>
    <w:bookmarkEnd w:id="9"/>
    <w:p>
      <w:pPr>
        <w:jc w:val="both"/>
        <w:ind w:left="580" w:right="100"/>
        <w:spacing w:after="0" w:line="268" w:lineRule="auto"/>
        <w:rPr>
          <w:sz w:val="20"/>
          <w:szCs w:val="20"/>
          <w:color w:val="auto"/>
        </w:rPr>
      </w:pPr>
      <w:r>
        <w:rPr>
          <w:rFonts w:ascii="Arial" w:cs="Arial" w:eastAsia="Arial" w:hAnsi="Arial"/>
          <w:sz w:val="18"/>
          <w:szCs w:val="18"/>
          <w:color w:val="auto"/>
        </w:rPr>
        <w:t>For the 13 weeks ended February 26, 2005, all options were included in the computation of diluted earnings per share because no option’s exercise price was greater than the average market price of the common stock.</w:t>
      </w:r>
    </w:p>
    <w:p>
      <w:pPr>
        <w:spacing w:after="0" w:line="213"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There were options outstanding to purchase 44,000 shares of common stock at a price of $34.855 per share, which were not included in the computation of diluted earnings per share during the 13 weeks ended February 28, 2004 because the options’ exercise price was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Although management believes that the expectations reflected in the forward-looking statements are reasonable, the Company cannot guarantee future results, levels of activity, performance or achievements. Undue reliance should not be placed on these forward-looking statements, which speak only as of the date of this report. Winnebago Industries undertakes no obligation to publicly update or revise any forward-looking statements whether as a result of new information, future events or otherwise, except as required by law or the rules of the New York Stock Exchange.</w:t>
      </w:r>
    </w:p>
    <w:p>
      <w:pPr>
        <w:spacing w:after="0" w:line="1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the Company’s Annual Report to Shareholders for the year ended August 28, 2004.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9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Winnebago Industries, Inc. headquartered in Forest City, Iowa, is the leading United States (U.S.) manufacturer of motor homes, self-contained recreation vehicles (RV) used primarily in leisure travel and outdoor recreation activities. Winnebago Industries was incorporated under the laws of the state of Iowa on February 12, 1958, and adopted its present name on February 28, 1961.</w:t>
      </w:r>
    </w:p>
    <w:p>
      <w:pPr>
        <w:spacing w:after="0" w:line="194"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Company’s products are subjected to what the Company believes is the most rigorous testing in the RV Industry. The Company markets its recreation vehicles on a wholesale basis to approximately 310 dealer locations as of February 26, 2005 and February 28, 2004.</w:t>
      </w:r>
    </w:p>
    <w:p>
      <w:pPr>
        <w:spacing w:after="0" w:line="13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Motorized RV revenues represented 60 percent of the RV industry in calendar 2003 (at this time, industry-wide data for calendar 2004 has not been completed). For this reason and because we believe there are further growth opportunities in this segment, Winnebago Industries has continued to focus on the motorized segment of the RV industry. Winnebago Industries has been able to maintain its market share even though there are recent indications that industry-wide motor home production has exceeded market demand, causing an industry-wide imbalance of motor home inventory. The Company will continue to monitor its inventories on hand to ensure that production is in line with market demand.</w:t>
      </w:r>
    </w:p>
    <w:p>
      <w:pPr>
        <w:spacing w:after="0" w:line="170"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For the calendar years 2004 and 2003, the Company’s dealers retailed 11,622 and 10,786 Winnebago Industries’ motor homes, respectively. These retail sales accounted for approximately 19.0 percent of the total U.S. motor home retail registrations, according to Statistical Survey data for each of these calendar years.</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While market share is important, the Company’s primary goal is to be the most profitable public company in the RV industry. The Company measures profitability by using five guidelines: Return on Average Total Assets (ROA), Return on Average Net Equity (ROE), Return on Average Invested Capital (ROIC), operating margin as a percent of sales and net profit margin as a percent of sales. (See page 3 of the Company’s 2004 Annual Report to Shareholders.)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preparing the consolidated financial statements, the Company follows accounting principles generally accepted in the United States of America, which in many cases requires the Company to make assumptions, estimates and judgments that affect the amounts reported. Many of these policies are straightforward. There are, however, some policies that are critical because they are important in determining the Company’s financial condition and results of operations. These policies are described below and some may involve management judgments due to the sensitivity of the methods, assumptions and estimates necessary in determining the related income statement, asset and/or liability amounts.</w:t>
      </w:r>
    </w:p>
    <w:p>
      <w:pPr>
        <w:spacing w:after="0" w:line="164"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 Generally, revenues for motor homes are recorded when all of the following conditions are met: an order for a product has been received from a dealer;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or verbal approval for payment has been received from the dealer’s floor plan financial institution; and the product is delivered to the dealer who placed the order. Sales are generally made to dealers who finance their purchases under floor plan financing arrangements with banks or finance companies.</w:t>
      </w:r>
    </w:p>
    <w:p>
      <w:pPr>
        <w:sectPr>
          <w:pgSz w:w="11900" w:h="16838" w:orient="portrait"/>
          <w:cols w:equalWidth="0" w:num="1">
            <w:col w:w="11400"/>
          </w:cols>
          <w:pgMar w:left="240" w:top="374" w:right="259" w:bottom="0" w:gutter="0" w:footer="0" w:header="0"/>
        </w:sectPr>
      </w:pPr>
    </w:p>
    <w:bookmarkStart w:id="10" w:name="page11"/>
    <w:bookmarkEnd w:id="10"/>
    <w:p>
      <w:pPr>
        <w:spacing w:after="0" w:line="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Revenues for the Company’s original equipment manufacturing (OEM) components and recreation vehicle related parts are recorded as the products are shipped from the Company’s location. The title of ownership transfers on these products as they leave the Company’s location due to the freight terms of F.O.B. – Forest City, Iowa.</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Companies in the recreation vehicle industry enter into repurchase agreements with lending institutions which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floor-plan financing to dealers. The agreements to which the Company is a party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exposure under these repurchase 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7 of the Unaudited Condensed Notes to Condensed Consolidated Financial Statements.)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 The Company offers a variety of warranties on its products ranging from one to three years in length. Estimated costs related to product warranty are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5 of the Unaudited Condensed Notes to Condensed Consolidated Financial Statements.) In addition to the costs associated with the contractual warranty coverage provided on our motor homes, we also incur costs as a result of additional service actions not covered by our warranties, including product recalls and customer satisfaction actions.</w:t>
      </w:r>
    </w:p>
    <w:p>
      <w:pPr>
        <w:spacing w:after="0" w:line="19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The Company has reserves for other loss exposures, such as litigation, taxes, product liability, worker’s compensation, employee medical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Compared to the Same Quarter Last Year</w:t>
      </w:r>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13-week period ended February 26, 2005 compared to the 13-week period ended February 28, 2004.</w:t>
      </w:r>
    </w:p>
    <w:p>
      <w:pPr>
        <w:sectPr>
          <w:pgSz w:w="11900" w:h="16841"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Comparison of</w:t>
            </w:r>
          </w:p>
        </w:tc>
        <w:tc>
          <w:tcPr>
            <w:tcW w:w="440" w:type="dxa"/>
            <w:vAlign w:val="bottom"/>
          </w:tcPr>
          <w:p>
            <w:pPr>
              <w:spacing w:after="0"/>
              <w:rPr>
                <w:sz w:val="15"/>
                <w:szCs w:val="15"/>
                <w:color w:val="auto"/>
              </w:rPr>
            </w:pPr>
          </w:p>
        </w:tc>
        <w:tc>
          <w:tcPr>
            <w:tcW w:w="19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Thirteen Weeks Ended</w:t>
            </w:r>
          </w:p>
        </w:tc>
        <w:tc>
          <w:tcPr>
            <w:tcW w:w="0" w:type="dxa"/>
            <w:vAlign w:val="bottom"/>
          </w:tcPr>
          <w:p>
            <w:pPr>
              <w:spacing w:after="0"/>
              <w:rPr>
                <w:sz w:val="1"/>
                <w:szCs w:val="1"/>
                <w:color w:val="auto"/>
              </w:rPr>
            </w:pPr>
          </w:p>
        </w:tc>
      </w:tr>
      <w:tr>
        <w:trPr>
          <w:trHeight w:val="55"/>
        </w:trPr>
        <w:tc>
          <w:tcPr>
            <w:tcW w:w="174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Thirteen Weeks Ended</w:t>
            </w:r>
          </w:p>
        </w:tc>
        <w:tc>
          <w:tcPr>
            <w:tcW w:w="4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7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February 26, 2005 to</w:t>
            </w:r>
          </w:p>
        </w:tc>
        <w:tc>
          <w:tcPr>
            <w:tcW w:w="1380" w:type="dxa"/>
            <w:vAlign w:val="bottom"/>
            <w:gridSpan w:val="3"/>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February 26,</w:t>
            </w:r>
          </w:p>
        </w:tc>
        <w:tc>
          <w:tcPr>
            <w:tcW w:w="96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February 28,</w:t>
            </w:r>
          </w:p>
        </w:tc>
        <w:tc>
          <w:tcPr>
            <w:tcW w:w="0" w:type="dxa"/>
            <w:vAlign w:val="bottom"/>
          </w:tcPr>
          <w:p>
            <w:pPr>
              <w:spacing w:after="0"/>
              <w:rPr>
                <w:sz w:val="1"/>
                <w:szCs w:val="1"/>
                <w:color w:val="auto"/>
              </w:rPr>
            </w:pPr>
          </w:p>
        </w:tc>
      </w:tr>
      <w:tr>
        <w:trPr>
          <w:trHeight w:val="174"/>
        </w:trPr>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February 28, 2004</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10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ind w:right="92"/>
              <w:spacing w:after="0"/>
              <w:rPr>
                <w:sz w:val="20"/>
                <w:szCs w:val="20"/>
                <w:color w:val="auto"/>
              </w:rPr>
            </w:pPr>
            <w:r>
              <w:rPr>
                <w:rFonts w:ascii="Arial" w:cs="Arial" w:eastAsia="Arial" w:hAnsi="Arial"/>
                <w:sz w:val="14"/>
                <w:szCs w:val="14"/>
                <w:b w:val="1"/>
                <w:bCs w:val="1"/>
                <w:color w:val="auto"/>
                <w:w w:val="84"/>
              </w:rPr>
              <w:t>Increase</w:t>
            </w: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00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(Decrease)</w:t>
            </w:r>
          </w:p>
        </w:tc>
        <w:tc>
          <w:tcPr>
            <w:tcW w:w="74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5"/>
                <w:szCs w:val="15"/>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 of Net Revenues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5812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ectPr>
          <w:pgSz w:w="11900" w:h="16841" w:orient="portrait"/>
          <w:cols w:equalWidth="0" w:num="2">
            <w:col w:w="5060" w:space="720"/>
            <w:col w:w="5600"/>
          </w:cols>
          <w:pgMar w:left="240" w:top="131" w:right="279" w:bottom="0" w:gutter="0" w:footer="0" w:header="0"/>
          <w:type w:val="continuous"/>
        </w:sectPr>
      </w:pP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(26,674)</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(23,699)</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0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(2,975)</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(2,837)</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Financial income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125.8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Provision for taxes</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(967)</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(1,514)</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Fully diluted average shares outstanding</w:t>
            </w: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1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-734695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-734695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-734695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-734695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-734695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-734695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-734695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-734695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-443230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-443230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-443230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-443230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revenues for the 13 weeks ended February 26, 2005 decreased 10.0 percent to $239.4 million compared to $266.0 million for the quarter ended February 28, 2004. Unit deliveries consisted of the following:</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0"/>
              </w:rPr>
              <w:t>Thirteen Weeks Ended</w:t>
            </w:r>
          </w:p>
        </w:tc>
        <w:tc>
          <w:tcPr>
            <w:tcW w:w="300" w:type="dxa"/>
            <w:vAlign w:val="bottom"/>
          </w:tcPr>
          <w:p>
            <w:pPr>
              <w:spacing w:after="0"/>
              <w:rPr>
                <w:sz w:val="14"/>
                <w:szCs w:val="14"/>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Thirteen Weeks Ended</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r>
      <w:tr>
        <w:trPr>
          <w:trHeight w:val="174"/>
        </w:trPr>
        <w:tc>
          <w:tcPr>
            <w:tcW w:w="2660" w:type="dxa"/>
            <w:vAlign w:val="bottom"/>
          </w:tcPr>
          <w:p>
            <w:pPr>
              <w:spacing w:after="0"/>
              <w:rPr>
                <w:sz w:val="15"/>
                <w:szCs w:val="15"/>
                <w:color w:val="auto"/>
              </w:rPr>
            </w:pPr>
          </w:p>
        </w:tc>
        <w:tc>
          <w:tcPr>
            <w:tcW w:w="1460" w:type="dxa"/>
            <w:vAlign w:val="bottom"/>
          </w:tcPr>
          <w:p>
            <w:pPr>
              <w:jc w:val="right"/>
              <w:ind w:right="140"/>
              <w:spacing w:after="0"/>
              <w:rPr>
                <w:sz w:val="20"/>
                <w:szCs w:val="20"/>
                <w:color w:val="auto"/>
              </w:rPr>
            </w:pPr>
            <w:r>
              <w:rPr>
                <w:rFonts w:ascii="Arial" w:cs="Arial" w:eastAsia="Arial" w:hAnsi="Arial"/>
                <w:sz w:val="14"/>
                <w:szCs w:val="14"/>
                <w:b w:val="1"/>
                <w:bCs w:val="1"/>
                <w:color w:val="auto"/>
              </w:rPr>
              <w:t>February 26, 2005</w:t>
            </w:r>
          </w:p>
        </w:tc>
        <w:tc>
          <w:tcPr>
            <w:tcW w:w="300" w:type="dxa"/>
            <w:vAlign w:val="bottom"/>
          </w:tcPr>
          <w:p>
            <w:pPr>
              <w:spacing w:after="0"/>
              <w:rPr>
                <w:sz w:val="15"/>
                <w:szCs w:val="15"/>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rPr>
              <w:t>February 28, 2004</w:t>
            </w:r>
          </w:p>
        </w:tc>
        <w:tc>
          <w:tcPr>
            <w:tcW w:w="3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Decrease</w:t>
            </w:r>
          </w:p>
        </w:tc>
        <w:tc>
          <w:tcPr>
            <w:tcW w:w="800" w:type="dxa"/>
            <w:vAlign w:val="bottom"/>
          </w:tcPr>
          <w:p>
            <w:pPr>
              <w:jc w:val="right"/>
              <w:ind w:right="100"/>
              <w:spacing w:after="0"/>
              <w:rPr>
                <w:sz w:val="20"/>
                <w:szCs w:val="20"/>
                <w:color w:val="auto"/>
              </w:rPr>
            </w:pPr>
            <w:r>
              <w:rPr>
                <w:rFonts w:ascii="Arial" w:cs="Arial" w:eastAsia="Arial" w:hAnsi="Arial"/>
                <w:sz w:val="14"/>
                <w:szCs w:val="14"/>
                <w:b w:val="1"/>
                <w:bCs w:val="1"/>
                <w:color w:val="auto"/>
              </w:rPr>
              <w:t>Change</w:t>
            </w:r>
          </w:p>
        </w:tc>
      </w:tr>
      <w:tr>
        <w:trPr>
          <w:trHeight w:val="95"/>
        </w:trPr>
        <w:tc>
          <w:tcPr>
            <w:tcW w:w="26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09"/>
        </w:trPr>
        <w:tc>
          <w:tcPr>
            <w:tcW w:w="2660" w:type="dxa"/>
            <w:vAlign w:val="bottom"/>
          </w:tcPr>
          <w:p>
            <w:pPr>
              <w:spacing w:after="0"/>
              <w:rPr>
                <w:sz w:val="20"/>
                <w:szCs w:val="20"/>
                <w:color w:val="auto"/>
              </w:rPr>
            </w:pPr>
            <w:r>
              <w:rPr>
                <w:rFonts w:ascii="Arial" w:cs="Arial" w:eastAsia="Arial" w:hAnsi="Arial"/>
                <w:sz w:val="18"/>
                <w:szCs w:val="18"/>
                <w:color w:val="auto"/>
              </w:rPr>
              <w:t>Class A motor homes (gas)</w:t>
            </w:r>
          </w:p>
        </w:tc>
        <w:tc>
          <w:tcPr>
            <w:tcW w:w="1460" w:type="dxa"/>
            <w:vAlign w:val="bottom"/>
          </w:tcPr>
          <w:p>
            <w:pPr>
              <w:jc w:val="right"/>
              <w:spacing w:after="0"/>
              <w:rPr>
                <w:sz w:val="20"/>
                <w:szCs w:val="20"/>
                <w:color w:val="auto"/>
              </w:rPr>
            </w:pPr>
            <w:r>
              <w:rPr>
                <w:rFonts w:ascii="Arial" w:cs="Arial" w:eastAsia="Arial" w:hAnsi="Arial"/>
                <w:sz w:val="18"/>
                <w:szCs w:val="18"/>
                <w:color w:val="auto"/>
              </w:rPr>
              <w:t>1,117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(151)</w:t>
            </w: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460" w:type="dxa"/>
            <w:vAlign w:val="bottom"/>
          </w:tcPr>
          <w:p>
            <w:pPr>
              <w:jc w:val="right"/>
              <w:spacing w:after="0"/>
              <w:rPr>
                <w:sz w:val="20"/>
                <w:szCs w:val="20"/>
                <w:color w:val="auto"/>
              </w:rPr>
            </w:pPr>
            <w:r>
              <w:rPr>
                <w:rFonts w:ascii="Arial" w:cs="Arial" w:eastAsia="Arial" w:hAnsi="Arial"/>
                <w:sz w:val="18"/>
                <w:szCs w:val="18"/>
                <w:color w:val="auto"/>
              </w:rPr>
              <w:t>550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(166)</w:t>
            </w: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Class C motor homes</w:t>
            </w:r>
          </w:p>
        </w:tc>
        <w:tc>
          <w:tcPr>
            <w:tcW w:w="1460" w:type="dxa"/>
            <w:vAlign w:val="bottom"/>
          </w:tcPr>
          <w:p>
            <w:pPr>
              <w:jc w:val="right"/>
              <w:spacing w:after="0"/>
              <w:rPr>
                <w:sz w:val="20"/>
                <w:szCs w:val="20"/>
                <w:color w:val="auto"/>
              </w:rPr>
            </w:pPr>
            <w:r>
              <w:rPr>
                <w:rFonts w:ascii="Arial" w:cs="Arial" w:eastAsia="Arial" w:hAnsi="Arial"/>
                <w:sz w:val="18"/>
                <w:szCs w:val="18"/>
                <w:color w:val="auto"/>
              </w:rPr>
              <w:t>887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(151)</w:t>
            </w: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r>
    </w:tbl>
    <w:p>
      <w:pPr>
        <w:sectPr>
          <w:pgSz w:w="11900" w:h="16841" w:orient="portrait"/>
          <w:cols w:equalWidth="0" w:num="1">
            <w:col w:w="11380"/>
          </w:cols>
          <w:pgMar w:left="240" w:top="131" w:right="279" w:bottom="0" w:gutter="0" w:footer="0" w:header="0"/>
          <w:type w:val="continuous"/>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88900</wp:posOffset>
            </wp:positionV>
            <wp:extent cx="3464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64560" cy="8255"/>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Total deliveries</w:t>
            </w:r>
          </w:p>
        </w:tc>
        <w:tc>
          <w:tcPr>
            <w:tcW w:w="1460" w:type="dxa"/>
            <w:vAlign w:val="bottom"/>
          </w:tcPr>
          <w:p>
            <w:pPr>
              <w:jc w:val="right"/>
              <w:spacing w:after="0"/>
              <w:rPr>
                <w:sz w:val="20"/>
                <w:szCs w:val="20"/>
                <w:color w:val="auto"/>
              </w:rPr>
            </w:pPr>
            <w:r>
              <w:rPr>
                <w:rFonts w:ascii="Arial" w:cs="Arial" w:eastAsia="Arial" w:hAnsi="Arial"/>
                <w:sz w:val="18"/>
                <w:szCs w:val="18"/>
                <w:color w:val="auto"/>
              </w:rPr>
              <w:t>2,554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3,022</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(468)</w:t>
            </w: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120"/>
        </w:trPr>
        <w:tc>
          <w:tcPr>
            <w:tcW w:w="244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While net revenues decreased 10.0 percent during the 13 weeks ended February 26, 2005, unit deliveries decreased 15.5 percent. The percentage decrease in unit deliveries was partially offset by an increase in the average sale price per unit when comparing the two quarters. Also causing the reduction in revenues and unit deliveries was dealer inventory levels being at more normal levels during the period ended February 26, 2005 compared to February 28, 2004.</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as a percentage of net revenues was higher during the 13 weeks ended February 26, 2005 (13.4 percent) when compared to the comparable period ended February 28, 2004 (13.2 percent). Unfavorably impacting the February 28, 2004 quarter was the recording of a reserve of approximately $1.9 million (representing .7 percent of net revenues) associated with a product recall. Also, when comparing the two quarters, lower production volume and higher fixed costs unfavorably impacted gross profit during the period ended February 26, 2005.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expenses increased 2.3 percent ($103,000) during the 13 weeks ended February 26, 2005, to $4.6 million or 1.9 percent of net revenues compared to $4.5 million or 1.7 percent of net revenues for the 13 weeks ended February 28, 2004. The increases in dollars and percentage were due primarily to increased advertising costs offset partially by a reduction in sales employee incentive compensation costs.</w:t>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General and administrative expenses decreased 4.0 percent during the 13 weeks ended February 26, 2005, to $5.8 million compared to $6.0 million for the 13 weeks ended February 28, 2004; however, as a percentage of net revenues for the period ending February 26, 2005 increased to 2.4 percent compared to 2.3 percent for the period ended February 28, 2004. The decrease in dollars was due primarily to a reduction of approximately $300,000 in management incentive compensation costs in the second quarter of fiscal 2005.</w:t>
      </w:r>
    </w:p>
    <w:p>
      <w:pPr>
        <w:spacing w:after="0" w:line="1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Financial income increased 125.8 percent during the 13 weeks ended February 26, 2005 to $639,000 from $283,000 for the 13 weeks ended February 28, 2004. The increase in financial income during the second quarter of fiscal 2005 was due to more cash being available for investing than during the second quarter of fiscal 2004. Also, the average rate the Company earned on investments during the fiscal 2005 period was higher than the average rate earned during the fiscal 2004 period.</w:t>
      </w:r>
    </w:p>
    <w:p>
      <w:pPr>
        <w:spacing w:after="0" w:line="19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overall effective income tax rate decreased to 35.7 percent for the 13 weeks ended February 26, 2005 from 36.0 percent for the 13 weeks ended February 28, 2004. The decrease was primarily due to a decrease in non-deductible losses in the Winnebago Health Care Management Company.</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income and earnings per diluted share decreased by 9.5 percent and 8.7 percent, respectively, when comparing the 13 weeks ended February 26, 2005 to the 13 weeks ended February 28, 2004. The difference in percentages was primarily due to a lower number of outstanding shares of common stock during the 13 weeks ended February 26, 2005, as a result of common stock repurchased by the Company. (See Note 10 of the Unaudited Condensed Notes to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Year-to-Date Compared to the Same Period Last Year</w:t>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26-week period ended February 26, 2005 compared to the 26-week period ended February 28, 2004.</w:t>
      </w:r>
    </w:p>
    <w:p>
      <w:pPr>
        <w:sectPr>
          <w:pgSz w:w="11900" w:h="16838" w:orient="portrait"/>
          <w:cols w:equalWidth="0" w:num="1">
            <w:col w:w="11400"/>
          </w:cols>
          <w:pgMar w:left="240" w:top="253"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Comparison of</w:t>
            </w:r>
          </w:p>
        </w:tc>
        <w:tc>
          <w:tcPr>
            <w:tcW w:w="240" w:type="dxa"/>
            <w:vAlign w:val="bottom"/>
          </w:tcPr>
          <w:p>
            <w:pPr>
              <w:spacing w:after="0"/>
              <w:rPr>
                <w:sz w:val="15"/>
                <w:szCs w:val="15"/>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Twenty-Six Weeks Ended</w:t>
            </w:r>
          </w:p>
        </w:tc>
        <w:tc>
          <w:tcPr>
            <w:tcW w:w="0" w:type="dxa"/>
            <w:vAlign w:val="bottom"/>
          </w:tcPr>
          <w:p>
            <w:pPr>
              <w:spacing w:after="0"/>
              <w:rPr>
                <w:sz w:val="1"/>
                <w:szCs w:val="1"/>
                <w:color w:val="auto"/>
              </w:rPr>
            </w:pPr>
          </w:p>
        </w:tc>
      </w:tr>
      <w:tr>
        <w:trPr>
          <w:trHeight w:val="55"/>
        </w:trPr>
        <w:tc>
          <w:tcPr>
            <w:tcW w:w="18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8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Twenty-Six Weeks Ended</w:t>
            </w:r>
          </w:p>
        </w:tc>
        <w:tc>
          <w:tcPr>
            <w:tcW w:w="2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8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February 26, 2005 to</w:t>
            </w:r>
          </w:p>
        </w:tc>
        <w:tc>
          <w:tcPr>
            <w:tcW w:w="100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February 26,</w:t>
            </w:r>
          </w:p>
        </w:tc>
        <w:tc>
          <w:tcPr>
            <w:tcW w:w="100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February 28,</w:t>
            </w:r>
          </w:p>
        </w:tc>
        <w:tc>
          <w:tcPr>
            <w:tcW w:w="0" w:type="dxa"/>
            <w:vAlign w:val="bottom"/>
          </w:tcPr>
          <w:p>
            <w:pPr>
              <w:spacing w:after="0"/>
              <w:rPr>
                <w:sz w:val="1"/>
                <w:szCs w:val="1"/>
                <w:color w:val="auto"/>
              </w:rPr>
            </w:pPr>
          </w:p>
        </w:tc>
      </w:tr>
      <w:tr>
        <w:trPr>
          <w:trHeight w:val="174"/>
        </w:trPr>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February 28, 2004</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10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20" w:type="dxa"/>
            <w:vAlign w:val="bottom"/>
          </w:tcPr>
          <w:p>
            <w:pPr>
              <w:jc w:val="center"/>
              <w:ind w:right="152"/>
              <w:spacing w:after="0"/>
              <w:rPr>
                <w:sz w:val="20"/>
                <w:szCs w:val="20"/>
                <w:color w:val="auto"/>
              </w:rPr>
            </w:pPr>
            <w:r>
              <w:rPr>
                <w:rFonts w:ascii="Arial" w:cs="Arial" w:eastAsia="Arial" w:hAnsi="Arial"/>
                <w:sz w:val="14"/>
                <w:szCs w:val="14"/>
                <w:b w:val="1"/>
                <w:bCs w:val="1"/>
                <w:color w:val="auto"/>
                <w:w w:val="84"/>
              </w:rPr>
              <w:t>Increase</w:t>
            </w: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02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(Decrease)</w:t>
            </w:r>
          </w:p>
        </w:tc>
        <w:tc>
          <w:tcPr>
            <w:tcW w:w="84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5"/>
                <w:szCs w:val="15"/>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 of Net Revenues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523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400"/>
          </w:cols>
          <w:pgMar w:left="240" w:top="253" w:right="259" w:bottom="0" w:gutter="0" w:footer="0" w:header="0"/>
          <w:type w:val="continuous"/>
        </w:sectPr>
      </w:pP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(15,474)</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(13,098)</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(2,376)</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(422)</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2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(2,050)</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Financial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93.3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Provision for taxes</w:t>
            </w: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(1,466)</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20"/>
        </w:trPr>
        <w:tc>
          <w:tcPr>
            <w:tcW w:w="44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20"/>
        </w:trPr>
        <w:tc>
          <w:tcPr>
            <w:tcW w:w="44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20" w:type="dxa"/>
            <w:vAlign w:val="bottom"/>
            <w:vMerge w:val="restart"/>
          </w:tcPr>
          <w:p>
            <w:pPr>
              <w:spacing w:after="0"/>
              <w:rPr>
                <w:sz w:val="20"/>
                <w:szCs w:val="20"/>
                <w:color w:val="auto"/>
              </w:rPr>
            </w:pPr>
            <w:r>
              <w:rPr>
                <w:rFonts w:ascii="Arial" w:cs="Arial" w:eastAsia="Arial" w:hAnsi="Arial"/>
                <w:sz w:val="18"/>
                <w:szCs w:val="18"/>
                <w:color w:val="auto"/>
              </w:rPr>
              <w:t>Fully diluted average shares outstanding</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14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(972)</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4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-1026160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-1026160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-734695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-734695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-734695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-734695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-734695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-734695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-734695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-734695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-443230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-443230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-443230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-443230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253" w:right="259" w:bottom="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253" w:right="259" w:bottom="0" w:gutter="0" w:footer="0" w:header="0"/>
          <w:type w:val="continuous"/>
        </w:sectPr>
      </w:pPr>
    </w:p>
    <w:bookmarkStart w:id="12" w:name="page13"/>
    <w:bookmarkEnd w:id="12"/>
    <w:p>
      <w:pPr>
        <w:ind w:right="60"/>
        <w:spacing w:after="0" w:line="268" w:lineRule="auto"/>
        <w:rPr>
          <w:sz w:val="20"/>
          <w:szCs w:val="20"/>
          <w:color w:val="auto"/>
        </w:rPr>
      </w:pPr>
      <w:r>
        <w:rPr>
          <w:rFonts w:ascii="Arial" w:cs="Arial" w:eastAsia="Arial" w:hAnsi="Arial"/>
          <w:sz w:val="18"/>
          <w:szCs w:val="18"/>
          <w:color w:val="auto"/>
        </w:rPr>
        <w:t>Net revenues for the 26 weeks ended February 26, 2005 decreased 3.0 percent to $505.5 million compared to $521.0 million for the 26 weeks ended February 28, 2004. Unit deliveries consisted of the following:</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Twenty-Six Weeks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Twenty-Six Weeks</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06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w:t>
            </w:r>
          </w:p>
        </w:tc>
      </w:tr>
      <w:tr>
        <w:trPr>
          <w:trHeight w:val="174"/>
        </w:trPr>
        <w:tc>
          <w:tcPr>
            <w:tcW w:w="286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26, 2005</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28, 2004</w:t>
            </w:r>
          </w:p>
        </w:tc>
        <w:tc>
          <w:tcPr>
            <w:tcW w:w="26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Decrease</w:t>
            </w: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r>
      <w:tr>
        <w:trPr>
          <w:trHeight w:val="95"/>
        </w:trPr>
        <w:tc>
          <w:tcPr>
            <w:tcW w:w="2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09"/>
        </w:trPr>
        <w:tc>
          <w:tcPr>
            <w:tcW w:w="2860" w:type="dxa"/>
            <w:vAlign w:val="bottom"/>
          </w:tcPr>
          <w:p>
            <w:pPr>
              <w:spacing w:after="0"/>
              <w:rPr>
                <w:sz w:val="20"/>
                <w:szCs w:val="20"/>
                <w:color w:val="auto"/>
              </w:rPr>
            </w:pPr>
            <w:r>
              <w:rPr>
                <w:rFonts w:ascii="Arial" w:cs="Arial" w:eastAsia="Arial" w:hAnsi="Arial"/>
                <w:sz w:val="18"/>
                <w:szCs w:val="18"/>
                <w:color w:val="auto"/>
              </w:rPr>
              <w:t>Class A motor homes (gas)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2,610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(167)</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(6.4%)</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1,245</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(99)</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(8.0%)</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Class C motor homes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2,129</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(399)</w:t>
            </w: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110"/>
        </w:trPr>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r>
        <w:trPr>
          <w:trHeight w:val="316"/>
        </w:trPr>
        <w:tc>
          <w:tcPr>
            <w:tcW w:w="2860" w:type="dxa"/>
            <w:vAlign w:val="bottom"/>
          </w:tcPr>
          <w:p>
            <w:pPr>
              <w:ind w:left="220"/>
              <w:spacing w:after="0"/>
              <w:rPr>
                <w:sz w:val="20"/>
                <w:szCs w:val="20"/>
                <w:color w:val="auto"/>
              </w:rPr>
            </w:pPr>
            <w:r>
              <w:rPr>
                <w:rFonts w:ascii="Arial" w:cs="Arial" w:eastAsia="Arial" w:hAnsi="Arial"/>
                <w:sz w:val="18"/>
                <w:szCs w:val="18"/>
                <w:color w:val="auto"/>
              </w:rPr>
              <w:t>Total deliveries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5,379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5,984</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(605)</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(10.1%)</w:t>
            </w:r>
          </w:p>
        </w:tc>
      </w:tr>
      <w:tr>
        <w:trPr>
          <w:trHeight w:val="120"/>
        </w:trPr>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Net revenues decreased 3.0 percent during the 26 weeks ended February 26, 2005, while unit deliveries decreased 10.1 percent. The percentage decrease in net revenues was less than the percentage decrease in unit deliveries due to an increase in the average sales price per unit when comparing the two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Gross profit as a percentage of net revenues was 14.3 percent during both 26 week periods.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expenses increased by 1.1 percent ($96,000) during the 26 weeks ended February 26, 2005, to $9.1 million (1.8 percent of net revenues) compared to $9.0 million (1.7 percent of net revenues for the 26 weeks ended February 28, 2004). The increases in percentage and dollars were due primarily to increased advertising costs, offset partially by a reduction in sales employee incentive compensation costs.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decreased 3.6 percent during the 26 weeks ended February 26, 2005, to $11.4 million (2.3 percent of net revenues) compared to $11.8 million (2.3 percent of net revenues) for the 26 weeks ended February 28, 2004. The decrease in dollars was due primarily to a reduction of approximately $275,000 in management incentive compensation costs during the fiscal 2005 period.</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Financial income increased 93.3 percent during the 26 weeks ended February 26, 2005 to $1.1 million from $586,000 for the 26 weeks ended February 28, 2004. The increase in financial income during the first half of fiscal 2005 was due to more cash being available for investing than during the first half of fiscal 2004. Also, the average rate the Company earned on investments during the fiscal 2005 period was significantly higher than the average rate earned during the fiscal 2004 period.</w:t>
      </w:r>
    </w:p>
    <w:p>
      <w:pPr>
        <w:spacing w:after="0" w:line="19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overall effective income tax rate decreased to 35.7 percent for the 26 weeks ended February 26, 2005 from 37.5 percent for the 26 weeks ended February 28, 2004. The decrease was primarily due to a decrease in non-deductible losses in the Winnebago Health Care Management Company.</w:t>
      </w:r>
    </w:p>
    <w:p>
      <w:pPr>
        <w:spacing w:after="0" w:line="13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Net earnings per diluted share increased by 3.1 percent when comparing the 26 weeks ended February 26, 2005 to the 26 weeks ended February 28, 2004. The increase was due primarily to a lower number of outstanding shares of the Company's common stock during the 26 weeks ended February 26, 2005, as a result of common stock repurchased by the Company. (See Note 10 of the Unaudited Condensed Notes to Condensed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Company meets its working capital, capital equipment and other cash requirements with funds generated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February 26, 2005, working capital was $196.4 million, an increase of $31.6 million from August 28, 2004's amount of $164.8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for the 26 weeks ended February 26, 2005 was $46.2 million compared to $25.7 million for the 26 weeks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2004. The major items affecting cash from operations were as follows:</w:t>
      </w:r>
    </w:p>
    <w:p>
      <w:pPr>
        <w:spacing w:after="0" w:line="21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2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w w:val="94"/>
              </w:rPr>
              <w:t>Twenty-Six Weeks Ended</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6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300" w:type="dxa"/>
            <w:vAlign w:val="bottom"/>
            <w:vMerge w:val="continue"/>
          </w:tcPr>
          <w:p>
            <w:pPr>
              <w:spacing w:after="0"/>
              <w:rPr>
                <w:sz w:val="24"/>
                <w:szCs w:val="24"/>
                <w:color w:val="auto"/>
              </w:rPr>
            </w:pPr>
          </w:p>
        </w:tc>
        <w:tc>
          <w:tcPr>
            <w:tcW w:w="20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February 26, 2005</w:t>
            </w:r>
          </w:p>
        </w:tc>
        <w:tc>
          <w:tcPr>
            <w:tcW w:w="1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February 28, 2004</w:t>
            </w:r>
          </w:p>
        </w:tc>
        <w:tc>
          <w:tcPr>
            <w:tcW w:w="0" w:type="dxa"/>
            <w:vAlign w:val="bottom"/>
          </w:tcPr>
          <w:p>
            <w:pPr>
              <w:spacing w:after="0"/>
              <w:rPr>
                <w:sz w:val="1"/>
                <w:szCs w:val="1"/>
                <w:color w:val="auto"/>
              </w:rPr>
            </w:pPr>
          </w:p>
        </w:tc>
      </w:tr>
      <w:tr>
        <w:trPr>
          <w:trHeight w:val="95"/>
        </w:trPr>
        <w:tc>
          <w:tcPr>
            <w:tcW w:w="4300" w:type="dxa"/>
            <w:vAlign w:val="bottom"/>
            <w:vMerge w:val="restart"/>
          </w:tcPr>
          <w:p>
            <w:pPr>
              <w:spacing w:after="0"/>
              <w:rPr>
                <w:sz w:val="20"/>
                <w:szCs w:val="20"/>
                <w:color w:val="auto"/>
              </w:rPr>
            </w:pPr>
            <w:r>
              <w:rPr>
                <w:rFonts w:ascii="Arial" w:cs="Arial" w:eastAsia="Arial" w:hAnsi="Arial"/>
                <w:sz w:val="18"/>
                <w:szCs w:val="18"/>
                <w:color w:val="auto"/>
              </w:rPr>
              <w:t>Cash provided by:</w:t>
            </w:r>
          </w:p>
        </w:tc>
        <w:tc>
          <w:tcPr>
            <w:tcW w:w="9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33,910</w:t>
            </w:r>
          </w:p>
        </w:tc>
        <w:tc>
          <w:tcPr>
            <w:tcW w:w="4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Decrease in receivables and other assets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18,210</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Increase in accounts payable and accrued</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 used by:</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Increase in receivables and other assets</w:t>
            </w:r>
          </w:p>
        </w:tc>
        <w:tc>
          <w:tcPr>
            <w:tcW w:w="9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Payments of accounts payable and accrued</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(3,419)</w:t>
            </w: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9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(15,719)</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(23,101)</w:t>
            </w: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13,225</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46,207</w:t>
            </w:r>
          </w:p>
        </w:tc>
        <w:tc>
          <w:tcPr>
            <w:tcW w:w="40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3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9"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Changes in cash flows from operating activities for the first half of fiscal 2005 were due primarily to:</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Decreases in receivables and other assets were due to the dealer’s payoff of unit deliveries, during the first half of fiscal 2005, recorded as receivables as of the fiscal year-end, and a return to a more traditional receivable level.</w:t>
      </w:r>
    </w:p>
    <w:p>
      <w:pPr>
        <w:spacing w:after="0" w:line="18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Decreases in accounts payable and accrued expenses were due to the payment of fiscal 2004 employee incentive programs and a reduction in payables owed to the Company’s vendors.</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Increase in inventories was due primarily to an increase in finished goods inventory of approximately 100 units (most of which were produced for sale into dealer rental fleets) and an increase in raw material and work-in-process due to a larger chassis inventory as of February 26, 2005.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cash flows from operating activities for the first half of fiscal 2004 were due primarily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accounts payable balances was due primarily to increases in the Company’s production schedules.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receivables and other assets was due primarily to an abnormally larger amount of deliveries of the Company’s products during February 2004.</w:t>
      </w: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Increases in inventories were due primarily to a larger number of chassis in the Company’s inventory and an increase in finished goods units of approximately 270 units at February 28, 2004.</w:t>
      </w:r>
    </w:p>
    <w:p>
      <w:pPr>
        <w:spacing w:after="0" w:line="1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primary uses of cash for investing activities were for capital equipment requirements of $4.2 million for the 26-week period ended February 26, 2005 compared to $5.0 million during the 26-week period ended February 28, 2004.</w:t>
      </w:r>
    </w:p>
    <w:p>
      <w:pPr>
        <w:spacing w:after="0" w:line="18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purchased $147.5 million of short-term investments and received proceeds of $101.1 million from the sale or maturity of short-term investments during the 26 weeks ended February 26, 2005. During the 26 weeks ended February 28, 2004 the Company purchased $63.7 million of short-term investments and received proceeds of $103.8 million from the sale or maturity of short-term investments.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Cash used by financing activities for the period ended February 26, 2005 was $1.8 million for Company’s common stock repurchases and $4.7 million for the payment of cash dividends offset partially by $2.9 million from the proceeds for the issuance of common and treasury stock. Primary uses of cash in financing activities for the period ended February 28, 2004 were $64.0 million for Company’s common stock repurchases and $3.5 million for the payment of cash dividends offset partially by $4.2 million cash provided from the proceeds for the issuance of common and treasury stock.</w:t>
      </w:r>
    </w:p>
    <w:p>
      <w:pPr>
        <w:spacing w:after="0" w:line="16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On February 26, 2005 the Company’s cash and cash equivalents balance was $16.1 million and available-for-sale securities </w:t>
      </w:r>
      <w:r>
        <w:rPr>
          <w:rFonts w:ascii="Arial" w:cs="Arial" w:eastAsia="Arial" w:hAnsi="Arial"/>
          <w:sz w:val="16"/>
          <w:szCs w:val="16"/>
          <w:b w:val="1"/>
          <w:bCs w:val="1"/>
          <w:color w:val="auto"/>
        </w:rPr>
        <w:t>—</w:t>
      </w:r>
      <w:r>
        <w:rPr>
          <w:rFonts w:ascii="Arial" w:cs="Arial" w:eastAsia="Arial" w:hAnsi="Arial"/>
          <w:sz w:val="16"/>
          <w:szCs w:val="16"/>
          <w:color w:val="auto"/>
        </w:rPr>
        <w:t xml:space="preserve"> short-term investments was $97.5 million. Estimated demands at February 26, 2005 on the Company’s liquid assets for the remainder of fiscal 2005 include $5.5 million for capital expenditures, primarily for production equipment, and $4.7 million for payments of cash dividends. On June 16, 2004, the Board of Directors authorized the repurchase of outstanding shares of the Company’s common stock, depending on market conditions, for an aggregate of up to $30 million. As of February 26, 2005, 163,610 shares had been repurchased for an aggregate consideration of approximately $5.0 million under this authorization.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Management currently expects its cash on hand and funds from operations to be sufficient to cover both short-term and long-term operation requirements.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3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Long-term demographics are favorable for the Company as its target market of consumers age 50 and older is expected to increase for the next 30 years. In addition to growth in the target market due to the aging of the baby boom generation, a study conducted in 2001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the Company’s motor homes was as follows:</w:t>
      </w:r>
    </w:p>
    <w:p>
      <w:pPr>
        <w:spacing w:after="0" w:line="208"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18"/>
              <w:spacing w:after="0"/>
              <w:rPr>
                <w:sz w:val="20"/>
                <w:szCs w:val="20"/>
                <w:color w:val="auto"/>
              </w:rPr>
            </w:pPr>
            <w:r>
              <w:rPr>
                <w:rFonts w:ascii="Arial" w:cs="Arial" w:eastAsia="Arial" w:hAnsi="Arial"/>
                <w:sz w:val="14"/>
                <w:szCs w:val="14"/>
                <w:b w:val="1"/>
                <w:bCs w:val="1"/>
                <w:color w:val="auto"/>
                <w:w w:val="97"/>
              </w:rPr>
              <w:t>(Decrease)</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Units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February 26, 2005</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7"/>
              </w:rPr>
              <w:t>February 28, 2004</w:t>
            </w:r>
          </w:p>
        </w:tc>
        <w:tc>
          <w:tcPr>
            <w:tcW w:w="820" w:type="dxa"/>
            <w:vAlign w:val="bottom"/>
          </w:tcPr>
          <w:p>
            <w:pPr>
              <w:jc w:val="right"/>
              <w:ind w:right="78"/>
              <w:spacing w:after="0"/>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800" w:type="dxa"/>
            <w:vAlign w:val="bottom"/>
            <w:gridSpan w:val="3"/>
          </w:tcPr>
          <w:p>
            <w:pPr>
              <w:spacing w:after="0"/>
              <w:rPr>
                <w:sz w:val="20"/>
                <w:szCs w:val="20"/>
                <w:color w:val="auto"/>
              </w:rPr>
            </w:pPr>
            <w:r>
              <w:rPr>
                <w:rFonts w:ascii="Arial" w:cs="Arial" w:eastAsia="Arial" w:hAnsi="Arial"/>
                <w:sz w:val="18"/>
                <w:szCs w:val="18"/>
                <w:color w:val="auto"/>
              </w:rPr>
              <w:t>Class A motor homes (gas)</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1,234</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(551)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Class A motor homes (diesel)</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(341)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2"/>
        </w:trPr>
        <w:tc>
          <w:tcPr>
            <w:tcW w:w="3800" w:type="dxa"/>
            <w:vAlign w:val="bottom"/>
            <w:gridSpan w:val="3"/>
          </w:tcPr>
          <w:p>
            <w:pPr>
              <w:spacing w:after="0"/>
              <w:rPr>
                <w:sz w:val="20"/>
                <w:szCs w:val="20"/>
                <w:color w:val="auto"/>
              </w:rPr>
            </w:pPr>
            <w:r>
              <w:rPr>
                <w:rFonts w:ascii="Arial" w:cs="Arial" w:eastAsia="Arial" w:hAnsi="Arial"/>
                <w:sz w:val="18"/>
                <w:szCs w:val="18"/>
                <w:color w:val="auto"/>
              </w:rPr>
              <w:t>Class C motor homes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905</w:t>
            </w:r>
          </w:p>
        </w:tc>
        <w:tc>
          <w:tcPr>
            <w:tcW w:w="820" w:type="dxa"/>
            <w:vAlign w:val="bottom"/>
          </w:tcPr>
          <w:p>
            <w:pPr>
              <w:jc w:val="right"/>
              <w:ind w:right="78"/>
              <w:spacing w:after="0"/>
              <w:rPr>
                <w:sz w:val="20"/>
                <w:szCs w:val="20"/>
                <w:color w:val="auto"/>
              </w:rPr>
            </w:pPr>
            <w:r>
              <w:rPr>
                <w:rFonts w:ascii="Arial" w:cs="Arial" w:eastAsia="Arial" w:hAnsi="Arial"/>
                <w:sz w:val="18"/>
                <w:szCs w:val="18"/>
                <w:color w:val="auto"/>
              </w:rPr>
              <w:t>67</w:t>
            </w: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3800" w:type="dxa"/>
            <w:vAlign w:val="bottom"/>
            <w:gridSpan w:val="3"/>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3"/>
          </w:tcPr>
          <w:p>
            <w:pPr>
              <w:spacing w:after="0"/>
              <w:rPr>
                <w:sz w:val="20"/>
                <w:szCs w:val="20"/>
                <w:color w:val="auto"/>
              </w:rPr>
            </w:pPr>
            <w:r>
              <w:rPr>
                <w:rFonts w:ascii="Arial" w:cs="Arial" w:eastAsia="Arial" w:hAnsi="Arial"/>
                <w:sz w:val="18"/>
                <w:szCs w:val="18"/>
                <w:color w:val="auto"/>
              </w:rPr>
              <w:t>Total backlog</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2,108</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2,933</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(825)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20"/>
        </w:trPr>
        <w:tc>
          <w:tcPr>
            <w:tcW w:w="3800" w:type="dxa"/>
            <w:vAlign w:val="bottom"/>
            <w:gridSpan w:val="3"/>
            <w:vMerge w:val="restart"/>
          </w:tcPr>
          <w:p>
            <w:pPr>
              <w:spacing w:after="0"/>
              <w:rPr>
                <w:sz w:val="20"/>
                <w:szCs w:val="20"/>
                <w:color w:val="auto"/>
              </w:rPr>
            </w:pPr>
            <w:r>
              <w:rPr>
                <w:rFonts w:ascii="Arial" w:cs="Arial" w:eastAsia="Arial" w:hAnsi="Arial"/>
                <w:sz w:val="18"/>
                <w:szCs w:val="18"/>
                <w:color w:val="auto"/>
              </w:rPr>
              <w:t>Total approximate revenue</w:t>
            </w:r>
          </w:p>
        </w:tc>
        <w:tc>
          <w:tcPr>
            <w:tcW w:w="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8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00" w:type="dxa"/>
            <w:vAlign w:val="bottom"/>
            <w:gridSpan w:val="3"/>
          </w:tcPr>
          <w:p>
            <w:pPr>
              <w:spacing w:after="0"/>
              <w:rPr>
                <w:sz w:val="20"/>
                <w:szCs w:val="20"/>
                <w:color w:val="auto"/>
              </w:rPr>
            </w:pPr>
            <w:r>
              <w:rPr>
                <w:rFonts w:ascii="Arial" w:cs="Arial" w:eastAsia="Arial" w:hAnsi="Arial"/>
                <w:sz w:val="18"/>
                <w:szCs w:val="18"/>
                <w:color w:val="auto"/>
              </w:rPr>
              <w:t>dollars (in millions)</w:t>
            </w:r>
          </w:p>
        </w:tc>
        <w:tc>
          <w:tcPr>
            <w:tcW w:w="380" w:type="dxa"/>
            <w:vAlign w:val="bottom"/>
          </w:tcPr>
          <w:p>
            <w:pPr>
              <w:jc w:val="right"/>
              <w:ind w:right="18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189.1</w:t>
            </w:r>
          </w:p>
        </w:tc>
        <w:tc>
          <w:tcPr>
            <w:tcW w:w="280" w:type="dxa"/>
            <w:vAlign w:val="bottom"/>
          </w:tcPr>
          <w:p>
            <w:pPr>
              <w:spacing w:after="0"/>
              <w:rPr>
                <w:sz w:val="19"/>
                <w:szCs w:val="19"/>
                <w:color w:val="auto"/>
              </w:rPr>
            </w:pPr>
          </w:p>
        </w:tc>
        <w:tc>
          <w:tcPr>
            <w:tcW w:w="400" w:type="dxa"/>
            <w:vAlign w:val="bottom"/>
          </w:tcPr>
          <w:p>
            <w:pPr>
              <w:jc w:val="right"/>
              <w:ind w:right="202"/>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251.9</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  (62.8)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-443230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-443230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-443230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-443230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-443230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-443230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-443230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-443230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ectPr>
          <w:pgSz w:w="11900" w:h="16838" w:orient="portrait"/>
          <w:cols w:equalWidth="0" w:num="1">
            <w:col w:w="11380"/>
          </w:cols>
          <w:pgMar w:left="240" w:top="131" w:right="279" w:bottom="19" w:gutter="0" w:footer="0" w:header="0"/>
        </w:sectPr>
      </w:pPr>
    </w:p>
    <w:bookmarkStart w:id="14" w:name="page15"/>
    <w:bookmarkEnd w:id="14"/>
    <w:p>
      <w:pPr>
        <w:ind w:right="20"/>
        <w:spacing w:after="0" w:line="255" w:lineRule="auto"/>
        <w:rPr>
          <w:sz w:val="20"/>
          <w:szCs w:val="20"/>
          <w:color w:val="auto"/>
        </w:rPr>
      </w:pPr>
      <w:r>
        <w:rPr>
          <w:rFonts w:ascii="Arial" w:cs="Arial" w:eastAsia="Arial" w:hAnsi="Arial"/>
          <w:sz w:val="18"/>
          <w:szCs w:val="18"/>
          <w:color w:val="auto"/>
        </w:rPr>
        <w:t>As of February 26, 2005, the Company had $113.6 million of cash and short-term investments consisting of $16.1 million of cash and cash equivalents and available-for-sale securities of $97.5 million. Taking into account the credit risk criteria of our investments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the primary market risk associated with these investments is interest rate risk and a decline in value if market interest rates increase. However, the Company has the ability to hold its fixed income investments for the typical Dutch auction period (an average of 45 days) and, therefore, the Company would not expect to recognize an adverse impact in income or cash flows in such an event.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established disclosure controls and procedures, which are designed to ensure that information required to be disclosed in reports filed or submitted under the Securities Exchange Act of 1934 are recorded, processed, summarized, and reported within the time periods specified in the Securities and Exchange Commission’s rules and forms.</w:t>
      </w:r>
    </w:p>
    <w:p>
      <w:pPr>
        <w:spacing w:after="0" w:line="19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Company’s Chief Executive Officer and its Chief Financial Officer evaluated the effectiveness of the Company’s disclosure controls, and procedures as of the end of the quarter covered by this 10-Q. Based on their evaluation, they concluded that the Company’s disclosure controls and procedures were effective in achieving the objectives for which they were designed.</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Furthermore, there have been no changes in the Company’s internal controls over financial reporting during the fiscal quarter covered by this 10-Q that have materially affected, or are reasonably likely to material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reviewed the accompanying consolidated balance sheet of Winnebago Industries, Inc. and subsidiaries (the Company) as of February 26, 2005, and the related consolidated statements of income for the 13- and 26-week periods and the condensed consolidated statements of cash flows for the 26-week period ended February 26, 2005 and February 28, 2004, respectively. These interim financial statements are the responsibility of the Company’s management.</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conducted our review in accordance with standards established by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consolidated balance sheet of the Company as of August 28, 2004, and the related consolidated statements of income, stockholders’ equity, and cash flows for the year then ended (not presented herein); and in our report dated November 10, 2004, we expressed an unqualified opinion on those consolidated financial statements. In our opinion, the information set forth in the accompanying consolidated balance sheet as of August 28, 2004 is fairly stated, in all material respects, in relation to the consolidated balance sheet from which it has been derived.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5, 2005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Reference is also made to Item 3 (Legal Proceedings) in the Company’s Annual Report on Form 10-K for the year ended August 28, 2004 for a</w:t>
      </w:r>
    </w:p>
    <w:p>
      <w:pPr>
        <w:sectPr>
          <w:pgSz w:w="11900" w:h="16838" w:orient="portrait"/>
          <w:cols w:equalWidth="0" w:num="1">
            <w:col w:w="11400"/>
          </w:cols>
          <w:pgMar w:left="240" w:top="131" w:right="259" w:bottom="0" w:gutter="0" w:footer="0" w:header="0"/>
        </w:sectPr>
      </w:pPr>
    </w:p>
    <w:bookmarkStart w:id="15" w:name="page16"/>
    <w:bookmarkEnd w:id="15"/>
    <w:p>
      <w:pPr>
        <w:ind w:left="580"/>
        <w:spacing w:after="0"/>
        <w:rPr>
          <w:sz w:val="20"/>
          <w:szCs w:val="20"/>
          <w:color w:val="auto"/>
        </w:rPr>
      </w:pPr>
      <w:r>
        <w:rPr>
          <w:rFonts w:ascii="Arial" w:cs="Arial" w:eastAsia="Arial" w:hAnsi="Arial"/>
          <w:sz w:val="18"/>
          <w:szCs w:val="18"/>
          <w:color w:val="auto"/>
        </w:rPr>
        <w:t xml:space="preserve">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w:t>
      </w:r>
    </w:p>
    <w:p>
      <w:pPr>
        <w:spacing w:after="0" w:line="252"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52"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This table provides information with respect to purchases by the Company of shares of its common stock during each fiscal month of the second quarter of fiscal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127635</wp:posOffset>
            </wp:positionV>
            <wp:extent cx="42545" cy="14147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545" cy="1414780"/>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136525</wp:posOffset>
            </wp:positionV>
            <wp:extent cx="42545" cy="13976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545" cy="139763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136525</wp:posOffset>
            </wp:positionV>
            <wp:extent cx="42545" cy="13976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545" cy="139763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136525</wp:posOffset>
            </wp:positionV>
            <wp:extent cx="42545" cy="13976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545" cy="1397635"/>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127635</wp:posOffset>
            </wp:positionV>
            <wp:extent cx="42545" cy="14147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545" cy="141478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136525</wp:posOffset>
            </wp:positionV>
            <wp:extent cx="42545" cy="13976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545" cy="1397635"/>
                    </a:xfrm>
                    <a:prstGeom prst="rect">
                      <a:avLst/>
                    </a:prstGeom>
                    <a:noFill/>
                  </pic:spPr>
                </pic:pic>
              </a:graphicData>
            </a:graphic>
          </wp:anchor>
        </w:drawing>
      </w:r>
    </w:p>
    <w:p>
      <w:pPr>
        <w:spacing w:after="0" w:line="181" w:lineRule="exact"/>
        <w:rPr>
          <w:sz w:val="20"/>
          <w:szCs w:val="20"/>
          <w:color w:val="auto"/>
        </w:rPr>
      </w:pPr>
    </w:p>
    <w:tbl>
      <w:tblPr>
        <w:tblLayout w:type="fixed"/>
        <w:tblInd w:w="1660" w:type="dxa"/>
        <w:tblCellMar>
          <w:top w:w="0" w:type="dxa"/>
          <w:left w:w="0" w:type="dxa"/>
          <w:bottom w:w="0" w:type="dxa"/>
          <w:right w:w="0" w:type="dxa"/>
        </w:tblCellMar>
      </w:tblPr>
      <w:tr>
        <w:trPr>
          <w:trHeight w:val="163"/>
        </w:trPr>
        <w:tc>
          <w:tcPr>
            <w:tcW w:w="20" w:type="dxa"/>
            <w:vAlign w:val="bottom"/>
            <w:tcBorders>
              <w:top w:val="single" w:sz="8" w:color="808080"/>
            </w:tcBorders>
          </w:tcPr>
          <w:p>
            <w:pPr>
              <w:spacing w:after="0"/>
              <w:rPr>
                <w:sz w:val="14"/>
                <w:szCs w:val="14"/>
                <w:color w:val="auto"/>
              </w:rPr>
            </w:pPr>
          </w:p>
        </w:tc>
        <w:tc>
          <w:tcPr>
            <w:tcW w:w="1680" w:type="dxa"/>
            <w:vAlign w:val="bottom"/>
            <w:tcBorders>
              <w:top w:val="single" w:sz="8" w:color="2C2C2C"/>
            </w:tcBorders>
          </w:tcPr>
          <w:p>
            <w:pPr>
              <w:spacing w:after="0"/>
              <w:rPr>
                <w:sz w:val="14"/>
                <w:szCs w:val="14"/>
                <w:color w:val="auto"/>
              </w:rPr>
            </w:pPr>
          </w:p>
        </w:tc>
        <w:tc>
          <w:tcPr>
            <w:tcW w:w="1520" w:type="dxa"/>
            <w:vAlign w:val="bottom"/>
            <w:tcBorders>
              <w:top w:val="single" w:sz="8" w:color="2C2C2C"/>
            </w:tcBorders>
          </w:tcPr>
          <w:p>
            <w:pPr>
              <w:spacing w:after="0"/>
              <w:rPr>
                <w:sz w:val="14"/>
                <w:szCs w:val="14"/>
                <w:color w:val="auto"/>
              </w:rPr>
            </w:pPr>
          </w:p>
        </w:tc>
        <w:tc>
          <w:tcPr>
            <w:tcW w:w="1560" w:type="dxa"/>
            <w:vAlign w:val="bottom"/>
            <w:tcBorders>
              <w:top w:val="single" w:sz="8" w:color="2C2C2C"/>
            </w:tcBorders>
          </w:tcPr>
          <w:p>
            <w:pPr>
              <w:spacing w:after="0"/>
              <w:rPr>
                <w:sz w:val="14"/>
                <w:szCs w:val="14"/>
                <w:color w:val="auto"/>
              </w:rPr>
            </w:pPr>
          </w:p>
        </w:tc>
        <w:tc>
          <w:tcPr>
            <w:tcW w:w="1660" w:type="dxa"/>
            <w:vAlign w:val="bottom"/>
            <w:tcBorders>
              <w:top w:val="single" w:sz="8" w:color="2C2C2C"/>
            </w:tcBorders>
          </w:tcPr>
          <w:p>
            <w:pPr>
              <w:spacing w:after="0"/>
              <w:rPr>
                <w:sz w:val="14"/>
                <w:szCs w:val="14"/>
                <w:color w:val="auto"/>
              </w:rPr>
            </w:pPr>
          </w:p>
        </w:tc>
        <w:tc>
          <w:tcPr>
            <w:tcW w:w="1660" w:type="dxa"/>
            <w:vAlign w:val="bottom"/>
            <w:tcBorders>
              <w:top w:val="single" w:sz="8" w:color="2C2C2C"/>
            </w:tcBorders>
          </w:tcPr>
          <w:p>
            <w:pPr>
              <w:jc w:val="center"/>
              <w:spacing w:after="0"/>
              <w:rPr>
                <w:sz w:val="20"/>
                <w:szCs w:val="20"/>
                <w:color w:val="auto"/>
              </w:rPr>
            </w:pPr>
            <w:r>
              <w:rPr>
                <w:rFonts w:ascii="Arial" w:cs="Arial" w:eastAsia="Arial" w:hAnsi="Arial"/>
                <w:sz w:val="14"/>
                <w:szCs w:val="14"/>
                <w:b w:val="1"/>
                <w:bCs w:val="1"/>
                <w:color w:val="auto"/>
                <w:w w:val="91"/>
              </w:rPr>
              <w:t>Maximum Number (or</w:t>
            </w:r>
          </w:p>
        </w:tc>
        <w:tc>
          <w:tcPr>
            <w:tcW w:w="20" w:type="dxa"/>
            <w:vAlign w:val="bottom"/>
            <w:tcBorders>
              <w:top w:val="single" w:sz="8" w:color="808080"/>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6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Approximate Dollar</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6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Value) of Shares</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1560" w:type="dxa"/>
            <w:vAlign w:val="bottom"/>
          </w:tcPr>
          <w:p>
            <w:pPr>
              <w:spacing w:after="0"/>
              <w:rPr>
                <w:sz w:val="12"/>
                <w:szCs w:val="12"/>
                <w:color w:val="auto"/>
              </w:rPr>
            </w:pPr>
          </w:p>
        </w:tc>
        <w:tc>
          <w:tcPr>
            <w:tcW w:w="166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87"/>
              </w:rPr>
              <w:t>of Publicly</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That May Yet Be</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66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r>
      <w:tr>
        <w:trPr>
          <w:trHeight w:val="168"/>
        </w:trPr>
        <w:tc>
          <w:tcPr>
            <w:tcW w:w="20" w:type="dxa"/>
            <w:vAlign w:val="bottom"/>
          </w:tcPr>
          <w:p>
            <w:pPr>
              <w:spacing w:after="0"/>
              <w:rPr>
                <w:sz w:val="14"/>
                <w:szCs w:val="14"/>
                <w:color w:val="auto"/>
              </w:rPr>
            </w:pPr>
          </w:p>
        </w:tc>
        <w:tc>
          <w:tcPr>
            <w:tcW w:w="1680" w:type="dxa"/>
            <w:vAlign w:val="bottom"/>
            <w:tcBorders>
              <w:bottom w:val="single" w:sz="8" w:color="2C2C2C"/>
            </w:tcBorders>
          </w:tcPr>
          <w:p>
            <w:pPr>
              <w:ind w:left="600"/>
              <w:spacing w:after="0"/>
              <w:rPr>
                <w:sz w:val="20"/>
                <w:szCs w:val="20"/>
                <w:color w:val="auto"/>
              </w:rPr>
            </w:pPr>
            <w:r>
              <w:rPr>
                <w:rFonts w:ascii="Arial" w:cs="Arial" w:eastAsia="Arial" w:hAnsi="Arial"/>
                <w:sz w:val="14"/>
                <w:szCs w:val="14"/>
                <w:b w:val="1"/>
                <w:bCs w:val="1"/>
                <w:color w:val="auto"/>
              </w:rPr>
              <w:t>Period</w:t>
            </w:r>
          </w:p>
        </w:tc>
        <w:tc>
          <w:tcPr>
            <w:tcW w:w="1520" w:type="dxa"/>
            <w:vAlign w:val="bottom"/>
            <w:tcBorders>
              <w:bottom w:val="single" w:sz="8" w:color="2C2C2C"/>
            </w:tcBorders>
          </w:tcPr>
          <w:p>
            <w:pPr>
              <w:jc w:val="center"/>
              <w:ind w:right="1"/>
              <w:spacing w:after="0"/>
              <w:rPr>
                <w:sz w:val="20"/>
                <w:szCs w:val="20"/>
                <w:color w:val="auto"/>
              </w:rPr>
            </w:pPr>
            <w:r>
              <w:rPr>
                <w:rFonts w:ascii="Arial" w:cs="Arial" w:eastAsia="Arial" w:hAnsi="Arial"/>
                <w:sz w:val="14"/>
                <w:szCs w:val="14"/>
                <w:b w:val="1"/>
                <w:bCs w:val="1"/>
                <w:color w:val="auto"/>
                <w:w w:val="83"/>
              </w:rPr>
              <w:t>Purchased</w:t>
            </w:r>
          </w:p>
        </w:tc>
        <w:tc>
          <w:tcPr>
            <w:tcW w:w="1560" w:type="dxa"/>
            <w:vAlign w:val="bottom"/>
            <w:tcBorders>
              <w:bottom w:val="single" w:sz="8" w:color="2C2C2C"/>
            </w:tcBorders>
          </w:tcPr>
          <w:p>
            <w:pPr>
              <w:jc w:val="center"/>
              <w:ind w:left="19"/>
              <w:spacing w:after="0"/>
              <w:rPr>
                <w:sz w:val="20"/>
                <w:szCs w:val="20"/>
                <w:color w:val="auto"/>
              </w:rPr>
            </w:pPr>
            <w:r>
              <w:rPr>
                <w:rFonts w:ascii="Arial" w:cs="Arial" w:eastAsia="Arial" w:hAnsi="Arial"/>
                <w:sz w:val="14"/>
                <w:szCs w:val="14"/>
                <w:b w:val="1"/>
                <w:bCs w:val="1"/>
                <w:color w:val="auto"/>
                <w:w w:val="87"/>
              </w:rPr>
              <w:t>Paid per Share</w:t>
            </w:r>
          </w:p>
        </w:tc>
        <w:tc>
          <w:tcPr>
            <w:tcW w:w="1660" w:type="dxa"/>
            <w:vAlign w:val="bottom"/>
            <w:tcBorders>
              <w:bottom w:val="single" w:sz="8" w:color="2C2C2C"/>
            </w:tcBorders>
          </w:tcPr>
          <w:p>
            <w:pPr>
              <w:jc w:val="center"/>
              <w:ind w:left="23"/>
              <w:spacing w:after="0"/>
              <w:rPr>
                <w:sz w:val="20"/>
                <w:szCs w:val="20"/>
                <w:color w:val="auto"/>
              </w:rPr>
            </w:pPr>
            <w:r>
              <w:rPr>
                <w:rFonts w:ascii="Arial" w:cs="Arial" w:eastAsia="Arial" w:hAnsi="Arial"/>
                <w:sz w:val="14"/>
                <w:szCs w:val="14"/>
                <w:b w:val="1"/>
                <w:bCs w:val="1"/>
                <w:color w:val="auto"/>
                <w:w w:val="85"/>
              </w:rPr>
              <w:t>Programs</w:t>
            </w:r>
          </w:p>
        </w:tc>
        <w:tc>
          <w:tcPr>
            <w:tcW w:w="1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20" w:type="dxa"/>
            <w:vAlign w:val="bottom"/>
          </w:tcPr>
          <w:p>
            <w:pPr>
              <w:spacing w:after="0"/>
              <w:rPr>
                <w:sz w:val="14"/>
                <w:szCs w:val="14"/>
                <w:color w:val="auto"/>
              </w:rPr>
            </w:pPr>
          </w:p>
        </w:tc>
      </w:tr>
      <w:tr>
        <w:trPr>
          <w:trHeight w:val="250"/>
        </w:trPr>
        <w:tc>
          <w:tcPr>
            <w:tcW w:w="1700" w:type="dxa"/>
            <w:vAlign w:val="bottom"/>
            <w:gridSpan w:val="2"/>
          </w:tcPr>
          <w:p>
            <w:pPr>
              <w:spacing w:after="0"/>
              <w:rPr>
                <w:sz w:val="21"/>
                <w:szCs w:val="21"/>
                <w:color w:val="auto"/>
              </w:rPr>
            </w:pPr>
          </w:p>
        </w:tc>
        <w:tc>
          <w:tcPr>
            <w:tcW w:w="1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1680" w:type="dxa"/>
            <w:vAlign w:val="bottom"/>
            <w:tcBorders>
              <w:top w:val="single" w:sz="8" w:color="2C2C2C"/>
              <w:bottom w:val="single" w:sz="8" w:color="2C2C2C"/>
            </w:tcBorders>
          </w:tcPr>
          <w:p>
            <w:pPr>
              <w:jc w:val="center"/>
              <w:ind w:right="176"/>
              <w:spacing w:after="0"/>
              <w:rPr>
                <w:sz w:val="20"/>
                <w:szCs w:val="20"/>
                <w:color w:val="auto"/>
              </w:rPr>
            </w:pPr>
            <w:r>
              <w:rPr>
                <w:rFonts w:ascii="Arial" w:cs="Arial" w:eastAsia="Arial" w:hAnsi="Arial"/>
                <w:sz w:val="18"/>
                <w:szCs w:val="18"/>
                <w:color w:val="auto"/>
                <w:w w:val="88"/>
              </w:rPr>
              <w:t>11/28/04 - 1/01/05</w:t>
            </w:r>
          </w:p>
        </w:tc>
        <w:tc>
          <w:tcPr>
            <w:tcW w:w="1520" w:type="dxa"/>
            <w:vAlign w:val="bottom"/>
            <w:tcBorders>
              <w:top w:val="single" w:sz="8" w:color="2C2C2C"/>
              <w:bottom w:val="single" w:sz="8" w:color="2C2C2C"/>
            </w:tcBorders>
          </w:tcPr>
          <w:p>
            <w:pPr>
              <w:jc w:val="center"/>
              <w:ind w:right="21"/>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auto"/>
                <w:w w:val="88"/>
              </w:rPr>
              <w:t>—</w:t>
            </w:r>
          </w:p>
        </w:tc>
        <w:tc>
          <w:tcPr>
            <w:tcW w:w="16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auto"/>
                <w:w w:val="88"/>
              </w:rPr>
              <w:t>—</w:t>
            </w:r>
          </w:p>
        </w:tc>
        <w:tc>
          <w:tcPr>
            <w:tcW w:w="16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auto"/>
                <w:w w:val="87"/>
              </w:rPr>
              <w:t>$26,796,000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2C2C2C"/>
            </w:tcBorders>
          </w:tcPr>
          <w:p>
            <w:pPr>
              <w:jc w:val="center"/>
              <w:ind w:right="176"/>
              <w:spacing w:after="0"/>
              <w:rPr>
                <w:sz w:val="20"/>
                <w:szCs w:val="20"/>
                <w:color w:val="auto"/>
              </w:rPr>
            </w:pPr>
            <w:r>
              <w:rPr>
                <w:rFonts w:ascii="Arial" w:cs="Arial" w:eastAsia="Arial" w:hAnsi="Arial"/>
                <w:sz w:val="18"/>
                <w:szCs w:val="18"/>
                <w:color w:val="auto"/>
                <w:w w:val="89"/>
              </w:rPr>
              <w:t>1/02/05 - 1/29/05</w:t>
            </w:r>
          </w:p>
        </w:tc>
        <w:tc>
          <w:tcPr>
            <w:tcW w:w="1520" w:type="dxa"/>
            <w:vAlign w:val="bottom"/>
            <w:tcBorders>
              <w:bottom w:val="single" w:sz="8" w:color="2C2C2C"/>
            </w:tcBorders>
          </w:tcPr>
          <w:p>
            <w:pPr>
              <w:jc w:val="center"/>
              <w:ind w:right="41"/>
              <w:spacing w:after="0"/>
              <w:rPr>
                <w:sz w:val="20"/>
                <w:szCs w:val="20"/>
                <w:color w:val="auto"/>
              </w:rPr>
            </w:pPr>
            <w:r>
              <w:rPr>
                <w:rFonts w:ascii="Arial" w:cs="Arial" w:eastAsia="Arial" w:hAnsi="Arial"/>
                <w:sz w:val="18"/>
                <w:szCs w:val="18"/>
                <w:color w:val="auto"/>
                <w:w w:val="87"/>
              </w:rPr>
              <w:t>52,600</w:t>
            </w:r>
          </w:p>
        </w:tc>
        <w:tc>
          <w:tcPr>
            <w:tcW w:w="1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$33.92</w:t>
            </w:r>
          </w:p>
        </w:tc>
        <w:tc>
          <w:tcPr>
            <w:tcW w:w="1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52,600</w:t>
            </w:r>
          </w:p>
        </w:tc>
        <w:tc>
          <w:tcPr>
            <w:tcW w:w="1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$25,009,000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2C2C2C"/>
            </w:tcBorders>
          </w:tcPr>
          <w:p>
            <w:pPr>
              <w:jc w:val="center"/>
              <w:ind w:right="176"/>
              <w:spacing w:after="0"/>
              <w:rPr>
                <w:sz w:val="20"/>
                <w:szCs w:val="20"/>
                <w:color w:val="auto"/>
              </w:rPr>
            </w:pPr>
            <w:r>
              <w:rPr>
                <w:rFonts w:ascii="Arial" w:cs="Arial" w:eastAsia="Arial" w:hAnsi="Arial"/>
                <w:sz w:val="18"/>
                <w:szCs w:val="18"/>
                <w:color w:val="auto"/>
                <w:w w:val="89"/>
              </w:rPr>
              <w:t>1/30/05 - 2/26/05</w:t>
            </w:r>
          </w:p>
        </w:tc>
        <w:tc>
          <w:tcPr>
            <w:tcW w:w="1520" w:type="dxa"/>
            <w:vAlign w:val="bottom"/>
            <w:tcBorders>
              <w:bottom w:val="single" w:sz="8" w:color="2C2C2C"/>
            </w:tcBorders>
          </w:tcPr>
          <w:p>
            <w:pPr>
              <w:jc w:val="center"/>
              <w:ind w:right="21"/>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p>
        </w:tc>
        <w:tc>
          <w:tcPr>
            <w:tcW w:w="1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p>
        </w:tc>
        <w:tc>
          <w:tcPr>
            <w:tcW w:w="1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$25,009,000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2C2C2C"/>
            </w:tcBorders>
          </w:tcPr>
          <w:p>
            <w:pPr>
              <w:spacing w:after="0"/>
              <w:rPr>
                <w:sz w:val="19"/>
                <w:szCs w:val="19"/>
                <w:color w:val="auto"/>
              </w:rPr>
            </w:pPr>
          </w:p>
        </w:tc>
        <w:tc>
          <w:tcPr>
            <w:tcW w:w="1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2C2C2C"/>
            </w:tcBorders>
          </w:tcPr>
          <w:p>
            <w:pPr>
              <w:jc w:val="center"/>
              <w:ind w:right="41"/>
              <w:spacing w:after="0"/>
              <w:rPr>
                <w:sz w:val="20"/>
                <w:szCs w:val="20"/>
                <w:color w:val="auto"/>
              </w:rPr>
            </w:pPr>
            <w:r>
              <w:rPr>
                <w:rFonts w:ascii="Arial" w:cs="Arial" w:eastAsia="Arial" w:hAnsi="Arial"/>
                <w:sz w:val="18"/>
                <w:szCs w:val="18"/>
                <w:color w:val="auto"/>
                <w:w w:val="87"/>
              </w:rPr>
              <w:t>52,600</w:t>
            </w:r>
          </w:p>
        </w:tc>
        <w:tc>
          <w:tcPr>
            <w:tcW w:w="1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$33.92</w:t>
            </w:r>
          </w:p>
        </w:tc>
        <w:tc>
          <w:tcPr>
            <w:tcW w:w="1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52,600</w:t>
            </w:r>
          </w:p>
        </w:tc>
        <w:tc>
          <w:tcPr>
            <w:tcW w:w="1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2C2C2C"/>
            </w:tcBorders>
          </w:tcPr>
          <w:p>
            <w:pPr>
              <w:spacing w:after="0"/>
              <w:rPr>
                <w:sz w:val="19"/>
                <w:szCs w:val="19"/>
                <w:color w:val="auto"/>
              </w:rPr>
            </w:pPr>
          </w:p>
        </w:tc>
      </w:tr>
    </w:tbl>
    <w:p>
      <w:pPr>
        <w:spacing w:after="0" w:line="235"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color w:val="auto"/>
        </w:rPr>
        <w:t>On June 16, 2004, the Company’s Board of Directors authorized the repurchase of outstanding shares of the Company’s common stock, at the discretion of management, for an aggregate of up to $30 million. There is no time restriction on this authorization. At February 26, 2005, approximately $25 million remained under this authorization. Also, during the second quarter of fiscal 2005, 5,790 shares for an aggregate consideration of approximately $196,000 was repurchased terminating the prior authorizations of up to $15 million announced on June 19, 2002 and up to $20 million announced on March 19, 2003.</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did not repurchase any of its common stock during the first quarter of fiscal 2005.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52" w:lineRule="exact"/>
        <w:rPr>
          <w:sz w:val="20"/>
          <w:szCs w:val="20"/>
          <w:color w:val="auto"/>
        </w:rPr>
      </w:pPr>
    </w:p>
    <w:p>
      <w:pPr>
        <w:ind w:left="1020" w:hanging="45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Meeting of shareholders was held January 11, 2005.</w:t>
      </w:r>
    </w:p>
    <w:p>
      <w:pPr>
        <w:spacing w:after="0" w:line="252" w:lineRule="exact"/>
        <w:rPr>
          <w:rFonts w:ascii="Arial" w:cs="Arial" w:eastAsia="Arial" w:hAnsi="Arial"/>
          <w:sz w:val="18"/>
          <w:szCs w:val="18"/>
          <w:color w:val="auto"/>
        </w:rPr>
      </w:pPr>
    </w:p>
    <w:p>
      <w:pPr>
        <w:ind w:left="1020" w:hanging="45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breakdown of votes for the election of three directors was as follows*</w:t>
      </w:r>
    </w:p>
    <w:p>
      <w:pPr>
        <w:spacing w:after="0" w:line="342" w:lineRule="exact"/>
        <w:rPr>
          <w:sz w:val="20"/>
          <w:szCs w:val="20"/>
          <w:color w:val="auto"/>
        </w:rPr>
      </w:pPr>
    </w:p>
    <w:tbl>
      <w:tblPr>
        <w:tblLayout w:type="fixed"/>
        <w:tblInd w:w="1080" w:type="dxa"/>
        <w:tblCellMar>
          <w:top w:w="0" w:type="dxa"/>
          <w:left w:w="0" w:type="dxa"/>
          <w:bottom w:w="0" w:type="dxa"/>
          <w:right w:w="0" w:type="dxa"/>
        </w:tblCellMar>
      </w:tblPr>
      <w:tr>
        <w:trPr>
          <w:trHeight w:val="174"/>
        </w:trPr>
        <w:tc>
          <w:tcPr>
            <w:tcW w:w="4460" w:type="dxa"/>
            <w:vAlign w:val="bottom"/>
          </w:tcPr>
          <w:p>
            <w:pPr>
              <w:spacing w:after="0"/>
              <w:rPr>
                <w:sz w:val="15"/>
                <w:szCs w:val="15"/>
                <w:color w:val="auto"/>
              </w:rPr>
            </w:pPr>
          </w:p>
        </w:tc>
        <w:tc>
          <w:tcPr>
            <w:tcW w:w="1480" w:type="dxa"/>
            <w:vAlign w:val="bottom"/>
          </w:tcPr>
          <w:p>
            <w:pPr>
              <w:jc w:val="right"/>
              <w:ind w:right="237"/>
              <w:spacing w:after="0"/>
              <w:rPr>
                <w:sz w:val="20"/>
                <w:szCs w:val="20"/>
                <w:color w:val="auto"/>
              </w:rPr>
            </w:pPr>
            <w:r>
              <w:rPr>
                <w:rFonts w:ascii="Arial" w:cs="Arial" w:eastAsia="Arial" w:hAnsi="Arial"/>
                <w:sz w:val="14"/>
                <w:szCs w:val="14"/>
                <w:b w:val="1"/>
                <w:bCs w:val="1"/>
                <w:color w:val="auto"/>
              </w:rPr>
              <w:t>Votes Cast For</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1"/>
              </w:rPr>
              <w:t>Authority Withheld</w:t>
            </w:r>
          </w:p>
        </w:tc>
      </w:tr>
      <w:tr>
        <w:trPr>
          <w:trHeight w:val="95"/>
        </w:trPr>
        <w:tc>
          <w:tcPr>
            <w:tcW w:w="446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309"/>
        </w:trPr>
        <w:tc>
          <w:tcPr>
            <w:tcW w:w="4460" w:type="dxa"/>
            <w:vAlign w:val="bottom"/>
          </w:tcPr>
          <w:p>
            <w:pPr>
              <w:spacing w:after="0"/>
              <w:rPr>
                <w:sz w:val="20"/>
                <w:szCs w:val="20"/>
                <w:color w:val="auto"/>
              </w:rPr>
            </w:pPr>
            <w:r>
              <w:rPr>
                <w:rFonts w:ascii="Arial" w:cs="Arial" w:eastAsia="Arial" w:hAnsi="Arial"/>
                <w:sz w:val="18"/>
                <w:szCs w:val="18"/>
                <w:color w:val="auto"/>
              </w:rPr>
              <w:t>Jerry N. Currie (2008)</w:t>
            </w:r>
          </w:p>
        </w:tc>
        <w:tc>
          <w:tcPr>
            <w:tcW w:w="1480" w:type="dxa"/>
            <w:vAlign w:val="bottom"/>
          </w:tcPr>
          <w:p>
            <w:pPr>
              <w:jc w:val="right"/>
              <w:spacing w:after="0"/>
              <w:rPr>
                <w:sz w:val="20"/>
                <w:szCs w:val="20"/>
                <w:color w:val="auto"/>
              </w:rPr>
            </w:pPr>
            <w:r>
              <w:rPr>
                <w:rFonts w:ascii="Arial" w:cs="Arial" w:eastAsia="Arial" w:hAnsi="Arial"/>
                <w:sz w:val="18"/>
                <w:szCs w:val="18"/>
                <w:color w:val="auto"/>
              </w:rPr>
              <w:t>30,149,433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1,793,114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Lawrence A. Erickson (2008)</w:t>
            </w:r>
          </w:p>
        </w:tc>
        <w:tc>
          <w:tcPr>
            <w:tcW w:w="1480" w:type="dxa"/>
            <w:vAlign w:val="bottom"/>
          </w:tcPr>
          <w:p>
            <w:pPr>
              <w:jc w:val="right"/>
              <w:spacing w:after="0"/>
              <w:rPr>
                <w:sz w:val="20"/>
                <w:szCs w:val="20"/>
                <w:color w:val="auto"/>
              </w:rPr>
            </w:pPr>
            <w:r>
              <w:rPr>
                <w:rFonts w:ascii="Arial" w:cs="Arial" w:eastAsia="Arial" w:hAnsi="Arial"/>
                <w:sz w:val="18"/>
                <w:szCs w:val="18"/>
                <w:color w:val="auto"/>
              </w:rPr>
              <w:t>30,094,588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1,847,959</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John E. Herlitz (2008)</w:t>
            </w:r>
          </w:p>
        </w:tc>
        <w:tc>
          <w:tcPr>
            <w:tcW w:w="1480" w:type="dxa"/>
            <w:vAlign w:val="bottom"/>
          </w:tcPr>
          <w:p>
            <w:pPr>
              <w:jc w:val="right"/>
              <w:spacing w:after="0"/>
              <w:rPr>
                <w:sz w:val="20"/>
                <w:szCs w:val="20"/>
                <w:color w:val="auto"/>
              </w:rPr>
            </w:pPr>
            <w:r>
              <w:rPr>
                <w:rFonts w:ascii="Arial" w:cs="Arial" w:eastAsia="Arial" w:hAnsi="Arial"/>
                <w:sz w:val="18"/>
                <w:szCs w:val="18"/>
                <w:color w:val="auto"/>
              </w:rPr>
              <w:t>31,790,775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151,772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broker non-votes.</w:t>
      </w:r>
    </w:p>
    <w:p>
      <w:pPr>
        <w:spacing w:after="0" w:line="225" w:lineRule="exact"/>
        <w:rPr>
          <w:sz w:val="20"/>
          <w:szCs w:val="20"/>
          <w:color w:val="auto"/>
        </w:rPr>
      </w:pPr>
    </w:p>
    <w:p>
      <w:pPr>
        <w:ind w:left="1020" w:hanging="45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Directors whose terms continued after the shareholders meeting:</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John V. Hanson</w:t>
            </w:r>
          </w:p>
        </w:tc>
        <w:tc>
          <w:tcPr>
            <w:tcW w:w="182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Bruce D. Hertzke</w:t>
            </w:r>
          </w:p>
        </w:tc>
        <w:tc>
          <w:tcPr>
            <w:tcW w:w="182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Gerald C. Kitch</w:t>
            </w:r>
          </w:p>
        </w:tc>
        <w:tc>
          <w:tcPr>
            <w:tcW w:w="182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Irvin E. Aal</w:t>
            </w:r>
          </w:p>
        </w:tc>
        <w:tc>
          <w:tcPr>
            <w:tcW w:w="182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Joseph W. England</w:t>
            </w:r>
          </w:p>
        </w:tc>
        <w:tc>
          <w:tcPr>
            <w:tcW w:w="1820" w:type="dxa"/>
            <w:vAlign w:val="bottom"/>
          </w:tcPr>
          <w:p>
            <w:pPr>
              <w:jc w:val="right"/>
              <w:spacing w:after="0"/>
              <w:rPr>
                <w:sz w:val="20"/>
                <w:szCs w:val="20"/>
                <w:color w:val="auto"/>
              </w:rPr>
            </w:pPr>
            <w:r>
              <w:rPr>
                <w:rFonts w:ascii="Arial" w:cs="Arial" w:eastAsia="Arial" w:hAnsi="Arial"/>
                <w:sz w:val="18"/>
                <w:szCs w:val="18"/>
                <w:color w:val="auto"/>
              </w:rPr>
              <w:t>(2007)</w:t>
            </w:r>
          </w:p>
        </w:tc>
      </w:tr>
    </w:tbl>
    <w:p>
      <w:pPr>
        <w:spacing w:after="0" w:line="210" w:lineRule="exact"/>
        <w:rPr>
          <w:sz w:val="20"/>
          <w:szCs w:val="20"/>
          <w:color w:val="auto"/>
        </w:rPr>
      </w:pPr>
    </w:p>
    <w:p>
      <w:pPr>
        <w:ind w:right="6300" w:firstLine="8"/>
        <w:spacing w:after="0" w:line="516" w:lineRule="auto"/>
        <w:tabs>
          <w:tab w:leader="none" w:pos="102" w:val="left"/>
        </w:tabs>
        <w:numPr>
          <w:ilvl w:val="0"/>
          <w:numId w:val="5"/>
        </w:numPr>
        <w:rPr>
          <w:rFonts w:ascii="Arial" w:cs="Arial" w:eastAsia="Arial" w:hAnsi="Arial"/>
          <w:sz w:val="18"/>
          <w:szCs w:val="18"/>
          <w:color w:val="auto"/>
        </w:rPr>
      </w:pPr>
      <w:r>
        <w:rPr>
          <w:rFonts w:ascii="Arial" w:cs="Arial" w:eastAsia="Arial" w:hAnsi="Arial"/>
          <w:sz w:val="18"/>
          <w:szCs w:val="18"/>
          <w:color w:val="auto"/>
        </w:rPr>
        <w:t>) Represents year of Annual Meeting that individual’s term will expire. Item 6. Exhibits and Reports on Form 8-K</w:t>
      </w:r>
    </w:p>
    <w:p>
      <w:pPr>
        <w:spacing w:after="0" w:line="1" w:lineRule="exact"/>
        <w:rPr>
          <w:rFonts w:ascii="Arial" w:cs="Arial" w:eastAsia="Arial" w:hAnsi="Arial"/>
          <w:sz w:val="18"/>
          <w:szCs w:val="18"/>
          <w:color w:val="auto"/>
        </w:rPr>
      </w:pPr>
    </w:p>
    <w:p>
      <w:pPr>
        <w:ind w:left="1020" w:hanging="45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Exhibits — See Exhibit Index on page 23.</w:t>
      </w:r>
    </w:p>
    <w:p>
      <w:pPr>
        <w:spacing w:after="0" w:line="252" w:lineRule="exact"/>
        <w:rPr>
          <w:rFonts w:ascii="Arial" w:cs="Arial" w:eastAsia="Arial" w:hAnsi="Arial"/>
          <w:sz w:val="18"/>
          <w:szCs w:val="18"/>
          <w:color w:val="auto"/>
        </w:rPr>
      </w:pPr>
    </w:p>
    <w:p>
      <w:pPr>
        <w:ind w:left="1020" w:hanging="45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8-K filings during quarter ended February 26, 2005.</w:t>
      </w:r>
    </w:p>
    <w:p>
      <w:pPr>
        <w:spacing w:after="0" w:line="252" w:lineRule="exact"/>
        <w:rPr>
          <w:sz w:val="20"/>
          <w:szCs w:val="20"/>
          <w:color w:val="auto"/>
        </w:rPr>
      </w:pPr>
    </w:p>
    <w:p>
      <w:pPr>
        <w:ind w:left="980" w:right="3320"/>
        <w:spacing w:after="0" w:line="259" w:lineRule="auto"/>
        <w:rPr>
          <w:sz w:val="20"/>
          <w:szCs w:val="20"/>
          <w:color w:val="auto"/>
        </w:rPr>
      </w:pPr>
      <w:r>
        <w:rPr>
          <w:rFonts w:ascii="Arial" w:cs="Arial" w:eastAsia="Arial" w:hAnsi="Arial"/>
          <w:sz w:val="18"/>
          <w:szCs w:val="18"/>
          <w:color w:val="auto"/>
        </w:rPr>
        <w:t>On December 10, 2004, the Company filed a report on Form 8-K relating to a press release issued by the Company to announce the anticipated date of its first quarter of fiscal 2005 earnings announcement.</w:t>
      </w:r>
    </w:p>
    <w:p>
      <w:pPr>
        <w:spacing w:after="0" w:line="221" w:lineRule="exact"/>
        <w:rPr>
          <w:sz w:val="20"/>
          <w:szCs w:val="20"/>
          <w:color w:val="auto"/>
        </w:rPr>
      </w:pPr>
    </w:p>
    <w:p>
      <w:pPr>
        <w:ind w:left="980" w:right="3320"/>
        <w:spacing w:after="0" w:line="268" w:lineRule="auto"/>
        <w:rPr>
          <w:sz w:val="20"/>
          <w:szCs w:val="20"/>
          <w:color w:val="auto"/>
        </w:rPr>
      </w:pPr>
      <w:r>
        <w:rPr>
          <w:rFonts w:ascii="Arial" w:cs="Arial" w:eastAsia="Arial" w:hAnsi="Arial"/>
          <w:sz w:val="18"/>
          <w:szCs w:val="18"/>
          <w:color w:val="auto"/>
        </w:rPr>
        <w:t>On December 15, 2004, the Company filed a report on Form 8-K relating to a press release issued by the Company to announce its first quarter of fiscal 2005 earnings.</w:t>
      </w:r>
    </w:p>
    <w:p>
      <w:pPr>
        <w:sectPr>
          <w:pgSz w:w="11900" w:h="16838" w:orient="portrait"/>
          <w:cols w:equalWidth="0" w:num="1">
            <w:col w:w="11400"/>
          </w:cols>
          <w:pgMar w:left="240" w:top="131" w:right="259" w:bottom="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372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80010</wp:posOffset>
            </wp:positionV>
            <wp:extent cx="24009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1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960" w:val="left"/>
          <w:tab w:leader="none" w:pos="5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5, 2005</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80010</wp:posOffset>
            </wp:positionV>
            <wp:extent cx="49314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 President</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9" w:lineRule="exact"/>
        <w:rPr>
          <w:sz w:val="20"/>
          <w:szCs w:val="20"/>
          <w:color w:val="auto"/>
        </w:rPr>
      </w:pPr>
    </w:p>
    <w:p>
      <w:pPr>
        <w:spacing w:after="0"/>
        <w:tabs>
          <w:tab w:leader="none" w:pos="960" w:val="left"/>
          <w:tab w:leader="none" w:pos="5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5, 2005</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80010</wp:posOffset>
            </wp:positionV>
            <wp:extent cx="49314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312" w:lineRule="exact"/>
        <w:rPr>
          <w:sz w:val="20"/>
          <w:szCs w:val="20"/>
          <w:color w:val="auto"/>
        </w:rPr>
      </w:pPr>
    </w:p>
    <w:p>
      <w:pPr>
        <w:ind w:left="1760" w:hanging="63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52"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April 5, 2005.</w:t>
      </w:r>
    </w:p>
    <w:p>
      <w:pPr>
        <w:spacing w:after="0" w:line="252"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April 5, 2005.</w:t>
      </w:r>
    </w:p>
    <w:p>
      <w:pPr>
        <w:spacing w:after="0" w:line="252"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by the Chief Executive Officer pursuant to Section 1350, as adopted pursuant to Section 906 of the Sarbanes-Oxley Act of</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2002 dated April 5, 2005.</w:t>
      </w:r>
    </w:p>
    <w:p>
      <w:pPr>
        <w:spacing w:after="0" w:line="246"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2002 dated April 5, 2005.</w:t>
      </w: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833" w:right="37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22"/>
          <w:szCs w:val="22"/>
          <w:b w:val="1"/>
          <w:bCs w:val="1"/>
          <w:color w:val="auto"/>
        </w:rPr>
        <w:t>Exhibit 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have made a review, in accordance with the standards of the Public Company Accounting Oversight Board (United States), of the unaudited interim financial information of Winnebago Industries, Inc. and subsidiaries for the periods ended February 26, 2005 and February 28, 2004 as indicated in our report dated April 5, 2005; because we did not perform an audit, we express no opinion on that information.</w:t>
      </w:r>
    </w:p>
    <w:p>
      <w:pPr>
        <w:spacing w:after="0" w:line="19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We are aware that our report referred to above, which is included in your Quarterly Report on Form 10-Q for the quarter ended February 26, 2005, is incorporated by reference in Registration Statements No. 2-40316, No. 2-82109, No. 33-21757, No. 33-59930, No. 333-31595, and No. 333-113246 on Form S-8.</w:t>
      </w:r>
    </w:p>
    <w:p>
      <w:pPr>
        <w:spacing w:after="0" w:line="1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519430</wp:posOffset>
            </wp:positionV>
            <wp:extent cx="725043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22"/>
          <w:szCs w:val="22"/>
          <w:b w:val="1"/>
          <w:bCs w:val="1"/>
          <w:color w:val="auto"/>
        </w:rPr>
        <w:t>Exhibit 31.1</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CERTIFICATION BY CHIEF EXECUTIVE OFFICER</w:t>
      </w:r>
    </w:p>
    <w:p>
      <w:pPr>
        <w:jc w:val="center"/>
        <w:ind w:right="-79"/>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79"/>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79"/>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1760" w:hanging="631"/>
        <w:spacing w:after="0" w:line="306" w:lineRule="auto"/>
        <w:tabs>
          <w:tab w:leader="none" w:pos="1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180" w:hanging="631"/>
        <w:spacing w:after="0" w:line="259"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00" w:hanging="631"/>
        <w:spacing w:after="0" w:line="259"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380" w:hanging="631"/>
        <w:spacing w:after="0" w:line="332" w:lineRule="auto"/>
        <w:tabs>
          <w:tab w:leader="none" w:pos="1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20" w:hanging="631"/>
        <w:spacing w:after="0" w:line="268"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80010</wp:posOffset>
            </wp:positionV>
            <wp:extent cx="9175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80010</wp:posOffset>
            </wp:positionV>
            <wp:extent cx="23069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22"/>
          <w:szCs w:val="22"/>
          <w:b w:val="1"/>
          <w:bCs w:val="1"/>
          <w:color w:val="auto"/>
        </w:rPr>
        <w:t>Exhibit 31.2</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CERTIFICATION BY CHIEF FINANCIAL OFFICER</w:t>
      </w:r>
    </w:p>
    <w:p>
      <w:pPr>
        <w:jc w:val="center"/>
        <w:ind w:right="-79"/>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79"/>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79"/>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 Edwin F. Barker, Chief Financial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1760" w:hanging="631"/>
        <w:spacing w:after="0" w:line="306" w:lineRule="auto"/>
        <w:tabs>
          <w:tab w:leader="none" w:pos="176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180" w:hanging="631"/>
        <w:spacing w:after="0" w:line="259"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00" w:hanging="631"/>
        <w:spacing w:after="0" w:line="259"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380" w:hanging="631"/>
        <w:spacing w:after="0" w:line="332" w:lineRule="auto"/>
        <w:tabs>
          <w:tab w:leader="none" w:pos="17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20" w:hanging="631"/>
        <w:spacing w:after="0" w:line="268"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80010</wp:posOffset>
            </wp:positionV>
            <wp:extent cx="9175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tab/>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80010</wp:posOffset>
            </wp:positionV>
            <wp:extent cx="23069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22"/>
          <w:szCs w:val="22"/>
          <w:b w:val="1"/>
          <w:bCs w:val="1"/>
          <w:color w:val="auto"/>
        </w:rPr>
        <w:t>Exhibit 32.1</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 SECTION 906 OF THE SARBANES-OXLEY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 OF 2002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30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Bruce D. Hertzke, Chief Executive Officer and President, certifies that pursuant to 18 U.S.C. §1350 as adopted pursuant to §906 of the Sarbanes-Oxley Act of 2002, that:</w:t>
      </w:r>
    </w:p>
    <w:p>
      <w:pPr>
        <w:spacing w:after="0" w:line="186" w:lineRule="exact"/>
        <w:rPr>
          <w:sz w:val="20"/>
          <w:szCs w:val="20"/>
          <w:color w:val="auto"/>
        </w:rPr>
      </w:pPr>
    </w:p>
    <w:p>
      <w:pPr>
        <w:ind w:left="1180" w:hanging="618"/>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26,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20" w:hanging="618"/>
        <w:spacing w:after="0" w:line="268"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80010</wp:posOffset>
            </wp:positionV>
            <wp:extent cx="9175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80010</wp:posOffset>
            </wp:positionV>
            <wp:extent cx="23069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1925955</wp:posOffset>
            </wp:positionV>
            <wp:extent cx="725043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22"/>
          <w:szCs w:val="22"/>
          <w:b w:val="1"/>
          <w:bCs w:val="1"/>
          <w:color w:val="auto"/>
        </w:rPr>
        <w:t>Exhibit 32.2</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 SECTION 906 OF THE SARBANES-OXLEY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 OF 2002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Edwin F. Barker, Chief Financial Officer, certifies that pursuant to 18 U.S.C. §1350 as adopted pursuant to §906 of the Sarbanes-Oxley Act of 2002, that:</w:t>
      </w:r>
    </w:p>
    <w:p>
      <w:pPr>
        <w:spacing w:after="0" w:line="248" w:lineRule="exact"/>
        <w:rPr>
          <w:sz w:val="20"/>
          <w:szCs w:val="20"/>
          <w:color w:val="auto"/>
        </w:rPr>
      </w:pPr>
    </w:p>
    <w:p>
      <w:pPr>
        <w:ind w:left="1180" w:hanging="618"/>
        <w:spacing w:after="0" w:line="259"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26,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20" w:hanging="618"/>
        <w:spacing w:after="0" w:line="268"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80010</wp:posOffset>
            </wp:positionV>
            <wp:extent cx="9175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tab/>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80010</wp:posOffset>
            </wp:positionV>
            <wp:extent cx="23069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1925955</wp:posOffset>
            </wp:positionV>
            <wp:extent cx="725043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20"/>
      </w:cols>
      <w:pgMar w:left="2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
      <w:numFmt w:val="bullet"/>
      <w:start w:val="1"/>
    </w:lvl>
    <w:lvl w:ilvl="1">
      <w:lvlJc w:val="left"/>
      <w:lvlText w:val="(%2)"/>
      <w:numFmt w:val="lowerLetter"/>
      <w:start w:val="1"/>
    </w:lvl>
  </w:abstractNum>
  <w:abstractNum w:abstractNumId="5">
    <w:nsid w:val="7545E146"/>
    <w:multiLevelType w:val="hybridMultilevel"/>
    <w:lvl w:ilvl="0">
      <w:lvlJc w:val="left"/>
      <w:lvlText w:val="%1."/>
      <w:numFmt w:val="decimal"/>
      <w:start w:val="15"/>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2019-12-13T08:11:18Z</dcterms:created>
  <dcterms:modified xsi:type="dcterms:W3CDTF">2019-12-13T08:11:18Z</dcterms:modified>
</cp:coreProperties>
</file>