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780" w:right="3339" w:hanging="772"/>
        <w:spacing w:after="0" w:line="313" w:lineRule="auto"/>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(No Fee Required) for the fiscal year ended August 31, 2002; or</w:t>
      </w:r>
    </w:p>
    <w:p>
      <w:pPr>
        <w:spacing w:after="0" w:line="42" w:lineRule="exact"/>
        <w:rPr>
          <w:sz w:val="24"/>
          <w:szCs w:val="24"/>
          <w:color w:val="auto"/>
        </w:rPr>
      </w:pPr>
    </w:p>
    <w:p>
      <w:pPr>
        <w:ind w:left="780" w:right="3679" w:hanging="772"/>
        <w:spacing w:after="0" w:line="375" w:lineRule="auto"/>
        <w:tabs>
          <w:tab w:leader="none" w:pos="1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 (No Fee Required)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__________to __________</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1-6403</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760" w:type="dxa"/>
            <w:vAlign w:val="bottom"/>
          </w:tcPr>
          <w:p>
            <w:pPr>
              <w:ind w:left="960"/>
              <w:spacing w:after="0"/>
              <w:rPr>
                <w:sz w:val="20"/>
                <w:szCs w:val="20"/>
                <w:color w:val="auto"/>
              </w:rPr>
            </w:pPr>
            <w:r>
              <w:rPr>
                <w:rFonts w:ascii="Courier New" w:cs="Courier New" w:eastAsia="Courier New" w:hAnsi="Courier New"/>
                <w:sz w:val="14"/>
                <w:szCs w:val="14"/>
                <w:color w:val="auto"/>
              </w:rPr>
              <w:t>Iowa</w:t>
            </w:r>
          </w:p>
        </w:tc>
        <w:tc>
          <w:tcPr>
            <w:tcW w:w="3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42-0802678</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3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P.O. Box 152, Forest City, Iowa</w:t>
            </w:r>
          </w:p>
        </w:tc>
        <w:tc>
          <w:tcPr>
            <w:tcW w:w="3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50436</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3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r>
        <w:trPr>
          <w:trHeight w:val="331"/>
        </w:trPr>
        <w:tc>
          <w:tcPr>
            <w:tcW w:w="70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Registrant's telephone number, including area code: (641) 585-3535</w:t>
            </w:r>
          </w:p>
        </w:tc>
        <w:tc>
          <w:tcPr>
            <w:tcW w:w="0" w:type="dxa"/>
            <w:vAlign w:val="bottom"/>
          </w:tcPr>
          <w:p>
            <w:pPr>
              <w:spacing w:after="0"/>
              <w:rPr>
                <w:sz w:val="1"/>
                <w:szCs w:val="1"/>
                <w:color w:val="auto"/>
              </w:rPr>
            </w:pPr>
          </w:p>
        </w:tc>
      </w:tr>
      <w:tr>
        <w:trPr>
          <w:trHeight w:val="331"/>
        </w:trPr>
        <w:tc>
          <w:tcPr>
            <w:tcW w:w="70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55"/>
        </w:trPr>
        <w:tc>
          <w:tcPr>
            <w:tcW w:w="37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TITLE OF EACH CLASS</w:t>
            </w:r>
          </w:p>
        </w:tc>
        <w:tc>
          <w:tcPr>
            <w:tcW w:w="3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NAME OF EACH EXCHANGE ON</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33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WHICH REGISTERED</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Common Stock ($.50 par value)</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The New York Stock Exchange, Inc.</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and Preferred Share Purchase Rights</w:t>
            </w:r>
          </w:p>
        </w:tc>
        <w:tc>
          <w:tcPr>
            <w:tcW w:w="3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Chicago Stock Exchange, Inc.</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The Pacific Stock Exchange, Inc.</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62" w:lineRule="exact"/>
        <w:rPr>
          <w:sz w:val="24"/>
          <w:szCs w:val="24"/>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_X_.</w:t>
      </w:r>
    </w:p>
    <w:p>
      <w:pPr>
        <w:spacing w:after="0" w:line="62" w:lineRule="exact"/>
        <w:rPr>
          <w:sz w:val="24"/>
          <w:szCs w:val="24"/>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Aggregate market value of the common stock held by non-affiliates of the registrant on November 12, 2002: $595,055,373 (13,150,395 shares at closing price on New York Stock Exchange of $45.25).</w:t>
      </w:r>
    </w:p>
    <w:p>
      <w:pPr>
        <w:spacing w:after="0" w:line="42"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Common stock outstanding on November 12, 2002, 18,757,263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3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left="780" w:right="3519" w:hanging="772"/>
        <w:spacing w:after="0" w:line="313"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Winnebago Industries, Inc. Annual Report to Shareholders for the fiscal year ended August 31, 2002, portions of which are incorporated by reference into Part II hereof.</w:t>
      </w:r>
    </w:p>
    <w:p>
      <w:pPr>
        <w:spacing w:after="0" w:line="42" w:lineRule="exact"/>
        <w:rPr>
          <w:rFonts w:ascii="Courier New" w:cs="Courier New" w:eastAsia="Courier New" w:hAnsi="Courier New"/>
          <w:sz w:val="14"/>
          <w:szCs w:val="14"/>
          <w:color w:val="auto"/>
        </w:rPr>
      </w:pPr>
    </w:p>
    <w:p>
      <w:pPr>
        <w:ind w:left="780" w:right="3519" w:hanging="772"/>
        <w:spacing w:after="0" w:line="313"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Winnebago Industries, Inc. Proxy Statement for the Annual Meeting of Shareholders scheduled to be held January 14, 2003, portions of which are incorporated by reference into Part III hereof.</w:t>
      </w:r>
    </w:p>
    <w:p>
      <w:pPr>
        <w:sectPr>
          <w:pgSz w:w="11900" w:h="16838" w:orient="portrait"/>
          <w:cols w:equalWidth="0" w:num="1">
            <w:col w:w="10239"/>
          </w:cols>
          <w:pgMar w:left="220" w:top="204" w:right="1440" w:bottom="1440" w:gutter="0" w:footer="0" w:header="0"/>
        </w:sectPr>
      </w:pPr>
    </w:p>
    <w:bookmarkStart w:id="1" w:name="page2"/>
    <w:bookmarkEnd w:id="1"/>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Report for the Fiscal Year Ended August 31, 2002</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Winnebago Industries, Inc., headquartered in Forest City, Iowa, is the leading United States manufacturer of motor homes, self-contained recreation vehicles used primarily in leisure travel and outdoor recreation activities. Motor home sales by the Company represented at least 89 percent of its revenues in each of the past five fiscal years. The Company's motor homes are sold through dealers under the Winnebago, Itasca, Rialta and Ultimate brand names.</w:t>
      </w:r>
    </w:p>
    <w:p>
      <w:pPr>
        <w:spacing w:after="0" w:line="69"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Other products manufactured by the Company consist principally of extruded aluminum, commercial vehicles, and a variety of component products for other manufacturers. Finance revenues consisted of revenues from floor plan unit financing for a limited number of the Company's dealers.</w:t>
      </w:r>
    </w:p>
    <w:p>
      <w:pPr>
        <w:spacing w:after="0" w:line="56"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INFORMATION</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Certain of the matters discussed in this Annual Report on Form 10-K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 competitors, collections of dealer financing receivables,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forward-looking statements whether as a result of new information, future events or otherwise, except as required by law or the rules of the New York Stock Exchange.</w:t>
      </w:r>
    </w:p>
    <w:p>
      <w:pPr>
        <w:spacing w:after="0" w:line="2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5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PRINCIPAL PRODUCTS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The Company defines its operations into two business segments (See Note 12, "Business Segment Information" in the Company's Annual Report to Shareholders for the year ended August 31, 2002). However, during each of the last five fiscal years, at least 92% of the revenues of the Company were derived from recreational vehicle products.</w:t>
      </w:r>
    </w:p>
    <w:p>
      <w:pPr>
        <w:spacing w:after="0" w:line="62"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The following table sets forth the respective contribution to the Company's net revenues by product class for each of the last five fiscal years (dollars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Ended(1)(2)</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70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August 31,</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August 25,</w:t>
            </w:r>
          </w:p>
        </w:tc>
        <w:tc>
          <w:tcPr>
            <w:tcW w:w="1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August 26,</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August 28,</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August 29,</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2002</w:t>
            </w:r>
          </w:p>
        </w:tc>
        <w:tc>
          <w:tcPr>
            <w:tcW w:w="4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Motor Homes (Class A and C)</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773,125</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624,110</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690,022</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613,813</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470,932</w:t>
            </w: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Other Recreation</w:t>
            </w:r>
          </w:p>
        </w:tc>
        <w:tc>
          <w:tcPr>
            <w:tcW w:w="520" w:type="dxa"/>
            <w:vAlign w:val="bottom"/>
          </w:tcPr>
          <w:p>
            <w:pPr>
              <w:spacing w:after="0"/>
              <w:rPr>
                <w:sz w:val="21"/>
                <w:szCs w:val="21"/>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93.3%</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92.4%</w:t>
            </w:r>
          </w:p>
        </w:tc>
        <w:tc>
          <w:tcPr>
            <w:tcW w:w="680" w:type="dxa"/>
            <w:vAlign w:val="bottom"/>
          </w:tcPr>
          <w:p>
            <w:pPr>
              <w:spacing w:after="0"/>
              <w:rPr>
                <w:sz w:val="21"/>
                <w:szCs w:val="21"/>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92.3%</w:t>
            </w:r>
          </w:p>
        </w:tc>
        <w:tc>
          <w:tcPr>
            <w:tcW w:w="160" w:type="dxa"/>
            <w:vAlign w:val="bottom"/>
          </w:tcPr>
          <w:p>
            <w:pPr>
              <w:spacing w:after="0"/>
              <w:rPr>
                <w:sz w:val="21"/>
                <w:szCs w:val="21"/>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91.4%</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89.0%</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20,486</w:t>
            </w:r>
          </w:p>
        </w:tc>
        <w:tc>
          <w:tcPr>
            <w:tcW w:w="440" w:type="dxa"/>
            <w:vAlign w:val="bottom"/>
          </w:tcPr>
          <w:p>
            <w:pPr>
              <w:spacing w:after="0"/>
              <w:rPr>
                <w:sz w:val="7"/>
                <w:szCs w:val="7"/>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17,808</w:t>
            </w:r>
          </w:p>
        </w:tc>
        <w:tc>
          <w:tcPr>
            <w:tcW w:w="680" w:type="dxa"/>
            <w:vAlign w:val="bottom"/>
          </w:tcPr>
          <w:p>
            <w:pPr>
              <w:spacing w:after="0"/>
              <w:rPr>
                <w:sz w:val="7"/>
                <w:szCs w:val="7"/>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18,813</w:t>
            </w:r>
          </w:p>
        </w:tc>
        <w:tc>
          <w:tcPr>
            <w:tcW w:w="160" w:type="dxa"/>
            <w:vAlign w:val="bottom"/>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16,620</w:t>
            </w:r>
          </w:p>
        </w:tc>
        <w:tc>
          <w:tcPr>
            <w:tcW w:w="380" w:type="dxa"/>
            <w:vAlign w:val="bottom"/>
          </w:tcPr>
          <w:p>
            <w:pPr>
              <w:spacing w:after="0"/>
              <w:rPr>
                <w:sz w:val="7"/>
                <w:szCs w:val="7"/>
                <w:color w:val="auto"/>
              </w:rPr>
            </w:pP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19,222</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Vehicle Revenues(3)</w:t>
            </w: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Other Manufactured Products</w:t>
            </w:r>
          </w:p>
        </w:tc>
        <w:tc>
          <w:tcPr>
            <w:tcW w:w="520" w:type="dxa"/>
            <w:vAlign w:val="bottom"/>
          </w:tcPr>
          <w:p>
            <w:pPr>
              <w:spacing w:after="0"/>
              <w:rPr>
                <w:sz w:val="21"/>
                <w:szCs w:val="21"/>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80" w:type="dxa"/>
            <w:vAlign w:val="bottom"/>
          </w:tcPr>
          <w:p>
            <w:pPr>
              <w:spacing w:after="0"/>
              <w:rPr>
                <w:sz w:val="21"/>
                <w:szCs w:val="21"/>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60" w:type="dxa"/>
            <w:vAlign w:val="bottom"/>
          </w:tcPr>
          <w:p>
            <w:pPr>
              <w:spacing w:after="0"/>
              <w:rPr>
                <w:sz w:val="21"/>
                <w:szCs w:val="21"/>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31,658</w:t>
            </w:r>
          </w:p>
        </w:tc>
        <w:tc>
          <w:tcPr>
            <w:tcW w:w="440" w:type="dxa"/>
            <w:vAlign w:val="bottom"/>
          </w:tcPr>
          <w:p>
            <w:pPr>
              <w:spacing w:after="0"/>
              <w:rPr>
                <w:sz w:val="7"/>
                <w:szCs w:val="7"/>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29,768</w:t>
            </w:r>
          </w:p>
        </w:tc>
        <w:tc>
          <w:tcPr>
            <w:tcW w:w="680" w:type="dxa"/>
            <w:vAlign w:val="bottom"/>
          </w:tcPr>
          <w:p>
            <w:pPr>
              <w:spacing w:after="0"/>
              <w:rPr>
                <w:sz w:val="7"/>
                <w:szCs w:val="7"/>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34,894</w:t>
            </w:r>
          </w:p>
        </w:tc>
        <w:tc>
          <w:tcPr>
            <w:tcW w:w="160" w:type="dxa"/>
            <w:vAlign w:val="bottom"/>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38,225</w:t>
            </w:r>
          </w:p>
        </w:tc>
        <w:tc>
          <w:tcPr>
            <w:tcW w:w="380" w:type="dxa"/>
            <w:vAlign w:val="bottom"/>
          </w:tcPr>
          <w:p>
            <w:pPr>
              <w:spacing w:after="0"/>
              <w:rPr>
                <w:sz w:val="7"/>
                <w:szCs w:val="7"/>
                <w:color w:val="auto"/>
              </w:rPr>
            </w:pP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37,133</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Revenues(4)</w:t>
            </w: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242"/>
        </w:trPr>
        <w:tc>
          <w:tcPr>
            <w:tcW w:w="276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Total Manufactured</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w w:val="98"/>
              </w:rPr>
              <w:t>825,269</w:t>
            </w:r>
          </w:p>
        </w:tc>
        <w:tc>
          <w:tcPr>
            <w:tcW w:w="440" w:type="dxa"/>
            <w:vAlign w:val="bottom"/>
          </w:tcPr>
          <w:p>
            <w:pPr>
              <w:spacing w:after="0"/>
              <w:rPr>
                <w:sz w:val="7"/>
                <w:szCs w:val="7"/>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671,686</w:t>
            </w:r>
          </w:p>
        </w:tc>
        <w:tc>
          <w:tcPr>
            <w:tcW w:w="680" w:type="dxa"/>
            <w:vAlign w:val="bottom"/>
          </w:tcPr>
          <w:p>
            <w:pPr>
              <w:spacing w:after="0"/>
              <w:rPr>
                <w:sz w:val="7"/>
                <w:szCs w:val="7"/>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743,729</w:t>
            </w:r>
          </w:p>
        </w:tc>
        <w:tc>
          <w:tcPr>
            <w:tcW w:w="160" w:type="dxa"/>
            <w:vAlign w:val="bottom"/>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668,658</w:t>
            </w:r>
          </w:p>
        </w:tc>
        <w:tc>
          <w:tcPr>
            <w:tcW w:w="380" w:type="dxa"/>
            <w:vAlign w:val="bottom"/>
          </w:tcPr>
          <w:p>
            <w:pPr>
              <w:spacing w:after="0"/>
              <w:rPr>
                <w:sz w:val="7"/>
                <w:szCs w:val="7"/>
                <w:color w:val="auto"/>
              </w:rPr>
            </w:pP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527,287</w:t>
            </w:r>
          </w:p>
        </w:tc>
        <w:tc>
          <w:tcPr>
            <w:tcW w:w="0" w:type="dxa"/>
            <w:vAlign w:val="bottom"/>
          </w:tcPr>
          <w:p>
            <w:pPr>
              <w:spacing w:after="0"/>
              <w:rPr>
                <w:sz w:val="1"/>
                <w:szCs w:val="1"/>
                <w:color w:val="auto"/>
              </w:rPr>
            </w:pPr>
          </w:p>
        </w:tc>
      </w:tr>
      <w:tr>
        <w:trPr>
          <w:trHeight w:val="166"/>
        </w:trPr>
        <w:tc>
          <w:tcPr>
            <w:tcW w:w="2760" w:type="dxa"/>
            <w:vAlign w:val="bottom"/>
          </w:tcPr>
          <w:p>
            <w:pPr>
              <w:ind w:left="1040"/>
              <w:spacing w:after="0"/>
              <w:rPr>
                <w:sz w:val="20"/>
                <w:szCs w:val="20"/>
                <w:color w:val="auto"/>
              </w:rPr>
            </w:pPr>
            <w:r>
              <w:rPr>
                <w:rFonts w:ascii="Courier New" w:cs="Courier New" w:eastAsia="Courier New" w:hAnsi="Courier New"/>
                <w:sz w:val="14"/>
                <w:szCs w:val="14"/>
                <w:color w:val="auto"/>
              </w:rPr>
              <w:t>Products Revenues</w:t>
            </w:r>
          </w:p>
        </w:tc>
        <w:tc>
          <w:tcPr>
            <w:tcW w:w="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99.6%</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99.4%</w:t>
            </w:r>
          </w:p>
        </w:tc>
        <w:tc>
          <w:tcPr>
            <w:tcW w:w="680" w:type="dxa"/>
            <w:vAlign w:val="bottom"/>
          </w:tcPr>
          <w:p>
            <w:pPr>
              <w:spacing w:after="0"/>
              <w:rPr>
                <w:sz w:val="21"/>
                <w:szCs w:val="21"/>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99.5%</w:t>
            </w:r>
          </w:p>
        </w:tc>
        <w:tc>
          <w:tcPr>
            <w:tcW w:w="160" w:type="dxa"/>
            <w:vAlign w:val="bottom"/>
          </w:tcPr>
          <w:p>
            <w:pPr>
              <w:spacing w:after="0"/>
              <w:rPr>
                <w:sz w:val="21"/>
                <w:szCs w:val="21"/>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99.6%</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Finance Revenues(5)</w:t>
            </w:r>
          </w:p>
        </w:tc>
        <w:tc>
          <w:tcPr>
            <w:tcW w:w="520" w:type="dxa"/>
            <w:vAlign w:val="bottom"/>
          </w:tcPr>
          <w:p>
            <w:pPr>
              <w:spacing w:after="0"/>
              <w:rPr>
                <w:sz w:val="22"/>
                <w:szCs w:val="22"/>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3,134</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4,241</w:t>
            </w:r>
          </w:p>
        </w:tc>
        <w:tc>
          <w:tcPr>
            <w:tcW w:w="680" w:type="dxa"/>
            <w:vAlign w:val="bottom"/>
          </w:tcPr>
          <w:p>
            <w:pPr>
              <w:spacing w:after="0"/>
              <w:rPr>
                <w:sz w:val="22"/>
                <w:szCs w:val="22"/>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3,908</w:t>
            </w:r>
          </w:p>
        </w:tc>
        <w:tc>
          <w:tcPr>
            <w:tcW w:w="160" w:type="dxa"/>
            <w:vAlign w:val="bottom"/>
          </w:tcPr>
          <w:p>
            <w:pPr>
              <w:spacing w:after="0"/>
              <w:rPr>
                <w:sz w:val="22"/>
                <w:szCs w:val="22"/>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2,995</w:t>
            </w:r>
          </w:p>
        </w:tc>
        <w:tc>
          <w:tcPr>
            <w:tcW w:w="3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2,076</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Net Revenues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828,403</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675,927</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747,637</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671,653</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529,363</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spacing w:after="0"/>
              <w:rPr>
                <w:sz w:val="21"/>
                <w:szCs w:val="21"/>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21"/>
                <w:szCs w:val="21"/>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40" w:right="3419" w:hanging="432"/>
        <w:spacing w:after="0" w:line="263"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 These reclassifications have no impact on net income as previously reported.</w:t>
      </w:r>
    </w:p>
    <w:p>
      <w:pPr>
        <w:spacing w:after="0" w:line="1" w:lineRule="exact"/>
        <w:rPr>
          <w:rFonts w:ascii="Courier New" w:cs="Courier New" w:eastAsia="Courier New" w:hAnsi="Courier New"/>
          <w:sz w:val="14"/>
          <w:szCs w:val="14"/>
          <w:color w:val="auto"/>
        </w:rPr>
      </w:pPr>
    </w:p>
    <w:p>
      <w:pPr>
        <w:ind w:left="440" w:right="341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2002 contained 53 weeks, all other fiscal years contained 52 weeks.</w:t>
      </w:r>
    </w:p>
    <w:p>
      <w:pPr>
        <w:ind w:left="440" w:right="341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recreation vehicle related parts, EuroVan Campers (Class B motor homes), and recreation vehicle service revenue.</w:t>
      </w:r>
    </w:p>
    <w:p>
      <w:pPr>
        <w:ind w:left="440" w:right="367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sales of extruded aluminum, commercial vehicles and component products for other manufacturers.</w:t>
      </w: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Acceptance Corporation (WAC) revenues from dealer financing.</w:t>
      </w:r>
    </w:p>
    <w:p>
      <w:pPr>
        <w:spacing w:after="0" w:line="312" w:lineRule="exact"/>
        <w:rPr>
          <w:sz w:val="20"/>
          <w:szCs w:val="20"/>
          <w:color w:val="auto"/>
        </w:rPr>
      </w:pPr>
    </w:p>
    <w:p>
      <w:pPr>
        <w:ind w:right="3779"/>
        <w:spacing w:after="0" w:line="376" w:lineRule="auto"/>
        <w:rPr>
          <w:sz w:val="20"/>
          <w:szCs w:val="20"/>
          <w:color w:val="auto"/>
        </w:rPr>
      </w:pPr>
      <w:r>
        <w:rPr>
          <w:rFonts w:ascii="Courier New" w:cs="Courier New" w:eastAsia="Courier New" w:hAnsi="Courier New"/>
          <w:sz w:val="14"/>
          <w:szCs w:val="14"/>
          <w:color w:val="auto"/>
        </w:rPr>
        <w:t>Unit sales of the Company's principal recreation vehicles for the last five fiscal years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0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Fiscal Year Ended(1)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5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August 26,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August 29,</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0"/>
                <w:szCs w:val="20"/>
                <w:color w:val="auto"/>
              </w:rPr>
            </w:pPr>
            <w:r>
              <w:rPr>
                <w:rFonts w:ascii="Courier New" w:cs="Courier New" w:eastAsia="Courier New" w:hAnsi="Courier New"/>
                <w:sz w:val="14"/>
                <w:szCs w:val="14"/>
                <w:color w:val="auto"/>
              </w:rPr>
              <w:t>Unit Sales:</w:t>
            </w: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6,725</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5,666</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6,819</w:t>
            </w: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6,054</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5,381</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Class A</w:t>
            </w: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Class C</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4,329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c>
          <w:tcPr>
            <w:tcW w:w="0" w:type="dxa"/>
            <w:vAlign w:val="bottom"/>
          </w:tcPr>
          <w:p>
            <w:pPr>
              <w:spacing w:after="0"/>
              <w:rPr>
                <w:sz w:val="1"/>
                <w:szCs w:val="1"/>
                <w:color w:val="auto"/>
              </w:rPr>
            </w:pPr>
          </w:p>
        </w:tc>
      </w:tr>
      <w:tr>
        <w:trPr>
          <w:trHeight w:val="166"/>
        </w:trPr>
        <w:tc>
          <w:tcPr>
            <w:tcW w:w="33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Total Class A &amp; C Motor Homes</w:t>
            </w: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70"/>
              </w:rPr>
              <w:t>11,054</w:t>
            </w:r>
            <w:r>
              <w:rPr>
                <w:rFonts w:ascii="Courier New" w:cs="Courier New" w:eastAsia="Courier New" w:hAnsi="Courier New"/>
                <w:sz w:val="26"/>
                <w:szCs w:val="26"/>
                <w:color w:val="auto"/>
                <w:w w:val="70"/>
                <w:vertAlign w:val="superscript"/>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10,516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10,276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8,771</w:t>
            </w:r>
          </w:p>
        </w:tc>
        <w:tc>
          <w:tcPr>
            <w:tcW w:w="0" w:type="dxa"/>
            <w:vAlign w:val="bottom"/>
          </w:tcPr>
          <w:p>
            <w:pPr>
              <w:spacing w:after="0"/>
              <w:rPr>
                <w:sz w:val="1"/>
                <w:szCs w:val="1"/>
                <w:color w:val="auto"/>
              </w:rPr>
            </w:pPr>
          </w:p>
        </w:tc>
      </w:tr>
      <w:tr>
        <w:trPr>
          <w:trHeight w:val="318"/>
        </w:trPr>
        <w:tc>
          <w:tcPr>
            <w:tcW w:w="3320" w:type="dxa"/>
            <w:vAlign w:val="bottom"/>
          </w:tcPr>
          <w:p>
            <w:pPr>
              <w:spacing w:after="0"/>
              <w:rPr>
                <w:sz w:val="20"/>
                <w:szCs w:val="20"/>
                <w:color w:val="auto"/>
              </w:rPr>
            </w:pPr>
            <w:r>
              <w:rPr>
                <w:rFonts w:ascii="Courier New" w:cs="Courier New" w:eastAsia="Courier New" w:hAnsi="Courier New"/>
                <w:sz w:val="14"/>
                <w:szCs w:val="14"/>
                <w:color w:val="auto"/>
              </w:rPr>
              <w:t>Class B Conversions (EuroVan Camper)</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40" w:right="3419" w:hanging="432"/>
        <w:spacing w:after="0" w:line="376"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2002 contained 53 weeks, all other fiscal years contained 52 weeks.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3" w:name="page4"/>
    <w:bookmarkEnd w:id="3"/>
    <w:p>
      <w:pPr>
        <w:ind w:right="3339"/>
        <w:spacing w:after="0" w:line="282" w:lineRule="auto"/>
        <w:rPr>
          <w:sz w:val="20"/>
          <w:szCs w:val="20"/>
          <w:color w:val="auto"/>
        </w:rPr>
      </w:pPr>
      <w:r>
        <w:rPr>
          <w:rFonts w:ascii="Courier New" w:cs="Courier New" w:eastAsia="Courier New" w:hAnsi="Courier New"/>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6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Company's products are generally manufactured against orders from the Company's dealers and from time to time to build inventory to satisfy the peak selling season. As of August 31, 2002, the Company's backlog of orders for Class A and Class C motor homes was 3,248 units compared to 1,598 units at August 25, 2001.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74"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Presently, the Company meets its working capital requirements, capital equipment requirements and cash requirements of subsidiaries with funds generated internally. On October 19, 2000, the Company entered into an unsecured credit agreement with Wells Fargo Bank Iowa, National Association. The credit agreement provided the Company with a line of credit of $20,000,000 until January 31, 2002. The Company did not renew this agreement when it expired on January 31,</w:t>
      </w:r>
    </w:p>
    <w:p>
      <w:pPr>
        <w:spacing w:after="0" w:line="1" w:lineRule="exact"/>
        <w:rPr>
          <w:sz w:val="20"/>
          <w:szCs w:val="20"/>
          <w:color w:val="auto"/>
        </w:rPr>
      </w:pPr>
    </w:p>
    <w:p>
      <w:pPr>
        <w:ind w:right="4379"/>
        <w:spacing w:after="0" w:line="336" w:lineRule="auto"/>
        <w:rPr>
          <w:sz w:val="20"/>
          <w:szCs w:val="20"/>
          <w:color w:val="auto"/>
        </w:rPr>
      </w:pPr>
      <w:r>
        <w:rPr>
          <w:rFonts w:ascii="Courier New" w:cs="Courier New" w:eastAsia="Courier New" w:hAnsi="Courier New"/>
          <w:sz w:val="14"/>
          <w:szCs w:val="14"/>
          <w:color w:val="auto"/>
        </w:rPr>
        <w:t>2002. (See Note 4, "Notes Payable" in the Company's Annual Report to Shareholders for the year ended August 31, 2002.)</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RECREATION VEHICLES</w:t>
      </w:r>
    </w:p>
    <w:p>
      <w:pPr>
        <w:spacing w:after="0" w:line="173"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MOTOR HOMES - A motor home is a self-propelled mobile dwelling used primarily as a temporary dwelling during vacation and camping trips.</w:t>
      </w:r>
    </w:p>
    <w:p>
      <w:pPr>
        <w:spacing w:after="0" w:line="1" w:lineRule="exact"/>
        <w:rPr>
          <w:sz w:val="20"/>
          <w:szCs w:val="20"/>
          <w:color w:val="auto"/>
        </w:rPr>
      </w:pPr>
    </w:p>
    <w:p>
      <w:pPr>
        <w:jc w:val="both"/>
        <w:ind w:right="3519"/>
        <w:spacing w:after="0" w:line="313" w:lineRule="auto"/>
        <w:rPr>
          <w:sz w:val="20"/>
          <w:szCs w:val="20"/>
          <w:color w:val="auto"/>
        </w:rPr>
      </w:pPr>
      <w:r>
        <w:rPr>
          <w:rFonts w:ascii="Courier New" w:cs="Courier New" w:eastAsia="Courier New" w:hAnsi="Courier New"/>
          <w:sz w:val="14"/>
          <w:szCs w:val="14"/>
          <w:color w:val="auto"/>
        </w:rPr>
        <w:t>The Recreation Vehicle Industry Association (RVIA) classifies motor homes into three types (Class A, Class B and Class C). The Company currently manufactures Class A and Class C motor homes and converts Class B motor homes.</w:t>
      </w:r>
    </w:p>
    <w:p>
      <w:pPr>
        <w:spacing w:after="0" w:line="42"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56"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Class B models are panel-type trucks to which sleeping, kitchen and/or toilet facilities are added. These models also have a top extension added to them for more head room.</w:t>
      </w:r>
    </w:p>
    <w:p>
      <w:pPr>
        <w:spacing w:after="0" w:line="42" w:lineRule="exact"/>
        <w:rPr>
          <w:sz w:val="20"/>
          <w:szCs w:val="20"/>
          <w:color w:val="auto"/>
        </w:rPr>
      </w:pPr>
    </w:p>
    <w:p>
      <w:pPr>
        <w:jc w:val="both"/>
        <w:ind w:right="3679"/>
        <w:spacing w:after="0" w:line="292" w:lineRule="auto"/>
        <w:rPr>
          <w:sz w:val="20"/>
          <w:szCs w:val="20"/>
          <w:color w:val="auto"/>
        </w:rPr>
      </w:pPr>
      <w:r>
        <w:rPr>
          <w:rFonts w:ascii="Courier New" w:cs="Courier New" w:eastAsia="Courier New" w:hAnsi="Courier New"/>
          <w:sz w:val="14"/>
          <w:szCs w:val="14"/>
          <w:color w:val="auto"/>
        </w:rPr>
        <w:t>Class C models are mini motor homes built on van-type chassis onto which the recreation vehicle manufacturer constructs a living area with access to the driver's compartment. Certain models of the Company's Class C units include van-type driver's compartments built by the Company.</w:t>
      </w:r>
    </w:p>
    <w:p>
      <w:pPr>
        <w:spacing w:after="0" w:line="5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The Company currently manufactures and sells Class A and Class C motor homes under the Winnebago, Itasca,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 The agreement between Winnebago Industries, Inc. and Volkswagen of America, Inc. to convert the Class B motor homes will terminate during fiscal 2003. There are no plans to continue this agreement after its termination.</w:t>
      </w:r>
    </w:p>
    <w:p>
      <w:pPr>
        <w:spacing w:after="0" w:line="76"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The Company offers, with the purchase of any new Winnebago, Itasca, or Ultimate motor home, a comprehensive 12-month/15,000-mile warranty, a 3-year/36,000-mile warranty on sidewalls, floors and slide-out room assemblies, and a 10-year fiberglass roof warranty. The Rialta has a 2-year/24,000-mile warranty. The EuroVan Camper has a 2-year/ 24,000-mile warranty on the conversion portion of the unit. Estimated warranty costs are accrued at the time of sale of the warranted products. Estimates of future warranty costs are based on prior experience and known current events.</w:t>
      </w:r>
    </w:p>
    <w:p>
      <w:pPr>
        <w:spacing w:after="0" w:line="74"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The Company's Class A and Class C motor homes are sold by dealers in the retail market at prices ranging from approximately $51,000 to more than $300,000, depending on size and model, plus optional equipment and delivery charges.</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4" w:name="page5"/>
    <w:bookmarkEnd w:id="4"/>
    <w:p>
      <w:pPr>
        <w:ind w:right="3519"/>
        <w:spacing w:after="0" w:line="313" w:lineRule="auto"/>
        <w:rPr>
          <w:sz w:val="20"/>
          <w:szCs w:val="20"/>
          <w:color w:val="auto"/>
        </w:rPr>
      </w:pPr>
      <w:r>
        <w:rPr>
          <w:rFonts w:ascii="Courier New" w:cs="Courier New" w:eastAsia="Courier New" w:hAnsi="Courier New"/>
          <w:sz w:val="14"/>
          <w:szCs w:val="14"/>
          <w:color w:val="auto"/>
        </w:rPr>
        <w:t>The Company currently manufactures Class A and Class C motor homes ranging in length from 27 to 40 feet and 21 to 31 feet, respectively. Class B motor homes converted by the Company (EuroVan Camper) are 17 feet in length.</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NON-RECREATION VEHICLE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OEM, COMMERCIAL VEHICLES, AND OTHER PRODUCTS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OEM - Original equipment manufacturer sales are sales of component parts such as aluminum extrusions, metal stampings, rotational moldings, vacuum formed plastics, fiberglass components, panel lamination, electro-deposition painting of steel and sewn or upholstered items to outside manufacturers.</w:t>
      </w:r>
    </w:p>
    <w:p>
      <w:pPr>
        <w:spacing w:after="0" w:line="56"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Commercial Vehicles - Commercial vehicles sales are shells primarily custom designed for the buyer's special needs and requirements.</w:t>
      </w:r>
    </w:p>
    <w:p>
      <w:pPr>
        <w:spacing w:after="0" w:line="1" w:lineRule="exact"/>
        <w:rPr>
          <w:sz w:val="20"/>
          <w:szCs w:val="20"/>
          <w:color w:val="auto"/>
        </w:rPr>
      </w:pPr>
    </w:p>
    <w:p>
      <w:pPr>
        <w:ind w:right="3339"/>
        <w:spacing w:after="0" w:line="376" w:lineRule="auto"/>
        <w:rPr>
          <w:sz w:val="20"/>
          <w:szCs w:val="20"/>
          <w:color w:val="auto"/>
        </w:rPr>
      </w:pPr>
      <w:r>
        <w:rPr>
          <w:rFonts w:ascii="Courier New" w:cs="Courier New" w:eastAsia="Courier New" w:hAnsi="Courier New"/>
          <w:sz w:val="14"/>
          <w:szCs w:val="14"/>
          <w:color w:val="auto"/>
        </w:rPr>
        <w:t>WINNEBAGO ACCEPTANCE CORPORATION (WAC) - WAC engages in floor plan financing for a limited number of the Company's dealers.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PRODUCTION</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Company's Forest City facilities have been designed to provide vertically integrated production line manufacturing. The Company also operates a fiberglass manufacturing facility in Hampton, Iowa, a sewing operation in Lorimor, Iowa and a high-line assembly plant and cabinet door manufacturing facilities in Charles City, Iowa. The Company is in the process of building an additional motor home manufacturing facility in Charles City, Iowa. Manufacturing is scheduled to begin during fiscal 2003. The Company manufactures the majority of the components utilized in its motor homes, with the exception of the chassis, engines, auxiliary power units and appliances.</w:t>
      </w:r>
    </w:p>
    <w:p>
      <w:pPr>
        <w:spacing w:after="0" w:line="74"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Workhorse Custom Chassis LLC, Freightliner Custom Chassis Corporation and Volkswagen of America, Inc. are the Company's dominant suppliers. Decisions by such suppliers to decrease chassis production, utilize chassis production internally, or shortages, production delays or work stoppages by the employees of such suppliers could have a material adverse effect on the Company's ability to produce, and ultimately the results from operations. The Company purchases Class A and C chassis from Ford Motor Company, Class A chassis from Freightliner Custom Chassis Corporation, Workhorse Custom Chassis LLC and Spartan Motors, Inc., and Class C chassis from Chevrolet Motor Division and Volkswagen of America, Inc. Class B chassis from Volkswagen of America, Inc. are utilized in the Company's EuroVan Camper. Only four vendors accounted for as much as five percent of the Company's raw material purchases in fiscal 2002, Ford Motor Company, Workhorse Custom Chassis LLC, Freightliner Custom Chassis Corporation and Volkswagen of America, Inc. (approximately 42 percent, in the aggregate).</w:t>
      </w:r>
    </w:p>
    <w:p>
      <w:pPr>
        <w:spacing w:after="0" w:line="9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56"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w:t>
      </w:r>
    </w:p>
    <w:p>
      <w:pPr>
        <w:spacing w:after="0" w:line="62"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The Company produces substantially all of the raw, liquid-painted and powder-coated aluminum extrusions used for interior and exterior trim in its recreation vehicles. The Company also sells aluminum extrusions to over 80 customers.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FINANCING</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Company markets its recreation vehicles on a wholesale basis to a diversified dealer organization located throughout the United States and, to a limited extent, in Canada. Foreign sales, including Canada, were less than two percent of net revenues in fiscal 2002. As of August 31, 2002 and August 25, 2001, the motor home dealer organization in the United States and Canada included approximately 295 and 305 dealer locations, respectively. During fiscal 2002, seven dealers accounted for approximately 25 percent of motor home unit sales, and only one dealer (La Mesa RV Center, Inc.) accounted for as much as nine percent (9.1%) of motor home unit sales.</w:t>
      </w:r>
    </w:p>
    <w:p>
      <w:pPr>
        <w:spacing w:after="0" w:line="74"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All international sales (except Canada) are now handled by one distributor in Japan and one distributor in England who market the Company's recreation vehicles.</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6" w:name="page7"/>
    <w:bookmarkEnd w:id="6"/>
    <w:p>
      <w:pPr>
        <w:ind w:right="3679"/>
        <w:spacing w:after="0" w:line="268" w:lineRule="auto"/>
        <w:rPr>
          <w:sz w:val="20"/>
          <w:szCs w:val="20"/>
          <w:color w:val="auto"/>
        </w:rPr>
      </w:pPr>
      <w:r>
        <w:rPr>
          <w:rFonts w:ascii="Courier New" w:cs="Courier New" w:eastAsia="Courier New" w:hAnsi="Courier New"/>
          <w:sz w:val="14"/>
          <w:szCs w:val="14"/>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74"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At August 31, 2002, the Company had a staff of 31 people engaged in field sales and service to the motor home dealer organization.</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Company advertises and promotes its products through national RV magazines and cable TV networks and on a local basis through trade shows, television, radio and newspapers, primarily in connection with area dealers.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90 percent of recreation vehicle sales to dealers are made on cash terms.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Most dealers are financed on a "floor plan" basis under which a bank or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lends the dealer all, or substantially all, of the purchase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collateralized by a lien upon, or title to, the merchandise purchased.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 of a lending institution financing a dealer's purchases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and after completion of a credit investigation of the dealer involved,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will execute a repurchase agreement. These agreements provide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of default by the dealer on the agreement to pay the lending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the Company will repurchase the financed merchandise.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provide that the Company's liability will not exceed 100 percent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dealer invoice price and provide for periodic liability reductions based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time since the date of the original invoice.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on all repurchase agreements was approximately $245,828,000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$216,784,000 at August 31, 2002 and August 25, 2001, respectively.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contingent liabilities are approximately $1,049,000 and $3,276,000,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of certain dealer receivables subject to recourse (See Note 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Liabilities and Commitments" in the Company's Annual Report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for the year ended August 31, 2002).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under repurchase agreements varies significantly from time to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depending upon general economic conditions, seasonal shipments, competition,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 organization, gasoline availability and price and cost of bank financing.</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69"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Company is the leading U.S. manufacturer of motor homes. For the 12 months ended August 31, 2002, RVIA reported U.S. manufacturers factory shipments of 37,100 Class A motor homes, 2,700 Class B motor homes and 16,300 Class C motor homes. Unit sales of such products by the Company for the last five fiscal years are shown on page 2 of this report. The Company has numerous competitors and potential competitors in this industry. The five largest manufacturers represented approximately 70 percent of the combined Class A and Class C motor home deliveries for the 12 months ended August 31, 2002, including the Company's sales, which represented approximately 21 percent of the market. As the Company does not manufacture Class B motor homes but only completes a conversion package on these units, the Class B motor home comparison is not included in this report. The Company is not a significant factor in the markets for its other recreation vehicle products and its non-recreation vehicle products and services.</w:t>
      </w: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REGULATION, TRADEMARKS AND PATENTS</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25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74"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Company has several registered trademarks within its motor home models, including Winnebago, Itasca, Minnie Winnie, Brave, Chieftain, Sunrise, Adventurer, Spirit, Sunflyer, Suncruiser, Sundancer, Rialta, Minnie, Ultimate, Ultimate Advantage, Ultimate Freedom, Horizon, Journey, Sunova, Sunstar and Vista.</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Research and development expenditures are expensed as incurred. During fiscal 2002, 2001, and 2000, the Company spent approximately $3,190,000 $3,397,000, and $3,374,000, respectively, on research and development activities. Prior years' information has been changed to conform to the current year presentation.</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73"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As of September 1, 2002, 2001 and 2000, the Company employed approximately 3,685, 3,325 and 3,300 persons, respectively. Of these, approximately 3,025, 2,675 and 2,700 persons, respectively, were engaged in manufacturing and shipping functions. None of the Company's employees are covered under a collective bargaining agreement.</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5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The Company's principal manufacturing, maintenance and service operations are conducted in multi-building complexes owned by the Company, containing an aggregate of approximately 1,550,000 square feet in Forest City, Iowa. The Company also owns approximately 460,000 square feet of warehouse facilities located in Forest City. The Company leases approximately 240,000 square feet of its unoccupied manufacturing facilities in Forest City to others. The Company also owns a manufacturing facility (126,000 square feet) in Hampton, Iowa and manufacturing facilities (109,000 square feet) in Charles City, Iowa. The Company is in the process of constructing a motor home manufacturing facility in Charles City, Iowa. The square footage of this facility at time of completion will be approximately 218,000 square feet. The Company anticipates motor home production will begin in this facility during fiscal 2003. The Company leases a storage facility (16,700 square feet) in Hampton, Iowa and a manufacturing facility (19,600 square feet) in Lorimor, Iowa. Leases on the above leased facilities expire at various dates, the earliest of which is December 31, 2002. The Company's facilities in Forest City are located on approximately 780 acres of land, all owned by the Company.</w:t>
      </w:r>
    </w:p>
    <w:p>
      <w:pPr>
        <w:spacing w:after="0" w:line="8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With the completion of the Charles City facility, the Company believes its facilities will be sufficient to meet its production requirements for the foreseeable future. Should the Company require increased production capacity in the future, the Company believes that additional or alternative space adequate to serve the Company's foreseeable needs would be available.</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The Company and the Winnebago Industries, Inc. Deferred Compensation Plan, Winnebago Industries, Inc. Deferred Incentive Formula Bonus Plan and Winnebago Industries, Inc. Deferred Compensation Plan and Deferred Bonus Plan Trust are Defendants in a purported class action title Sanft, et al vs. Winnebago Industries, Inc., at al which was filed in the United States District Court, Northern District of Iowa, Central Division, on August 30, 2001 and is currently pending. The Complaint alleges a class consisting of participants in the Winnebago Industries, Inc. Deferred Compensation Plan and the Winnebago Industries, Inc. Deferred Incentive Formula Bonus Plan (the "Plans") and alleges 23 separate causes of action including declaratory and injunctive relief, Federal common law unjust enrichment, breach of fiduciary duty and violation of ERISA vesting provisions and ERISA funding requirements. The suit seeks to negate certain amendments made to the Plans in 1994 which reduced the benefits which some participants would receive under the Plans. This action has not been certified as a class action. The Company believes that the Defendants have meritorious defenses to class certification and as to the Plaintiff's substantive claims. The Company is vigorously defending the lawsuit and will oppose any attempt by the Plaintiffs to have the case certified as a class action. The case is currently set for trial in June 2004. As of August 31, 2002 the Company has accrued estimated legal fees for the defense of the case. However, no other amounts have been accrued for the case because it is not possible at this time to properly assess the risk of an adverse verdict or the magnitude of possible exposure.</w:t>
      </w:r>
    </w:p>
    <w:p>
      <w:pPr>
        <w:spacing w:after="0" w:line="254"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The Company is also involved in other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the Registrant</w:t>
            </w:r>
          </w:p>
        </w:tc>
        <w:tc>
          <w:tcPr>
            <w:tcW w:w="4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587"/>
        </w:trPr>
        <w:tc>
          <w:tcPr>
            <w:tcW w:w="2080" w:type="dxa"/>
            <w:vAlign w:val="bottom"/>
          </w:tcPr>
          <w:p>
            <w:pPr>
              <w:ind w:left="1040"/>
              <w:spacing w:after="0"/>
              <w:rPr>
                <w:sz w:val="20"/>
                <w:szCs w:val="20"/>
                <w:color w:val="auto"/>
              </w:rPr>
            </w:pPr>
            <w:r>
              <w:rPr>
                <w:rFonts w:ascii="Courier New" w:cs="Courier New" w:eastAsia="Courier New" w:hAnsi="Courier New"/>
                <w:sz w:val="14"/>
                <w:szCs w:val="14"/>
                <w:color w:val="auto"/>
              </w:rPr>
              <w:t>NAME</w:t>
            </w:r>
          </w:p>
        </w:tc>
        <w:tc>
          <w:tcPr>
            <w:tcW w:w="146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OFFICE (YEAR FIRST ELECTED AN OFFICER)</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AGE</w:t>
            </w: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Bruce D. Hertzke +</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Chairman of the</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Board, Chief Executive Officer and President (1989)</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Edwin F. Barker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Chief Financial Officer (1980)</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55</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Raymond M. Beebe</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General Counsel &amp; Secretary (1974)</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60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Robert L. Gossett</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Administration (1998)</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Brian J. Hrubes</w:t>
            </w:r>
          </w:p>
        </w:tc>
        <w:tc>
          <w:tcPr>
            <w:tcW w:w="6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Controller (1996)</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James P. Jaskoviak</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Sales and Marketing (1994)</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William O'Leary</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Product Development (2001)</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Robert J. Olson</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Manufacturing (1996)</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51</w:t>
            </w: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Treasurer (1996)</w:t>
            </w:r>
          </w:p>
        </w:tc>
        <w:tc>
          <w:tcPr>
            <w:tcW w:w="474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59</w:t>
            </w:r>
          </w:p>
        </w:tc>
      </w:tr>
    </w:tbl>
    <w:p>
      <w:pPr>
        <w:spacing w:after="0" w:line="2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Director</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Officers are elected annually by the Board of Directors. All of the foregoing officers have been employed by the Company as officers or in other responsible positions for at least the last five years, except that Robert L. Gossett was a Vice President of TCB, Inc. prior to joining the Company in 1998. Mr. Gossett had been with TCB for at least five years prior to joining the Company. TCB, Inc. is a nationwide distributor and value-added manufacturer of glass, plastic and ceramic consumer and packaging industry products.</w:t>
      </w:r>
    </w:p>
    <w:p>
      <w:pPr>
        <w:spacing w:after="0" w:line="23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right="3939"/>
        <w:spacing w:after="0" w:line="37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Reference is made to information concerning the market for the Company's common stock, cash dividends and related stockholder matters on pages 39 and 40 of the Company's Annual Report to Shareholders for the year ended August 31, 2002, which information is incorporated by reference herein. On October 9, 2002, the Board of Directors declared a cash dividend of $.10 per common share payable January 6, 2003 to shareholders of record on December 6, 2002. The Company paid dividends of $.20 per common share during fiscal years 2002 and 2001.</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939"/>
        <w:spacing w:after="0" w:line="292" w:lineRule="auto"/>
        <w:rPr>
          <w:sz w:val="20"/>
          <w:szCs w:val="20"/>
          <w:color w:val="auto"/>
        </w:rPr>
      </w:pPr>
      <w:r>
        <w:rPr>
          <w:rFonts w:ascii="Courier New" w:cs="Courier New" w:eastAsia="Courier New" w:hAnsi="Courier New"/>
          <w:sz w:val="14"/>
          <w:szCs w:val="14"/>
          <w:color w:val="auto"/>
        </w:rPr>
        <w:t>Reference is made to the information included under the caption "Selected Financial Data" on pages 26 and 27 of the Company's Annual Report to Shareholders for the year ended August 31, 2002, which information is incorporated by reference herein.</w:t>
      </w:r>
    </w:p>
    <w:p>
      <w:pPr>
        <w:spacing w:after="0" w:line="22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Reference is made to the information under the caption "Management's Discussion and Analysis of Financial Condition and Results of Operations" on pages 14 through 19 of the Company's Annual Report to Shareholders for the year ended August 31, 2002, which information is incorporated by reference herein.</w:t>
      </w:r>
    </w:p>
    <w:p>
      <w:pPr>
        <w:spacing w:after="0" w:line="56"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The Audit Committee of the Board of Directors of the Company has approved the Company's independent accountants, Deloitte and Touche LLP, to perform the following nonaudit services: tax compliance and tax planning services and certain actuarial and benefit services.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As of August 31, 2002, the Company had an investment portfolio of fixed income securities, which are classified as cash and cash equivalents of $42.2 million, of which $36.1 million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72"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As of August 31, 2002, the Company had dealer financing receivables in the amount of $37.9 million. Interest rates charged on these receivables vary based on the prime rate and are adjusted monthly.</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The consolidated financial statements of the Company which appear on pages 20 through 24 and pages 28 through 38 and the report of the independent accountants which appears on page 25, and the supplementary data under "Interim Financial Information (Unaudited)" on page 39 of the Company's Annual Report to Shareholders for the year ended August 31, 2002, are incorporated by reference herein.</w:t>
      </w:r>
    </w:p>
    <w:p>
      <w:pPr>
        <w:spacing w:after="0" w:line="244" w:lineRule="exact"/>
        <w:rPr>
          <w:sz w:val="20"/>
          <w:szCs w:val="20"/>
          <w:color w:val="auto"/>
        </w:rPr>
      </w:pPr>
    </w:p>
    <w:p>
      <w:pPr>
        <w:ind w:right="4119"/>
        <w:spacing w:after="0" w:line="37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14, 2003, which information is incorporated by reference herein.</w:t>
      </w:r>
    </w:p>
    <w:p>
      <w:pPr>
        <w:spacing w:after="0" w:line="62"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2002, all the Reporting Persons complied with all applicable filing requirements.</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859"/>
        <w:spacing w:after="0" w:line="292" w:lineRule="auto"/>
        <w:rPr>
          <w:sz w:val="20"/>
          <w:szCs w:val="20"/>
          <w:color w:val="auto"/>
        </w:rPr>
      </w:pPr>
      <w:r>
        <w:rPr>
          <w:rFonts w:ascii="Courier New" w:cs="Courier New" w:eastAsia="Courier New" w:hAnsi="Courier New"/>
          <w:sz w:val="14"/>
          <w:szCs w:val="14"/>
          <w:color w:val="auto"/>
        </w:rPr>
        <w:t>Reference is made to the information included under the caption "Executive Compensation" in the Company's Proxy Statement for the Annual Meeting of Shareholders scheduled to be held January 14, 2003, which information is incorporated by reference herein.</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Reference is made to the share ownership information included under the caption "Voting Securities and Principal Holders Thereof" in the Company's Proxy Statement for the Annual Meeting of Shareholders scheduled to be held January 14, 2003, which information is incorporated by reference herein.</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Reference is made to the information included under the caption "Certain Transactions with Management" in the Company's Proxy Statement for the Annual Meeting of Shareholders scheduled to be held January 14, 2003, which information is incorporated by reference herein.</w:t>
      </w:r>
    </w:p>
    <w:p>
      <w:pPr>
        <w:spacing w:after="0" w:line="5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In April 2002, pursuant to an authorization of the Board of Directors, the Company repurchased 2,100,000 shares of common stock from Hanson Capital Partners, LLC ("HCP"). HCP is a Delaware limited liability company whose members are the Luise V. Hanson Qualified Terminable Interest Property Marital Deduction Trust (the "QTIP Trust"), which has a 34.9 percent membership interest in HCP, and the Luise V. Hanson Revocable Trust, dated September 22, 1984 (the Revocable Trust"), which has a 65.1 percent membership interest in HCP. John V. Hanson, a director of the Company, Mary Jo Boman, the wife of Gerald E. Boman, a director of the Company, Paul D. Hanson and Bessemer Trust Company, N.A. act as co-trustees under the QTIP Trust. Mrs. Luise V. Hanson is trustee of the Revocable Trust.</w:t>
      </w: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6" w:right="1440" w:bottom="1440" w:gutter="0" w:footer="0" w:header="0"/>
        </w:sectPr>
      </w:pPr>
    </w:p>
    <w:bookmarkStart w:id="11" w:name="page12"/>
    <w:bookmarkEnd w:id="11"/>
    <w:p>
      <w:pPr>
        <w:ind w:right="3419"/>
        <w:spacing w:after="0" w:line="266" w:lineRule="auto"/>
        <w:rPr>
          <w:sz w:val="20"/>
          <w:szCs w:val="20"/>
          <w:color w:val="auto"/>
        </w:rPr>
      </w:pPr>
      <w:r>
        <w:rPr>
          <w:rFonts w:ascii="Courier New" w:cs="Courier New" w:eastAsia="Courier New" w:hAnsi="Courier New"/>
          <w:sz w:val="14"/>
          <w:szCs w:val="14"/>
          <w:color w:val="auto"/>
        </w:rPr>
        <w:t>Mrs. Hanson is also a controlling person of the Company. Mrs. Hanson is the mother of John V.Hanson, Mary Jo Boman and Paul D. Hanson and the mother-in-law of Gerald E. Boman. The shares were repurchased for an aggregate purchase price of $77,700,000 ($37 per share) plus interest in the amount of $245,765. On the date of the share repurchase, the high and low prices of the Company's common stock on the New York Stock Exchange were $43.70 and $42.35, respectively. The Company utilized its cash on hand to pay the purchase price of the stock in three installments, with interest at the rate of 4 percent per annum on the outstanding balance.</w:t>
      </w:r>
    </w:p>
    <w:p>
      <w:pPr>
        <w:spacing w:after="0" w:line="2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Controls and Procedures</w:t>
      </w:r>
    </w:p>
    <w:p>
      <w:pPr>
        <w:spacing w:after="0" w:line="173" w:lineRule="exact"/>
        <w:rPr>
          <w:sz w:val="20"/>
          <w:szCs w:val="20"/>
          <w:color w:val="auto"/>
        </w:rPr>
      </w:pPr>
    </w:p>
    <w:p>
      <w:pPr>
        <w:ind w:left="440" w:right="3339"/>
        <w:spacing w:after="0" w:line="259" w:lineRule="auto"/>
        <w:rPr>
          <w:sz w:val="20"/>
          <w:szCs w:val="20"/>
          <w:color w:val="auto"/>
        </w:rPr>
      </w:pPr>
      <w:r>
        <w:rPr>
          <w:rFonts w:ascii="Courier New" w:cs="Courier New" w:eastAsia="Courier New" w:hAnsi="Courier New"/>
          <w:sz w:val="14"/>
          <w:szCs w:val="14"/>
          <w:color w:val="auto"/>
        </w:rPr>
        <w:t>Within the 90-day period prior to the filing of this report, an evaluation was carried out under the supervision and with the participation of the Company's management, including our Chief Executive Officer and Chief Financial Officer, of the effectiveness of our disclosure controls and procedures (as defined in Rule 13a-14(c) and 15d-14(c) under the Securities Exchange Act of 1934). Based on their evaluation, our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these controls, including any corrective actions with regard to significant deficiencies and material weaknesses.</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Exhibits, Financial Statement Schedules and Reports on Form 8-K</w:t>
      </w:r>
    </w:p>
    <w:p>
      <w:pPr>
        <w:spacing w:after="0" w:line="173" w:lineRule="exact"/>
        <w:rPr>
          <w:sz w:val="20"/>
          <w:szCs w:val="20"/>
          <w:color w:val="auto"/>
        </w:rPr>
      </w:pPr>
    </w:p>
    <w:p>
      <w:pPr>
        <w:jc w:val="both"/>
        <w:ind w:left="520" w:right="3519" w:hanging="519"/>
        <w:spacing w:after="0" w:line="313" w:lineRule="auto"/>
        <w:tabs>
          <w:tab w:leader="none" w:pos="500" w:val="left"/>
        </w:tabs>
        <w:rPr>
          <w:sz w:val="20"/>
          <w:szCs w:val="20"/>
          <w:color w:val="auto"/>
        </w:rPr>
      </w:pPr>
      <w:r>
        <w:rPr>
          <w:rFonts w:ascii="Courier New" w:cs="Courier New" w:eastAsia="Courier New" w:hAnsi="Courier New"/>
          <w:sz w:val="14"/>
          <w:szCs w:val="14"/>
          <w:color w:val="auto"/>
        </w:rPr>
        <w:t>(a)1.</w:t>
        <w:tab/>
        <w:t>The consolidated financial statements of the Company are incorporated by reference in ITEM 8 and an index to financial statements appears on page 16 of this report.</w:t>
      </w:r>
    </w:p>
    <w:p>
      <w:pPr>
        <w:spacing w:after="0" w:line="42"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2. Consolidated Financial Statement Schedules</w:t>
            </w:r>
          </w:p>
        </w:tc>
        <w:tc>
          <w:tcPr>
            <w:tcW w:w="7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Winnebago Industries, Inc. and Subsidiaries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Report of Independent Auditors on Supplemental Financial</w:t>
            </w:r>
          </w:p>
        </w:tc>
        <w:tc>
          <w:tcPr>
            <w:tcW w:w="7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860" w:type="dxa"/>
            <w:vAlign w:val="bottom"/>
            <w:vMerge w:val="continue"/>
          </w:tcPr>
          <w:p>
            <w:pPr>
              <w:spacing w:after="0"/>
              <w:rPr>
                <w:sz w:val="7"/>
                <w:szCs w:val="7"/>
                <w:color w:val="auto"/>
              </w:rPr>
            </w:pPr>
          </w:p>
        </w:tc>
        <w:tc>
          <w:tcPr>
            <w:tcW w:w="780" w:type="dxa"/>
            <w:vAlign w:val="bottom"/>
            <w:vMerge w:val="restart"/>
          </w:tcPr>
          <w:p>
            <w:pPr>
              <w:jc w:val="center"/>
              <w:ind w:left="368"/>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5860" w:type="dxa"/>
            <w:vAlign w:val="bottom"/>
          </w:tcPr>
          <w:p>
            <w:pPr>
              <w:ind w:left="780"/>
              <w:spacing w:after="0"/>
              <w:rPr>
                <w:sz w:val="20"/>
                <w:szCs w:val="20"/>
                <w:color w:val="auto"/>
              </w:rPr>
            </w:pPr>
            <w:r>
              <w:rPr>
                <w:rFonts w:ascii="Courier New" w:cs="Courier New" w:eastAsia="Courier New" w:hAnsi="Courier New"/>
                <w:sz w:val="14"/>
                <w:szCs w:val="14"/>
                <w:color w:val="auto"/>
              </w:rPr>
              <w:t>Schedule</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II. Valuation and Qualifying Accounts</w:t>
            </w:r>
          </w:p>
        </w:tc>
        <w:tc>
          <w:tcPr>
            <w:tcW w:w="7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3339"/>
        <w:spacing w:after="0" w:line="292" w:lineRule="auto"/>
        <w:rPr>
          <w:sz w:val="20"/>
          <w:szCs w:val="20"/>
          <w:color w:val="auto"/>
        </w:rPr>
      </w:pPr>
      <w:r>
        <w:rPr>
          <w:rFonts w:ascii="Courier New" w:cs="Courier New" w:eastAsia="Courier New" w:hAnsi="Courier New"/>
          <w:sz w:val="14"/>
          <w:szCs w:val="14"/>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(a)3. Exhibits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See Exhibit Index on pages 19 and 20.</w:t>
      </w:r>
    </w:p>
    <w:p>
      <w:pPr>
        <w:spacing w:after="0" w:line="173" w:lineRule="exact"/>
        <w:rPr>
          <w:sz w:val="20"/>
          <w:szCs w:val="20"/>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779" w:firstLine="517"/>
        <w:spacing w:after="0" w:line="376"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UNDERTAKING</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440" w:gutter="0" w:footer="0" w:header="0"/>
        </w:sectPr>
      </w:pPr>
    </w:p>
    <w:bookmarkStart w:id="12" w:name="page13"/>
    <w:bookmarkEnd w:id="12"/>
    <w:p>
      <w:pPr>
        <w:ind w:right="3339"/>
        <w:spacing w:after="0" w:line="259"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6" w:right="1440" w:bottom="1440" w:gutter="0" w:footer="0" w:header="0"/>
        </w:sectPr>
      </w:pPr>
    </w:p>
    <w:bookmarkStart w:id="13" w:name="page14"/>
    <w:bookmarkEnd w:id="13"/>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4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WINNEBAGO INDUSTRIES, INC.</w:t>
      </w:r>
    </w:p>
    <w:p>
      <w:pPr>
        <w:sectPr>
          <w:pgSz w:w="11900" w:h="16838" w:orient="portrait"/>
          <w:cols w:equalWidth="0" w:num="1">
            <w:col w:w="10239"/>
          </w:cols>
          <w:pgMar w:left="220" w:top="756" w:right="1440" w:bottom="1440" w:gutter="0" w:footer="0" w:header="0"/>
        </w:sectPr>
      </w:pP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Bruce D. Hertzke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President and Director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ectPr>
          <w:pgSz w:w="11900" w:h="16838" w:orient="portrait"/>
          <w:cols w:equalWidth="0" w:num="2">
            <w:col w:w="2940" w:space="80"/>
            <w:col w:w="7219"/>
          </w:cols>
          <w:pgMar w:left="220" w:top="756" w:right="1440"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25, 2002</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November 25, 2002, by the following persons on behalf of the Registrant and in the capacities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ind w:left="860"/>
              <w:spacing w:after="0"/>
              <w:rPr>
                <w:sz w:val="20"/>
                <w:szCs w:val="20"/>
                <w:color w:val="auto"/>
              </w:rPr>
            </w:pPr>
            <w:r>
              <w:rPr>
                <w:rFonts w:ascii="Courier New" w:cs="Courier New" w:eastAsia="Courier New" w:hAnsi="Courier New"/>
                <w:sz w:val="14"/>
                <w:szCs w:val="14"/>
                <w:color w:val="auto"/>
              </w:rPr>
              <w:t>SIGNATURE</w:t>
            </w:r>
          </w:p>
        </w:tc>
        <w:tc>
          <w:tcPr>
            <w:tcW w:w="3960" w:type="dxa"/>
            <w:vAlign w:val="bottom"/>
          </w:tcPr>
          <w:p>
            <w:pPr>
              <w:ind w:left="1980"/>
              <w:spacing w:after="0"/>
              <w:rPr>
                <w:sz w:val="20"/>
                <w:szCs w:val="20"/>
                <w:color w:val="auto"/>
              </w:rPr>
            </w:pPr>
            <w:r>
              <w:rPr>
                <w:rFonts w:ascii="Courier New" w:cs="Courier New" w:eastAsia="Courier New" w:hAnsi="Courier New"/>
                <w:sz w:val="14"/>
                <w:szCs w:val="14"/>
                <w:color w:val="auto"/>
              </w:rPr>
              <w:t>CAPACITY</w:t>
            </w:r>
          </w:p>
        </w:tc>
        <w:tc>
          <w:tcPr>
            <w:tcW w:w="0" w:type="dxa"/>
            <w:vAlign w:val="bottom"/>
          </w:tcPr>
          <w:p>
            <w:pPr>
              <w:spacing w:after="0"/>
              <w:rPr>
                <w:sz w:val="1"/>
                <w:szCs w:val="1"/>
                <w:color w:val="auto"/>
              </w:rPr>
            </w:pPr>
          </w:p>
        </w:tc>
      </w:tr>
      <w:tr>
        <w:trPr>
          <w:trHeight w:val="242"/>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Bruce D. Hertzke</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Chairman of the Board, Chief Executive</w:t>
            </w:r>
          </w:p>
        </w:tc>
        <w:tc>
          <w:tcPr>
            <w:tcW w:w="0" w:type="dxa"/>
            <w:vAlign w:val="bottom"/>
          </w:tcPr>
          <w:p>
            <w:pPr>
              <w:spacing w:after="0"/>
              <w:rPr>
                <w:sz w:val="1"/>
                <w:szCs w:val="1"/>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Bruce D. Hertzke</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3960" w:type="dxa"/>
            <w:vAlign w:val="bottom"/>
          </w:tcPr>
          <w:p>
            <w:pPr>
              <w:ind w:left="600"/>
              <w:spacing w:after="0"/>
              <w:rPr>
                <w:sz w:val="20"/>
                <w:szCs w:val="20"/>
                <w:color w:val="auto"/>
              </w:rPr>
            </w:pPr>
            <w:r>
              <w:rPr>
                <w:rFonts w:ascii="Courier New" w:cs="Courier New" w:eastAsia="Courier New" w:hAnsi="Courier New"/>
                <w:sz w:val="14"/>
                <w:szCs w:val="14"/>
                <w:color w:val="auto"/>
              </w:rPr>
              <w:t>Officer, President and Director</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(Principal Executive Officer)</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Edwin F. Barker</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Vice President, Chief Financial Officer</w:t>
            </w:r>
          </w:p>
        </w:tc>
        <w:tc>
          <w:tcPr>
            <w:tcW w:w="0" w:type="dxa"/>
            <w:vAlign w:val="bottom"/>
          </w:tcPr>
          <w:p>
            <w:pPr>
              <w:spacing w:after="0"/>
              <w:rPr>
                <w:sz w:val="1"/>
                <w:szCs w:val="1"/>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Edwin F. Barker</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(Principal Financial Officer)</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Brian J. Hrubes</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Controller</w:t>
            </w:r>
          </w:p>
        </w:tc>
        <w:tc>
          <w:tcPr>
            <w:tcW w:w="0" w:type="dxa"/>
            <w:vAlign w:val="bottom"/>
          </w:tcPr>
          <w:p>
            <w:pPr>
              <w:spacing w:after="0"/>
              <w:rPr>
                <w:sz w:val="1"/>
                <w:szCs w:val="1"/>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Brian J. Hrubes</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(Principal Accounting Officer)</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Gerald E. Boman</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Gerald E. Boman</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Jerry N. Currie</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Jerry N. Currie</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Joseph W. England</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Joseph W. England</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John V. Hanson</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John V. Hanson</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Gerald C. Kitch</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Gerald C. Kitch</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Richard C. Scott</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Richard C. Scott</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Frederick M. Zimmerman</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 ---------------------------</w:t>
            </w:r>
          </w:p>
        </w:tc>
        <w:tc>
          <w:tcPr>
            <w:tcW w:w="396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Frederick M. Zimmerman</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2940" w:type="dxa"/>
            <w:vAlign w:val="bottom"/>
          </w:tcPr>
          <w:p>
            <w:pPr>
              <w:spacing w:after="0"/>
              <w:rPr>
                <w:sz w:val="24"/>
                <w:szCs w:val="24"/>
                <w:color w:val="auto"/>
              </w:rPr>
            </w:pPr>
          </w:p>
        </w:tc>
        <w:tc>
          <w:tcPr>
            <w:tcW w:w="3960" w:type="dxa"/>
            <w:vAlign w:val="bottom"/>
          </w:tcPr>
          <w:p>
            <w:pPr>
              <w:ind w:left="420"/>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type w:val="continuous"/>
        </w:sectPr>
      </w:pPr>
    </w:p>
    <w:bookmarkStart w:id="14" w:name="page15"/>
    <w:bookmarkEnd w:id="14"/>
    <w:p>
      <w:pPr>
        <w:ind w:left="1740"/>
        <w:spacing w:after="0"/>
        <w:rPr>
          <w:sz w:val="20"/>
          <w:szCs w:val="20"/>
          <w:color w:val="auto"/>
        </w:rPr>
      </w:pPr>
      <w:r>
        <w:rPr>
          <w:rFonts w:ascii="Courier New" w:cs="Courier New" w:eastAsia="Courier New" w:hAnsi="Courier New"/>
          <w:sz w:val="14"/>
          <w:szCs w:val="14"/>
          <w:color w:val="auto"/>
        </w:rPr>
        <w:t>CERTIFICATION BY CHIEF EXECUTIVE OFFICER</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PURSUANT TO 18 U.S.C. SECTION 1350,</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ADOPTED PURSUANT TO SECTION 302</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OF THE SARBANES-OXLEY ACT OF 2002</w:t>
      </w:r>
    </w:p>
    <w:p>
      <w:pPr>
        <w:spacing w:after="0" w:line="312"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I, Bruce D. Hertzke, Chief Executive Officer of Winnebago Industries, Inc., certify that:</w:t>
      </w:r>
    </w:p>
    <w:p>
      <w:pPr>
        <w:spacing w:after="0" w:line="1" w:lineRule="exact"/>
        <w:rPr>
          <w:sz w:val="20"/>
          <w:szCs w:val="20"/>
          <w:color w:val="auto"/>
        </w:rPr>
      </w:pPr>
    </w:p>
    <w:p>
      <w:pPr>
        <w:ind w:left="860" w:right="4199" w:hanging="421"/>
        <w:spacing w:after="0" w:line="37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Winnebago Industries, Inc. (the "Registrant");</w:t>
      </w:r>
    </w:p>
    <w:p>
      <w:pPr>
        <w:spacing w:after="0" w:line="1" w:lineRule="exact"/>
        <w:rPr>
          <w:rFonts w:ascii="Courier New" w:cs="Courier New" w:eastAsia="Courier New" w:hAnsi="Courier New"/>
          <w:sz w:val="14"/>
          <w:szCs w:val="14"/>
          <w:color w:val="auto"/>
        </w:rPr>
      </w:pPr>
    </w:p>
    <w:p>
      <w:pPr>
        <w:ind w:left="860" w:right="3419" w:hanging="421"/>
        <w:spacing w:after="0" w:line="28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Courier New" w:cs="Courier New" w:eastAsia="Courier New" w:hAnsi="Courier New"/>
          <w:sz w:val="14"/>
          <w:szCs w:val="14"/>
          <w:color w:val="auto"/>
        </w:rPr>
      </w:pPr>
    </w:p>
    <w:p>
      <w:pPr>
        <w:ind w:left="860" w:right="3419" w:hanging="421"/>
        <w:spacing w:after="0" w:line="28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2" w:lineRule="exact"/>
        <w:rPr>
          <w:rFonts w:ascii="Courier New" w:cs="Courier New" w:eastAsia="Courier New" w:hAnsi="Courier New"/>
          <w:sz w:val="14"/>
          <w:szCs w:val="14"/>
          <w:color w:val="auto"/>
        </w:rPr>
      </w:pPr>
    </w:p>
    <w:p>
      <w:pPr>
        <w:jc w:val="both"/>
        <w:ind w:left="860" w:right="3599" w:hanging="421"/>
        <w:spacing w:after="0" w:line="29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56" w:lineRule="exact"/>
        <w:rPr>
          <w:rFonts w:ascii="Courier New" w:cs="Courier New" w:eastAsia="Courier New" w:hAnsi="Courier New"/>
          <w:sz w:val="14"/>
          <w:szCs w:val="14"/>
          <w:color w:val="auto"/>
        </w:rPr>
      </w:pPr>
    </w:p>
    <w:p>
      <w:pPr>
        <w:ind w:left="1300" w:right="3519" w:hanging="430"/>
        <w:spacing w:after="0" w:line="282"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Courier New" w:cs="Courier New" w:eastAsia="Courier New" w:hAnsi="Courier New"/>
          <w:sz w:val="14"/>
          <w:szCs w:val="14"/>
          <w:color w:val="auto"/>
        </w:rPr>
      </w:pPr>
    </w:p>
    <w:p>
      <w:pPr>
        <w:ind w:left="1300" w:right="3419" w:hanging="430"/>
        <w:spacing w:after="0" w:line="313"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Annual Report (the "Evaluation Date"); and</w:t>
      </w:r>
    </w:p>
    <w:p>
      <w:pPr>
        <w:spacing w:after="0" w:line="42" w:lineRule="exact"/>
        <w:rPr>
          <w:rFonts w:ascii="Courier New" w:cs="Courier New" w:eastAsia="Courier New" w:hAnsi="Courier New"/>
          <w:sz w:val="14"/>
          <w:szCs w:val="14"/>
          <w:color w:val="auto"/>
        </w:rPr>
      </w:pPr>
    </w:p>
    <w:p>
      <w:pPr>
        <w:ind w:left="1300" w:right="3419" w:hanging="430"/>
        <w:spacing w:after="0" w:line="313"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Annual Report our conclusions about the effectiveness of the disclosure controls and procedures based on our evaluation as of the Evaluation Date;</w:t>
      </w:r>
    </w:p>
    <w:p>
      <w:pPr>
        <w:spacing w:after="0" w:line="42" w:lineRule="exact"/>
        <w:rPr>
          <w:rFonts w:ascii="Courier New" w:cs="Courier New" w:eastAsia="Courier New" w:hAnsi="Courier New"/>
          <w:sz w:val="14"/>
          <w:szCs w:val="14"/>
          <w:color w:val="auto"/>
        </w:rPr>
      </w:pPr>
    </w:p>
    <w:p>
      <w:pPr>
        <w:ind w:left="860" w:right="3419" w:hanging="421"/>
        <w:spacing w:after="0" w:line="29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56" w:lineRule="exact"/>
        <w:rPr>
          <w:rFonts w:ascii="Courier New" w:cs="Courier New" w:eastAsia="Courier New" w:hAnsi="Courier New"/>
          <w:sz w:val="14"/>
          <w:szCs w:val="14"/>
          <w:color w:val="auto"/>
        </w:rPr>
      </w:pPr>
    </w:p>
    <w:p>
      <w:pPr>
        <w:ind w:left="1300" w:right="3519" w:hanging="430"/>
        <w:spacing w:after="0" w:line="282"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62" w:lineRule="exact"/>
        <w:rPr>
          <w:rFonts w:ascii="Courier New" w:cs="Courier New" w:eastAsia="Courier New" w:hAnsi="Courier New"/>
          <w:sz w:val="14"/>
          <w:szCs w:val="14"/>
          <w:color w:val="auto"/>
        </w:rPr>
      </w:pPr>
    </w:p>
    <w:p>
      <w:pPr>
        <w:jc w:val="both"/>
        <w:ind w:left="1300" w:right="3519" w:hanging="430"/>
        <w:spacing w:after="0" w:line="313" w:lineRule="auto"/>
        <w:tabs>
          <w:tab w:leader="none" w:pos="13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involved management or other employees who have a significant role in the Registrant's internal controls; and</w:t>
      </w:r>
    </w:p>
    <w:p>
      <w:pPr>
        <w:spacing w:after="0" w:line="42" w:lineRule="exact"/>
        <w:rPr>
          <w:rFonts w:ascii="Courier New" w:cs="Courier New" w:eastAsia="Courier New" w:hAnsi="Courier New"/>
          <w:sz w:val="14"/>
          <w:szCs w:val="14"/>
          <w:color w:val="auto"/>
        </w:rPr>
      </w:pPr>
    </w:p>
    <w:p>
      <w:pPr>
        <w:ind w:left="860" w:right="3339" w:hanging="421"/>
        <w:spacing w:after="0" w:line="27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25, 2002</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By: /s/ Bruce D. Hertzke</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Chief Executive Officer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15" w:name="page16"/>
    <w:bookmarkEnd w:id="15"/>
    <w:p>
      <w:pPr>
        <w:ind w:left="1740"/>
        <w:spacing w:after="0"/>
        <w:rPr>
          <w:sz w:val="20"/>
          <w:szCs w:val="20"/>
          <w:color w:val="auto"/>
        </w:rPr>
      </w:pPr>
      <w:r>
        <w:rPr>
          <w:rFonts w:ascii="Courier New" w:cs="Courier New" w:eastAsia="Courier New" w:hAnsi="Courier New"/>
          <w:sz w:val="14"/>
          <w:szCs w:val="14"/>
          <w:color w:val="auto"/>
        </w:rPr>
        <w:t>CERTIFICATION BY CHIEF FINANCIAL OFFICER</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PURSUANT TO 18 U.S.C. SECTION 1350,</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ADOPTED PURSUANT TO SECTION 302</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OF THE SARBANES-OXLEY ACT OF 2002</w:t>
      </w:r>
    </w:p>
    <w:p>
      <w:pPr>
        <w:spacing w:after="0" w:line="312" w:lineRule="exact"/>
        <w:rPr>
          <w:sz w:val="20"/>
          <w:szCs w:val="20"/>
          <w:color w:val="auto"/>
        </w:rPr>
      </w:pPr>
    </w:p>
    <w:p>
      <w:pPr>
        <w:ind w:right="3859"/>
        <w:spacing w:after="0" w:line="375" w:lineRule="auto"/>
        <w:rPr>
          <w:sz w:val="20"/>
          <w:szCs w:val="20"/>
          <w:color w:val="auto"/>
        </w:rPr>
      </w:pPr>
      <w:r>
        <w:rPr>
          <w:rFonts w:ascii="Courier New" w:cs="Courier New" w:eastAsia="Courier New" w:hAnsi="Courier New"/>
          <w:sz w:val="14"/>
          <w:szCs w:val="14"/>
          <w:color w:val="auto"/>
        </w:rPr>
        <w:t>I, Edwin F. Barker, Chief Financial Officer of Winnebago Industries, Inc., certify that:</w:t>
      </w:r>
    </w:p>
    <w:p>
      <w:pPr>
        <w:spacing w:after="0" w:line="1" w:lineRule="exact"/>
        <w:rPr>
          <w:sz w:val="20"/>
          <w:szCs w:val="20"/>
          <w:color w:val="auto"/>
        </w:rPr>
      </w:pPr>
    </w:p>
    <w:p>
      <w:pPr>
        <w:ind w:left="860" w:right="4199" w:hanging="421"/>
        <w:spacing w:after="0" w:line="37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Winnebago Industries, Inc. (the "Registrant");</w:t>
      </w:r>
    </w:p>
    <w:p>
      <w:pPr>
        <w:spacing w:after="0" w:line="1" w:lineRule="exact"/>
        <w:rPr>
          <w:rFonts w:ascii="Courier New" w:cs="Courier New" w:eastAsia="Courier New" w:hAnsi="Courier New"/>
          <w:sz w:val="14"/>
          <w:szCs w:val="14"/>
          <w:color w:val="auto"/>
        </w:rPr>
      </w:pPr>
    </w:p>
    <w:p>
      <w:pPr>
        <w:ind w:left="860" w:right="3419" w:hanging="421"/>
        <w:spacing w:after="0" w:line="28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Courier New" w:cs="Courier New" w:eastAsia="Courier New" w:hAnsi="Courier New"/>
          <w:sz w:val="14"/>
          <w:szCs w:val="14"/>
          <w:color w:val="auto"/>
        </w:rPr>
      </w:pPr>
    </w:p>
    <w:p>
      <w:pPr>
        <w:ind w:left="860" w:right="3419" w:hanging="421"/>
        <w:spacing w:after="0" w:line="28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2" w:lineRule="exact"/>
        <w:rPr>
          <w:rFonts w:ascii="Courier New" w:cs="Courier New" w:eastAsia="Courier New" w:hAnsi="Courier New"/>
          <w:sz w:val="14"/>
          <w:szCs w:val="14"/>
          <w:color w:val="auto"/>
        </w:rPr>
      </w:pPr>
    </w:p>
    <w:p>
      <w:pPr>
        <w:jc w:val="both"/>
        <w:ind w:left="860" w:right="3599" w:hanging="421"/>
        <w:spacing w:after="0" w:line="29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56" w:lineRule="exact"/>
        <w:rPr>
          <w:rFonts w:ascii="Courier New" w:cs="Courier New" w:eastAsia="Courier New" w:hAnsi="Courier New"/>
          <w:sz w:val="14"/>
          <w:szCs w:val="14"/>
          <w:color w:val="auto"/>
        </w:rPr>
      </w:pPr>
    </w:p>
    <w:p>
      <w:pPr>
        <w:ind w:left="1300" w:right="3519" w:hanging="430"/>
        <w:spacing w:after="0" w:line="282" w:lineRule="auto"/>
        <w:tabs>
          <w:tab w:leader="none" w:pos="13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Courier New" w:cs="Courier New" w:eastAsia="Courier New" w:hAnsi="Courier New"/>
          <w:sz w:val="14"/>
          <w:szCs w:val="14"/>
          <w:color w:val="auto"/>
        </w:rPr>
      </w:pPr>
    </w:p>
    <w:p>
      <w:pPr>
        <w:ind w:left="1300" w:right="3419" w:hanging="430"/>
        <w:spacing w:after="0" w:line="313" w:lineRule="auto"/>
        <w:tabs>
          <w:tab w:leader="none" w:pos="13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Annual Report (the "Evaluation Date"); and</w:t>
      </w:r>
    </w:p>
    <w:p>
      <w:pPr>
        <w:spacing w:after="0" w:line="42" w:lineRule="exact"/>
        <w:rPr>
          <w:rFonts w:ascii="Courier New" w:cs="Courier New" w:eastAsia="Courier New" w:hAnsi="Courier New"/>
          <w:sz w:val="14"/>
          <w:szCs w:val="14"/>
          <w:color w:val="auto"/>
        </w:rPr>
      </w:pPr>
    </w:p>
    <w:p>
      <w:pPr>
        <w:ind w:left="1300" w:right="3419" w:hanging="430"/>
        <w:spacing w:after="0" w:line="313" w:lineRule="auto"/>
        <w:tabs>
          <w:tab w:leader="none" w:pos="13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Annual Report our conclusions about the effectiveness of the disclosure controls and procedures based on our evaluation as of the Evaluation Date;</w:t>
      </w:r>
    </w:p>
    <w:p>
      <w:pPr>
        <w:spacing w:after="0" w:line="42" w:lineRule="exact"/>
        <w:rPr>
          <w:rFonts w:ascii="Courier New" w:cs="Courier New" w:eastAsia="Courier New" w:hAnsi="Courier New"/>
          <w:sz w:val="14"/>
          <w:szCs w:val="14"/>
          <w:color w:val="auto"/>
        </w:rPr>
      </w:pPr>
    </w:p>
    <w:p>
      <w:pPr>
        <w:ind w:left="860" w:right="3419" w:hanging="421"/>
        <w:spacing w:after="0" w:line="29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56" w:lineRule="exact"/>
        <w:rPr>
          <w:rFonts w:ascii="Courier New" w:cs="Courier New" w:eastAsia="Courier New" w:hAnsi="Courier New"/>
          <w:sz w:val="14"/>
          <w:szCs w:val="14"/>
          <w:color w:val="auto"/>
        </w:rPr>
      </w:pPr>
    </w:p>
    <w:p>
      <w:pPr>
        <w:ind w:left="1300" w:right="3519" w:hanging="430"/>
        <w:spacing w:after="0" w:line="282" w:lineRule="auto"/>
        <w:tabs>
          <w:tab w:leader="none" w:pos="13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62" w:lineRule="exact"/>
        <w:rPr>
          <w:rFonts w:ascii="Courier New" w:cs="Courier New" w:eastAsia="Courier New" w:hAnsi="Courier New"/>
          <w:sz w:val="14"/>
          <w:szCs w:val="14"/>
          <w:color w:val="auto"/>
        </w:rPr>
      </w:pPr>
    </w:p>
    <w:p>
      <w:pPr>
        <w:jc w:val="both"/>
        <w:ind w:left="1300" w:right="3519" w:hanging="430"/>
        <w:spacing w:after="0" w:line="313" w:lineRule="auto"/>
        <w:tabs>
          <w:tab w:leader="none" w:pos="13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involved management or other employees who have a significant role in the Registrant's internal controls; and</w:t>
      </w:r>
    </w:p>
    <w:p>
      <w:pPr>
        <w:spacing w:after="0" w:line="42" w:lineRule="exact"/>
        <w:rPr>
          <w:rFonts w:ascii="Courier New" w:cs="Courier New" w:eastAsia="Courier New" w:hAnsi="Courier New"/>
          <w:sz w:val="14"/>
          <w:szCs w:val="14"/>
          <w:color w:val="auto"/>
        </w:rPr>
      </w:pPr>
    </w:p>
    <w:p>
      <w:pPr>
        <w:ind w:left="860" w:right="3339" w:hanging="421"/>
        <w:spacing w:after="0" w:line="27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25, 2002</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/s/ Edwin F. Barker</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Edwin F. Barker</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Chief Financial Officer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2"/>
        </w:trPr>
        <w:tc>
          <w:tcPr>
            <w:tcW w:w="5860" w:type="dxa"/>
            <w:vAlign w:val="bottom"/>
          </w:tcPr>
          <w:p>
            <w:pPr>
              <w:ind w:left="1640"/>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5860" w:type="dxa"/>
            <w:vAlign w:val="bottom"/>
          </w:tcPr>
          <w:p>
            <w:pPr>
              <w:spacing w:after="0"/>
              <w:rPr>
                <w:sz w:val="20"/>
                <w:szCs w:val="20"/>
                <w:color w:val="auto"/>
              </w:rPr>
            </w:pPr>
            <w:r>
              <w:rPr>
                <w:rFonts w:ascii="Courier New" w:cs="Courier New" w:eastAsia="Courier New" w:hAnsi="Courier New"/>
                <w:sz w:val="14"/>
                <w:szCs w:val="14"/>
                <w:color w:val="auto"/>
              </w:rPr>
              <w:t>WINNEBAGO INDUSTRIES, INC. AND SUBSIDIARIES</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w w:val="99"/>
              </w:rPr>
              <w:t>*PAGE</w:t>
            </w:r>
          </w:p>
        </w:tc>
        <w:tc>
          <w:tcPr>
            <w:tcW w:w="0" w:type="dxa"/>
            <w:vAlign w:val="bottom"/>
          </w:tcPr>
          <w:p>
            <w:pPr>
              <w:spacing w:after="0"/>
              <w:rPr>
                <w:sz w:val="1"/>
                <w:szCs w:val="1"/>
                <w:color w:val="auto"/>
              </w:rPr>
            </w:pPr>
          </w:p>
        </w:tc>
      </w:tr>
      <w:tr>
        <w:trPr>
          <w:trHeight w:val="166"/>
        </w:trPr>
        <w:tc>
          <w:tcPr>
            <w:tcW w:w="5860" w:type="dxa"/>
            <w:vAlign w:val="bottom"/>
            <w:vMerge w:val="restart"/>
          </w:tcPr>
          <w:p>
            <w:pPr>
              <w:spacing w:after="0"/>
              <w:rPr>
                <w:sz w:val="20"/>
                <w:szCs w:val="20"/>
                <w:color w:val="auto"/>
              </w:rPr>
            </w:pPr>
            <w:r>
              <w:rPr>
                <w:rFonts w:ascii="Courier New" w:cs="Courier New" w:eastAsia="Courier New" w:hAnsi="Courier New"/>
                <w:sz w:val="14"/>
                <w:szCs w:val="14"/>
                <w:color w:val="auto"/>
              </w:rPr>
              <w:t>Independent Auditors' Report</w:t>
            </w:r>
          </w:p>
        </w:tc>
        <w:tc>
          <w:tcPr>
            <w:tcW w:w="10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60" w:type="dxa"/>
            <w:vAlign w:val="bottom"/>
            <w:vMerge w:val="continue"/>
          </w:tcPr>
          <w:p>
            <w:pPr>
              <w:spacing w:after="0"/>
              <w:rPr>
                <w:sz w:val="14"/>
                <w:szCs w:val="14"/>
                <w:color w:val="auto"/>
              </w:rPr>
            </w:pPr>
          </w:p>
        </w:tc>
        <w:tc>
          <w:tcPr>
            <w:tcW w:w="10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w w:val="99"/>
              </w:rPr>
              <w:t>20-21</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10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10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10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242"/>
        </w:trPr>
        <w:tc>
          <w:tcPr>
            <w:tcW w:w="58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040" w:type="dxa"/>
            <w:vAlign w:val="bottom"/>
          </w:tcPr>
          <w:p>
            <w:pPr>
              <w:ind w:left="600"/>
              <w:spacing w:after="0"/>
              <w:rPr>
                <w:sz w:val="20"/>
                <w:szCs w:val="20"/>
                <w:color w:val="auto"/>
              </w:rPr>
            </w:pPr>
            <w:r>
              <w:rPr>
                <w:rFonts w:ascii="Courier New" w:cs="Courier New" w:eastAsia="Courier New" w:hAnsi="Courier New"/>
                <w:sz w:val="14"/>
                <w:szCs w:val="14"/>
                <w:color w:val="auto"/>
                <w:w w:val="99"/>
              </w:rPr>
              <w:t>28-38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440" w:right="4899" w:hanging="346"/>
        <w:spacing w:after="0" w:line="313"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Refers to respective pages in the Company's 2002 Annual Report to Shareholders, a copy of which is attached hereto, which pages are incorporated herein by reference.</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5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Shareholders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w:t>
      </w:r>
    </w:p>
    <w:p>
      <w:pPr>
        <w:spacing w:after="0" w:line="312"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We have audited the consolidated financial statements of Winnebago Industries, Inc. and subsidiaries (the Company) as of August 31, 2002 and August 25, 2001 and for each of the three years in the period ended August 31, 2002 and have issued our report thereon dated October 4, 2002. Such consolidated financial statements and report are included in your fiscal 2002 Annual Report to Shareholders and are incorporated herein by reference. Our audits also included the consolidated financial statement schedule of the Company,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3"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Deloitte &amp; Touche LLP Minneapolis, Minnesota October 4, 2002</w:t>
      </w:r>
    </w:p>
    <w:p>
      <w:pPr>
        <w:spacing w:after="0" w:line="2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56"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2"/>
        </w:trPr>
        <w:tc>
          <w:tcPr>
            <w:tcW w:w="6420" w:type="dxa"/>
            <w:vAlign w:val="bottom"/>
            <w:gridSpan w:val="4"/>
          </w:tcPr>
          <w:p>
            <w:pPr>
              <w:ind w:left="1640"/>
              <w:spacing w:after="0"/>
              <w:rPr>
                <w:sz w:val="20"/>
                <w:szCs w:val="20"/>
                <w:color w:val="auto"/>
              </w:rPr>
            </w:pPr>
            <w:r>
              <w:rPr>
                <w:rFonts w:ascii="Courier New" w:cs="Courier New" w:eastAsia="Courier New" w:hAnsi="Courier New"/>
                <w:sz w:val="14"/>
                <w:szCs w:val="14"/>
                <w:color w:val="auto"/>
              </w:rPr>
              <w:t>WINNEBAGO INDUSTRIES, INC. AND SUBSIDIARIES</w:t>
            </w:r>
          </w:p>
        </w:tc>
        <w:tc>
          <w:tcPr>
            <w:tcW w:w="1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SCHEDULE II --</w:t>
            </w:r>
          </w:p>
        </w:tc>
        <w:tc>
          <w:tcPr>
            <w:tcW w:w="374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VALUATION AND QUALIFYING ACCOUNTS</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76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(Dollars in thousands)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680" w:type="dxa"/>
            <w:vAlign w:val="bottom"/>
            <w:vMerge w:val="restart"/>
          </w:tcPr>
          <w:p>
            <w:pPr>
              <w:ind w:left="1300"/>
              <w:spacing w:after="0"/>
              <w:rPr>
                <w:sz w:val="20"/>
                <w:szCs w:val="20"/>
                <w:color w:val="auto"/>
              </w:rPr>
            </w:pPr>
            <w:r>
              <w:rPr>
                <w:rFonts w:ascii="Courier New" w:cs="Courier New" w:eastAsia="Courier New" w:hAnsi="Courier New"/>
                <w:sz w:val="14"/>
                <w:szCs w:val="14"/>
                <w:color w:val="auto"/>
              </w:rPr>
              <w:t>COLUMN</w:t>
            </w:r>
          </w:p>
        </w:tc>
        <w:tc>
          <w:tcPr>
            <w:tcW w:w="520" w:type="dxa"/>
            <w:vAlign w:val="bottom"/>
          </w:tcPr>
          <w:p>
            <w:pPr>
              <w:spacing w:after="0"/>
              <w:rPr>
                <w:sz w:val="14"/>
                <w:szCs w:val="14"/>
                <w:color w:val="auto"/>
              </w:rPr>
            </w:pPr>
          </w:p>
        </w:tc>
        <w:tc>
          <w:tcPr>
            <w:tcW w:w="834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COLUMN</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COLUMN</w:t>
            </w:r>
          </w:p>
        </w:tc>
        <w:tc>
          <w:tcPr>
            <w:tcW w:w="134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COLUMN</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COLUMN</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COLUMN</w:t>
            </w:r>
          </w:p>
        </w:tc>
        <w:tc>
          <w:tcPr>
            <w:tcW w:w="0" w:type="dxa"/>
            <w:vAlign w:val="bottom"/>
          </w:tcPr>
          <w:p>
            <w:pPr>
              <w:spacing w:after="0"/>
              <w:rPr>
                <w:sz w:val="1"/>
                <w:szCs w:val="1"/>
                <w:color w:val="auto"/>
              </w:rPr>
            </w:pPr>
          </w:p>
        </w:tc>
      </w:tr>
      <w:tr>
        <w:trPr>
          <w:trHeight w:val="166"/>
        </w:trPr>
        <w:tc>
          <w:tcPr>
            <w:tcW w:w="2680" w:type="dxa"/>
            <w:vAlign w:val="bottom"/>
          </w:tcPr>
          <w:p>
            <w:pPr>
              <w:ind w:left="1560"/>
              <w:spacing w:after="0"/>
              <w:rPr>
                <w:sz w:val="20"/>
                <w:szCs w:val="20"/>
                <w:color w:val="auto"/>
              </w:rPr>
            </w:pPr>
            <w:r>
              <w:rPr>
                <w:rFonts w:ascii="Courier New" w:cs="Courier New" w:eastAsia="Courier New" w:hAnsi="Courier New"/>
                <w:sz w:val="14"/>
                <w:szCs w:val="14"/>
                <w:color w:val="auto"/>
              </w:rPr>
              <w:t>A</w:t>
            </w:r>
          </w:p>
        </w:tc>
        <w:tc>
          <w:tcPr>
            <w:tcW w:w="52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34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E</w:t>
            </w: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F</w:t>
            </w: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w w:val="99"/>
              </w:rPr>
              <w:t>- ------------------------------------</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ADDITIONS</w:t>
            </w:r>
          </w:p>
        </w:tc>
        <w:tc>
          <w:tcPr>
            <w:tcW w:w="1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DEDUC-</w:t>
            </w:r>
          </w:p>
        </w:tc>
        <w:tc>
          <w:tcPr>
            <w:tcW w:w="1260" w:type="dxa"/>
            <w:vAlign w:val="bottom"/>
          </w:tcPr>
          <w:p>
            <w:pPr>
              <w:spacing w:after="0"/>
              <w:rPr>
                <w:sz w:val="14"/>
                <w:szCs w:val="14"/>
                <w:color w:val="auto"/>
              </w:rPr>
            </w:pPr>
          </w:p>
        </w:tc>
        <w:tc>
          <w:tcPr>
            <w:tcW w:w="10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BALANCE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BALANCE AT</w:t>
            </w:r>
          </w:p>
        </w:tc>
        <w:tc>
          <w:tcPr>
            <w:tcW w:w="28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(REDUCTIONS)</w:t>
            </w:r>
          </w:p>
        </w:tc>
        <w:tc>
          <w:tcPr>
            <w:tcW w:w="14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CHARGED TO</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BAD DEBTS</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TIONS</w:t>
            </w:r>
          </w:p>
        </w:tc>
        <w:tc>
          <w:tcPr>
            <w:tcW w:w="1260" w:type="dxa"/>
            <w:vAlign w:val="bottom"/>
          </w:tcPr>
          <w:p>
            <w:pPr>
              <w:spacing w:after="0"/>
              <w:rPr>
                <w:sz w:val="14"/>
                <w:szCs w:val="14"/>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AT END</w:t>
            </w:r>
          </w:p>
        </w:tc>
        <w:tc>
          <w:tcPr>
            <w:tcW w:w="0" w:type="dxa"/>
            <w:vAlign w:val="bottom"/>
          </w:tcPr>
          <w:p>
            <w:pPr>
              <w:spacing w:after="0"/>
              <w:rPr>
                <w:sz w:val="1"/>
                <w:szCs w:val="1"/>
                <w:color w:val="auto"/>
              </w:rPr>
            </w:pPr>
          </w:p>
        </w:tc>
      </w:tr>
      <w:tr>
        <w:trPr>
          <w:trHeight w:val="166"/>
        </w:trPr>
        <w:tc>
          <w:tcPr>
            <w:tcW w:w="268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PERIOD AND DESCRIPTION</w:t>
            </w:r>
          </w:p>
        </w:tc>
        <w:tc>
          <w:tcPr>
            <w:tcW w:w="520" w:type="dxa"/>
            <w:vAlign w:val="bottom"/>
          </w:tcPr>
          <w:p>
            <w:pPr>
              <w:spacing w:after="0"/>
              <w:rPr>
                <w:sz w:val="14"/>
                <w:szCs w:val="14"/>
                <w:color w:val="auto"/>
              </w:rPr>
            </w:pP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BEGINNING</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COST AND</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CHARGE-</w:t>
            </w:r>
          </w:p>
        </w:tc>
        <w:tc>
          <w:tcPr>
            <w:tcW w:w="12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OF PERIOD</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EXPENSES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COVERIES</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OFFS</w:t>
            </w:r>
          </w:p>
        </w:tc>
        <w:tc>
          <w:tcPr>
            <w:tcW w:w="1260" w:type="dxa"/>
            <w:vAlign w:val="bottom"/>
            <w:vMerge w:val="continue"/>
          </w:tcPr>
          <w:p>
            <w:pPr>
              <w:spacing w:after="0"/>
              <w:rPr>
                <w:sz w:val="14"/>
                <w:szCs w:val="14"/>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PERIOD</w:t>
            </w:r>
          </w:p>
        </w:tc>
        <w:tc>
          <w:tcPr>
            <w:tcW w:w="0" w:type="dxa"/>
            <w:vAlign w:val="bottom"/>
          </w:tcPr>
          <w:p>
            <w:pPr>
              <w:spacing w:after="0"/>
              <w:rPr>
                <w:sz w:val="1"/>
                <w:szCs w:val="1"/>
                <w:color w:val="auto"/>
              </w:rPr>
            </w:pPr>
          </w:p>
        </w:tc>
      </w:tr>
      <w:tr>
        <w:trPr>
          <w:trHeight w:val="24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w w:val="99"/>
              </w:rPr>
              <w:t>- ------------------------------------</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Ended August 31, 2002:</w:t>
            </w:r>
          </w:p>
        </w:tc>
        <w:tc>
          <w:tcPr>
            <w:tcW w:w="520" w:type="dxa"/>
            <w:vAlign w:val="bottom"/>
          </w:tcPr>
          <w:p>
            <w:pPr>
              <w:spacing w:after="0"/>
              <w:rPr>
                <w:sz w:val="22"/>
                <w:szCs w:val="22"/>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8,072</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$ 10,746</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$ 10,667</w:t>
            </w:r>
          </w:p>
        </w:tc>
        <w:tc>
          <w:tcPr>
            <w:tcW w:w="1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  -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$ 8,151</w:t>
            </w:r>
          </w:p>
        </w:tc>
        <w:tc>
          <w:tcPr>
            <w:tcW w:w="0" w:type="dxa"/>
            <w:vAlign w:val="bottom"/>
          </w:tcPr>
          <w:p>
            <w:pPr>
              <w:spacing w:after="0"/>
              <w:rPr>
                <w:sz w:val="1"/>
                <w:szCs w:val="1"/>
                <w:color w:val="auto"/>
              </w:rPr>
            </w:pPr>
          </w:p>
        </w:tc>
      </w:tr>
      <w:tr>
        <w:trPr>
          <w:trHeight w:val="166"/>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Provision for warranty reserve</w:t>
            </w: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244</w:t>
            </w:r>
          </w:p>
        </w:tc>
        <w:tc>
          <w:tcPr>
            <w:tcW w:w="15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82</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120</w:t>
            </w:r>
          </w:p>
        </w:tc>
        <w:tc>
          <w:tcPr>
            <w:tcW w:w="0" w:type="dxa"/>
            <w:vAlign w:val="bottom"/>
          </w:tcPr>
          <w:p>
            <w:pPr>
              <w:spacing w:after="0"/>
              <w:rPr>
                <w:sz w:val="1"/>
                <w:szCs w:val="1"/>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117</w:t>
            </w:r>
          </w:p>
        </w:tc>
        <w:tc>
          <w:tcPr>
            <w:tcW w:w="15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dealer receivables</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25</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42"/>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52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Ended August 25, 2001:</w:t>
            </w: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Provision for warranty reserve</w:t>
            </w: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8,114</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9,711</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9,753</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8,072</w:t>
            </w:r>
          </w:p>
        </w:tc>
        <w:tc>
          <w:tcPr>
            <w:tcW w:w="0" w:type="dxa"/>
            <w:vAlign w:val="bottom"/>
          </w:tcPr>
          <w:p>
            <w:pPr>
              <w:spacing w:after="0"/>
              <w:rPr>
                <w:sz w:val="1"/>
                <w:szCs w:val="1"/>
                <w:color w:val="auto"/>
              </w:rPr>
            </w:pPr>
          </w:p>
        </w:tc>
      </w:tr>
      <w:tr>
        <w:trPr>
          <w:trHeight w:val="166"/>
        </w:trPr>
        <w:tc>
          <w:tcPr>
            <w:tcW w:w="26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1,168</w:t>
            </w:r>
          </w:p>
        </w:tc>
        <w:tc>
          <w:tcPr>
            <w:tcW w:w="15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3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848</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244</w:t>
            </w:r>
          </w:p>
        </w:tc>
        <w:tc>
          <w:tcPr>
            <w:tcW w:w="0" w:type="dxa"/>
            <w:vAlign w:val="bottom"/>
          </w:tcPr>
          <w:p>
            <w:pPr>
              <w:spacing w:after="0"/>
              <w:rPr>
                <w:sz w:val="1"/>
                <w:szCs w:val="1"/>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79</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117</w:t>
            </w:r>
          </w:p>
        </w:tc>
        <w:tc>
          <w:tcPr>
            <w:tcW w:w="0" w:type="dxa"/>
            <w:vAlign w:val="bottom"/>
          </w:tcPr>
          <w:p>
            <w:pPr>
              <w:spacing w:after="0"/>
              <w:rPr>
                <w:sz w:val="1"/>
                <w:szCs w:val="1"/>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dealer receivables</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250</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 - -</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250</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242"/>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52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Ended August 26, 2000:</w:t>
            </w: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Provision for warranty reserve</w:t>
            </w: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6,407</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8,728</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7,021</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8,114</w:t>
            </w:r>
          </w:p>
        </w:tc>
        <w:tc>
          <w:tcPr>
            <w:tcW w:w="0" w:type="dxa"/>
            <w:vAlign w:val="bottom"/>
          </w:tcPr>
          <w:p>
            <w:pPr>
              <w:spacing w:after="0"/>
              <w:rPr>
                <w:sz w:val="1"/>
                <w:szCs w:val="1"/>
                <w:color w:val="auto"/>
              </w:rPr>
            </w:pPr>
          </w:p>
        </w:tc>
      </w:tr>
      <w:tr>
        <w:trPr>
          <w:trHeight w:val="166"/>
        </w:trPr>
        <w:tc>
          <w:tcPr>
            <w:tcW w:w="268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960</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263</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55</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1,168</w:t>
            </w:r>
          </w:p>
        </w:tc>
        <w:tc>
          <w:tcPr>
            <w:tcW w:w="0" w:type="dxa"/>
            <w:vAlign w:val="bottom"/>
          </w:tcPr>
          <w:p>
            <w:pPr>
              <w:spacing w:after="0"/>
              <w:rPr>
                <w:sz w:val="1"/>
                <w:szCs w:val="1"/>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73</w:t>
            </w:r>
          </w:p>
        </w:tc>
        <w:tc>
          <w:tcPr>
            <w:tcW w:w="15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(59)</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dealer receivables</w:t>
            </w:r>
          </w:p>
        </w:tc>
        <w:tc>
          <w:tcPr>
            <w:tcW w:w="5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w:t>
            </w:r>
          </w:p>
        </w:tc>
        <w:tc>
          <w:tcPr>
            <w:tcW w:w="520" w:type="dxa"/>
            <w:vAlign w:val="bottom"/>
          </w:tcPr>
          <w:p>
            <w:pPr>
              <w:spacing w:after="0"/>
              <w:rPr>
                <w:sz w:val="14"/>
                <w:szCs w:val="14"/>
                <w:color w:val="auto"/>
              </w:rPr>
            </w:pPr>
          </w:p>
        </w:tc>
        <w:tc>
          <w:tcPr>
            <w:tcW w:w="16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262</w:t>
            </w:r>
          </w:p>
        </w:tc>
        <w:tc>
          <w:tcPr>
            <w:tcW w:w="15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 - -</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250</w:t>
            </w:r>
          </w:p>
        </w:tc>
        <w:tc>
          <w:tcPr>
            <w:tcW w:w="0" w:type="dxa"/>
            <w:vAlign w:val="bottom"/>
          </w:tcPr>
          <w:p>
            <w:pPr>
              <w:spacing w:after="0"/>
              <w:rPr>
                <w:sz w:val="1"/>
                <w:szCs w:val="1"/>
                <w:color w:val="auto"/>
              </w:rPr>
            </w:pPr>
          </w:p>
        </w:tc>
      </w:tr>
      <w:tr>
        <w:trPr>
          <w:trHeight w:val="242"/>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notes receivable</w:t>
            </w:r>
          </w:p>
        </w:tc>
        <w:tc>
          <w:tcPr>
            <w:tcW w:w="52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18</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756" w:right="139" w:bottom="1440" w:gutter="0" w:footer="0" w:header="0"/>
        </w:sectPr>
      </w:pPr>
    </w:p>
    <w:bookmarkStart w:id="19" w:name="page20"/>
    <w:bookmarkEnd w:id="19"/>
    <w:p>
      <w:pPr>
        <w:ind w:left="250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ind w:right="3419" w:hanging="439"/>
        <w:spacing w:after="0" w:line="313" w:lineRule="auto"/>
        <w:rPr>
          <w:sz w:val="20"/>
          <w:szCs w:val="20"/>
          <w:color w:val="auto"/>
        </w:rPr>
      </w:pPr>
      <w:r>
        <w:rPr>
          <w:rFonts w:ascii="Courier New" w:cs="Courier New" w:eastAsia="Courier New" w:hAnsi="Courier New"/>
          <w:sz w:val="14"/>
          <w:szCs w:val="14"/>
          <w:color w:val="auto"/>
        </w:rPr>
        <w:t>3a.</w:t>
      </w:r>
      <w:r>
        <w:rPr>
          <w:sz w:val="20"/>
          <w:szCs w:val="20"/>
          <w:color w:val="auto"/>
        </w:rPr>
        <w:t xml:space="preserve"> </w:t>
      </w:r>
      <w:r>
        <w:rPr>
          <w:rFonts w:ascii="Courier New" w:cs="Courier New" w:eastAsia="Courier New" w:hAnsi="Courier New"/>
          <w:sz w:val="14"/>
          <w:szCs w:val="14"/>
          <w:color w:val="auto"/>
        </w:rPr>
        <w:t>Articles of Incorporation previously filed with the Registrant's Quarterly Report on Form 10-Q for the quarter ended May 27, 2000 (Commission File Number 1-6403), and incorporated by reference herein.</w:t>
      </w:r>
    </w:p>
    <w:p>
      <w:pPr>
        <w:spacing w:after="0" w:line="42" w:lineRule="exact"/>
        <w:rPr>
          <w:sz w:val="20"/>
          <w:szCs w:val="20"/>
          <w:color w:val="auto"/>
        </w:rPr>
      </w:pPr>
    </w:p>
    <w:p>
      <w:pPr>
        <w:ind w:right="3679" w:hanging="439"/>
        <w:spacing w:after="0" w:line="313" w:lineRule="auto"/>
        <w:rPr>
          <w:sz w:val="20"/>
          <w:szCs w:val="20"/>
          <w:color w:val="auto"/>
        </w:rPr>
      </w:pPr>
      <w:r>
        <w:rPr>
          <w:rFonts w:ascii="Courier New" w:cs="Courier New" w:eastAsia="Courier New" w:hAnsi="Courier New"/>
          <w:sz w:val="14"/>
          <w:szCs w:val="14"/>
          <w:color w:val="auto"/>
        </w:rPr>
        <w:t>3b.</w:t>
      </w:r>
      <w:r>
        <w:rPr>
          <w:sz w:val="20"/>
          <w:szCs w:val="20"/>
          <w:color w:val="auto"/>
        </w:rPr>
        <w:t xml:space="preserve"> </w:t>
      </w:r>
      <w:r>
        <w:rPr>
          <w:rFonts w:ascii="Courier New" w:cs="Courier New" w:eastAsia="Courier New" w:hAnsi="Courier New"/>
          <w:sz w:val="14"/>
          <w:szCs w:val="14"/>
          <w:color w:val="auto"/>
        </w:rPr>
        <w:t>Amended Bylaws of the Registrant previously filed with the Registrant's Quarterly Report on Form 10-Q for the quarter ended March 2, 2002 (Commission File Number 1-6403), and incorporated by reference herein.</w:t>
      </w:r>
    </w:p>
    <w:p>
      <w:pPr>
        <w:spacing w:after="0" w:line="42" w:lineRule="exact"/>
        <w:rPr>
          <w:sz w:val="20"/>
          <w:szCs w:val="20"/>
          <w:color w:val="auto"/>
        </w:rPr>
      </w:pPr>
    </w:p>
    <w:p>
      <w:pPr>
        <w:ind w:right="3419" w:hanging="439"/>
        <w:spacing w:after="0" w:line="292" w:lineRule="auto"/>
        <w:rPr>
          <w:sz w:val="20"/>
          <w:szCs w:val="20"/>
          <w:color w:val="auto"/>
        </w:rPr>
      </w:pPr>
      <w:r>
        <w:rPr>
          <w:rFonts w:ascii="Courier New" w:cs="Courier New" w:eastAsia="Courier New" w:hAnsi="Courier New"/>
          <w:sz w:val="14"/>
          <w:szCs w:val="14"/>
          <w:color w:val="auto"/>
        </w:rPr>
        <w:t>4a.</w:t>
      </w:r>
      <w:r>
        <w:rPr>
          <w:sz w:val="20"/>
          <w:szCs w:val="20"/>
          <w:color w:val="auto"/>
        </w:rPr>
        <w:t xml:space="preserve"> </w:t>
      </w:r>
      <w:r>
        <w:rPr>
          <w:rFonts w:ascii="Courier New" w:cs="Courier New" w:eastAsia="Courier New" w:hAnsi="Courier New"/>
          <w:sz w:val="14"/>
          <w:szCs w:val="14"/>
          <w:color w:val="auto"/>
        </w:rPr>
        <w:t>Letter of Intent dated March 1, 2002 among Winnebago Industries, Inc., Forest City Economic Development, and CDI, LLC filed with the Registrant's Quarterly Report on Form 10-Q for the quarter ended March 2, 2002 (Commission File Number 1-6403), and incorporated by reference herein.</w:t>
      </w:r>
    </w:p>
    <w:p>
      <w:pPr>
        <w:spacing w:after="0" w:line="56" w:lineRule="exact"/>
        <w:rPr>
          <w:sz w:val="20"/>
          <w:szCs w:val="20"/>
          <w:color w:val="auto"/>
        </w:rPr>
      </w:pPr>
    </w:p>
    <w:p>
      <w:pPr>
        <w:ind w:right="3519" w:hanging="439"/>
        <w:spacing w:after="0" w:line="292" w:lineRule="auto"/>
        <w:rPr>
          <w:sz w:val="20"/>
          <w:szCs w:val="20"/>
          <w:color w:val="auto"/>
        </w:rPr>
      </w:pPr>
      <w:r>
        <w:rPr>
          <w:rFonts w:ascii="Courier New" w:cs="Courier New" w:eastAsia="Courier New" w:hAnsi="Courier New"/>
          <w:sz w:val="14"/>
          <w:szCs w:val="14"/>
          <w:color w:val="auto"/>
        </w:rPr>
        <w:t>10a.</w:t>
      </w:r>
      <w:r>
        <w:rPr>
          <w:sz w:val="20"/>
          <w:szCs w:val="20"/>
          <w:color w:val="auto"/>
        </w:rPr>
        <w:t xml:space="preserve"> </w:t>
      </w:r>
      <w:r>
        <w:rPr>
          <w:rFonts w:ascii="Courier New" w:cs="Courier New" w:eastAsia="Courier New" w:hAnsi="Courier New"/>
          <w:sz w:val="14"/>
          <w:szCs w:val="14"/>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56" w:lineRule="exact"/>
        <w:rPr>
          <w:sz w:val="20"/>
          <w:szCs w:val="20"/>
          <w:color w:val="auto"/>
        </w:rPr>
      </w:pPr>
    </w:p>
    <w:p>
      <w:pPr>
        <w:ind w:right="3519" w:hanging="439"/>
        <w:spacing w:after="0" w:line="292" w:lineRule="auto"/>
        <w:rPr>
          <w:sz w:val="20"/>
          <w:szCs w:val="20"/>
          <w:color w:val="auto"/>
        </w:rPr>
      </w:pPr>
      <w:r>
        <w:rPr>
          <w:rFonts w:ascii="Courier New" w:cs="Courier New" w:eastAsia="Courier New" w:hAnsi="Courier New"/>
          <w:sz w:val="14"/>
          <w:szCs w:val="14"/>
          <w:color w:val="auto"/>
        </w:rPr>
        <w:t>10b.</w:t>
      </w:r>
      <w:r>
        <w:rPr>
          <w:sz w:val="20"/>
          <w:szCs w:val="20"/>
          <w:color w:val="auto"/>
        </w:rPr>
        <w:t xml:space="preserve"> </w:t>
      </w:r>
      <w:r>
        <w:rPr>
          <w:rFonts w:ascii="Courier New" w:cs="Courier New" w:eastAsia="Courier New" w:hAnsi="Courier New"/>
          <w:sz w:val="14"/>
          <w:szCs w:val="14"/>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56" w:lineRule="exact"/>
        <w:rPr>
          <w:sz w:val="20"/>
          <w:szCs w:val="20"/>
          <w:color w:val="auto"/>
        </w:rPr>
      </w:pPr>
    </w:p>
    <w:p>
      <w:pPr>
        <w:jc w:val="both"/>
        <w:ind w:right="3339" w:hanging="439"/>
        <w:spacing w:after="0" w:line="292" w:lineRule="auto"/>
        <w:rPr>
          <w:sz w:val="20"/>
          <w:szCs w:val="20"/>
          <w:color w:val="auto"/>
        </w:rPr>
      </w:pPr>
      <w:r>
        <w:rPr>
          <w:rFonts w:ascii="Courier New" w:cs="Courier New" w:eastAsia="Courier New" w:hAnsi="Courier New"/>
          <w:sz w:val="14"/>
          <w:szCs w:val="14"/>
          <w:color w:val="auto"/>
        </w:rPr>
        <w:t>10c.</w:t>
      </w:r>
      <w:r>
        <w:rPr>
          <w:sz w:val="20"/>
          <w:szCs w:val="20"/>
          <w:color w:val="auto"/>
        </w:rPr>
        <w:t xml:space="preserve"> </w:t>
      </w:r>
      <w:r>
        <w:rPr>
          <w:rFonts w:ascii="Courier New" w:cs="Courier New" w:eastAsia="Courier New" w:hAnsi="Courier New"/>
          <w:sz w:val="14"/>
          <w:szCs w:val="14"/>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56" w:lineRule="exact"/>
        <w:rPr>
          <w:sz w:val="20"/>
          <w:szCs w:val="20"/>
          <w:color w:val="auto"/>
        </w:rPr>
      </w:pPr>
    </w:p>
    <w:p>
      <w:pPr>
        <w:jc w:val="both"/>
        <w:ind w:right="3419" w:hanging="439"/>
        <w:spacing w:after="0" w:line="292" w:lineRule="auto"/>
        <w:rPr>
          <w:sz w:val="20"/>
          <w:szCs w:val="20"/>
          <w:color w:val="auto"/>
        </w:rPr>
      </w:pPr>
      <w:r>
        <w:rPr>
          <w:rFonts w:ascii="Courier New" w:cs="Courier New" w:eastAsia="Courier New" w:hAnsi="Courier New"/>
          <w:sz w:val="14"/>
          <w:szCs w:val="14"/>
          <w:color w:val="auto"/>
        </w:rPr>
        <w:t>10d.</w:t>
      </w:r>
      <w:r>
        <w:rPr>
          <w:sz w:val="20"/>
          <w:szCs w:val="20"/>
          <w:color w:val="auto"/>
        </w:rPr>
        <w:t xml:space="preserve"> </w:t>
      </w:r>
      <w:r>
        <w:rPr>
          <w:rFonts w:ascii="Courier New" w:cs="Courier New" w:eastAsia="Courier New" w:hAnsi="Courier New"/>
          <w:sz w:val="14"/>
          <w:szCs w:val="14"/>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56" w:lineRule="exact"/>
        <w:rPr>
          <w:sz w:val="20"/>
          <w:szCs w:val="20"/>
          <w:color w:val="auto"/>
        </w:rPr>
      </w:pPr>
    </w:p>
    <w:p>
      <w:pPr>
        <w:ind w:right="3339" w:hanging="439"/>
        <w:spacing w:after="0" w:line="292" w:lineRule="auto"/>
        <w:rPr>
          <w:sz w:val="20"/>
          <w:szCs w:val="20"/>
          <w:color w:val="auto"/>
        </w:rPr>
      </w:pPr>
      <w:r>
        <w:rPr>
          <w:rFonts w:ascii="Courier New" w:cs="Courier New" w:eastAsia="Courier New" w:hAnsi="Courier New"/>
          <w:sz w:val="14"/>
          <w:szCs w:val="14"/>
          <w:color w:val="auto"/>
        </w:rPr>
        <w:t>10e.</w:t>
      </w:r>
      <w:r>
        <w:rPr>
          <w:sz w:val="20"/>
          <w:szCs w:val="20"/>
          <w:color w:val="auto"/>
        </w:rPr>
        <w:t xml:space="preserve"> </w:t>
      </w:r>
      <w:r>
        <w:rPr>
          <w:rFonts w:ascii="Courier New" w:cs="Courier New" w:eastAsia="Courier New" w:hAnsi="Courier New"/>
          <w:sz w:val="14"/>
          <w:szCs w:val="14"/>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56" w:lineRule="exact"/>
        <w:rPr>
          <w:sz w:val="20"/>
          <w:szCs w:val="20"/>
          <w:color w:val="auto"/>
        </w:rPr>
      </w:pPr>
    </w:p>
    <w:p>
      <w:pPr>
        <w:ind w:right="3339" w:hanging="439"/>
        <w:spacing w:after="0" w:line="299" w:lineRule="auto"/>
        <w:rPr>
          <w:sz w:val="20"/>
          <w:szCs w:val="20"/>
          <w:color w:val="auto"/>
        </w:rPr>
      </w:pPr>
      <w:r>
        <w:rPr>
          <w:rFonts w:ascii="Courier New" w:cs="Courier New" w:eastAsia="Courier New" w:hAnsi="Courier New"/>
          <w:sz w:val="14"/>
          <w:szCs w:val="14"/>
          <w:color w:val="auto"/>
        </w:rPr>
        <w:t>10f.</w:t>
      </w:r>
      <w:r>
        <w:rPr>
          <w:sz w:val="20"/>
          <w:szCs w:val="20"/>
          <w:color w:val="auto"/>
        </w:rPr>
        <w:t xml:space="preserve"> </w:t>
      </w:r>
      <w:r>
        <w:rPr>
          <w:rFonts w:ascii="Courier New" w:cs="Courier New" w:eastAsia="Courier New" w:hAnsi="Courier New"/>
          <w:sz w:val="14"/>
          <w:szCs w:val="14"/>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235" w:lineRule="exact"/>
        <w:rPr>
          <w:sz w:val="20"/>
          <w:szCs w:val="20"/>
          <w:color w:val="auto"/>
        </w:rPr>
      </w:pPr>
    </w:p>
    <w:p>
      <w:pPr>
        <w:ind w:right="3599" w:hanging="439"/>
        <w:spacing w:after="0" w:line="271" w:lineRule="auto"/>
        <w:rPr>
          <w:sz w:val="20"/>
          <w:szCs w:val="20"/>
          <w:color w:val="auto"/>
        </w:rPr>
      </w:pPr>
      <w:r>
        <w:rPr>
          <w:rFonts w:ascii="Courier New" w:cs="Courier New" w:eastAsia="Courier New" w:hAnsi="Courier New"/>
          <w:sz w:val="14"/>
          <w:szCs w:val="14"/>
          <w:color w:val="auto"/>
        </w:rPr>
        <w:t>10g.</w:t>
      </w:r>
      <w:r>
        <w:rPr>
          <w:sz w:val="20"/>
          <w:szCs w:val="20"/>
          <w:color w:val="auto"/>
        </w:rPr>
        <w:t xml:space="preserve"> </w:t>
      </w:r>
      <w:r>
        <w:rPr>
          <w:rFonts w:ascii="Courier New" w:cs="Courier New" w:eastAsia="Courier New" w:hAnsi="Courier New"/>
          <w:sz w:val="14"/>
          <w:szCs w:val="14"/>
          <w:color w:val="auto"/>
        </w:rPr>
        <w:t>Amendment to Winnebago Industries, Inc. Executive Share Option Plan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Number 1-6403), and incorporated by reference herein.</w:t>
      </w:r>
    </w:p>
    <w:p>
      <w:pPr>
        <w:spacing w:after="0" w:line="72" w:lineRule="exact"/>
        <w:rPr>
          <w:sz w:val="20"/>
          <w:szCs w:val="20"/>
          <w:color w:val="auto"/>
        </w:rPr>
      </w:pPr>
    </w:p>
    <w:p>
      <w:pPr>
        <w:ind w:right="3519" w:hanging="439"/>
        <w:spacing w:after="0" w:line="282" w:lineRule="auto"/>
        <w:rPr>
          <w:sz w:val="20"/>
          <w:szCs w:val="20"/>
          <w:color w:val="auto"/>
        </w:rPr>
      </w:pPr>
      <w:r>
        <w:rPr>
          <w:rFonts w:ascii="Courier New" w:cs="Courier New" w:eastAsia="Courier New" w:hAnsi="Courier New"/>
          <w:sz w:val="14"/>
          <w:szCs w:val="14"/>
          <w:color w:val="auto"/>
        </w:rPr>
        <w:t>10h.</w:t>
      </w:r>
      <w:r>
        <w:rPr>
          <w:sz w:val="20"/>
          <w:szCs w:val="20"/>
          <w:color w:val="auto"/>
        </w:rPr>
        <w:t xml:space="preserve"> </w:t>
      </w:r>
      <w:r>
        <w:rPr>
          <w:rFonts w:ascii="Courier New" w:cs="Courier New" w:eastAsia="Courier New" w:hAnsi="Courier New"/>
          <w:sz w:val="14"/>
          <w:szCs w:val="14"/>
          <w:color w:val="auto"/>
        </w:rPr>
        <w:t>Winnebago Industries, Inc. Officers' Long-Term Incentive Plan, fiscal three-year period 2001, 2002 and 2003 previously filed with the Registrant's Annual Report on Form 10-K for the fiscal year ended August 26, 2000 (Commission Report Number 1-6403), and incorporated by reference herein.</w:t>
      </w:r>
    </w:p>
    <w:p>
      <w:pPr>
        <w:spacing w:after="0" w:line="62" w:lineRule="exact"/>
        <w:rPr>
          <w:sz w:val="20"/>
          <w:szCs w:val="20"/>
          <w:color w:val="auto"/>
        </w:rPr>
      </w:pPr>
    </w:p>
    <w:p>
      <w:pPr>
        <w:jc w:val="both"/>
        <w:ind w:right="3419" w:hanging="439"/>
        <w:spacing w:after="0" w:line="313" w:lineRule="auto"/>
        <w:rPr>
          <w:sz w:val="20"/>
          <w:szCs w:val="20"/>
          <w:color w:val="auto"/>
        </w:rPr>
      </w:pPr>
      <w:r>
        <w:rPr>
          <w:rFonts w:ascii="Courier New" w:cs="Courier New" w:eastAsia="Courier New" w:hAnsi="Courier New"/>
          <w:sz w:val="14"/>
          <w:szCs w:val="14"/>
          <w:color w:val="auto"/>
        </w:rPr>
        <w:t>10i.</w:t>
      </w:r>
      <w:r>
        <w:rPr>
          <w:sz w:val="20"/>
          <w:szCs w:val="20"/>
          <w:color w:val="auto"/>
        </w:rPr>
        <w:t xml:space="preserve"> </w:t>
      </w:r>
      <w:r>
        <w:rPr>
          <w:rFonts w:ascii="Courier New" w:cs="Courier New" w:eastAsia="Courier New" w:hAnsi="Courier New"/>
          <w:sz w:val="14"/>
          <w:szCs w:val="14"/>
          <w:color w:val="auto"/>
        </w:rPr>
        <w:t>Winnebago Industries, Inc. Rights Plan Agreement previously filed with the Registrant's Current Report on Form 8-K dated May 3, 2000 (Commission File Number 1-6403) and incorporated by reference herein.</w:t>
      </w:r>
    </w:p>
    <w:p>
      <w:pPr>
        <w:spacing w:after="0" w:line="42" w:lineRule="exact"/>
        <w:rPr>
          <w:sz w:val="20"/>
          <w:szCs w:val="20"/>
          <w:color w:val="auto"/>
        </w:rPr>
      </w:pPr>
    </w:p>
    <w:p>
      <w:pPr>
        <w:ind w:right="3519" w:hanging="439"/>
        <w:spacing w:after="0" w:line="282" w:lineRule="auto"/>
        <w:rPr>
          <w:sz w:val="20"/>
          <w:szCs w:val="20"/>
          <w:color w:val="auto"/>
        </w:rPr>
      </w:pPr>
      <w:r>
        <w:rPr>
          <w:rFonts w:ascii="Courier New" w:cs="Courier New" w:eastAsia="Courier New" w:hAnsi="Courier New"/>
          <w:sz w:val="14"/>
          <w:szCs w:val="14"/>
          <w:color w:val="auto"/>
        </w:rPr>
        <w:t>10j.</w:t>
      </w:r>
      <w:r>
        <w:rPr>
          <w:sz w:val="20"/>
          <w:szCs w:val="20"/>
          <w:color w:val="auto"/>
        </w:rPr>
        <w:t xml:space="preserve"> </w:t>
      </w:r>
      <w:r>
        <w:rPr>
          <w:rFonts w:ascii="Courier New" w:cs="Courier New" w:eastAsia="Courier New" w:hAnsi="Courier New"/>
          <w:sz w:val="14"/>
          <w:szCs w:val="14"/>
          <w:color w:val="auto"/>
        </w:rPr>
        <w:t>Winnebago Industries, Inc. Officers' Long-Term Incentive Plan, fiscal three-year period 2002, 2003 and 2004 previously filed with the Registrant's Annual Report on Form 10-K for the fiscal year ended August 25, 2001 (Commission Report Number 1-6403), and incorporated by reference herein.</w:t>
      </w:r>
    </w:p>
    <w:p>
      <w:pPr>
        <w:spacing w:after="0" w:line="62" w:lineRule="exact"/>
        <w:rPr>
          <w:sz w:val="20"/>
          <w:szCs w:val="20"/>
          <w:color w:val="auto"/>
        </w:rPr>
      </w:pPr>
    </w:p>
    <w:p>
      <w:pPr>
        <w:ind w:right="3519" w:hanging="439"/>
        <w:spacing w:after="0" w:line="282" w:lineRule="auto"/>
        <w:rPr>
          <w:sz w:val="20"/>
          <w:szCs w:val="20"/>
          <w:color w:val="auto"/>
        </w:rPr>
      </w:pPr>
      <w:r>
        <w:rPr>
          <w:rFonts w:ascii="Courier New" w:cs="Courier New" w:eastAsia="Courier New" w:hAnsi="Courier New"/>
          <w:sz w:val="14"/>
          <w:szCs w:val="14"/>
          <w:color w:val="auto"/>
        </w:rPr>
        <w:t>10k.</w:t>
      </w:r>
      <w:r>
        <w:rPr>
          <w:sz w:val="20"/>
          <w:szCs w:val="20"/>
          <w:color w:val="auto"/>
        </w:rPr>
        <w:t xml:space="preserve"> </w:t>
      </w:r>
      <w:r>
        <w:rPr>
          <w:rFonts w:ascii="Courier New" w:cs="Courier New" w:eastAsia="Courier New" w:hAnsi="Courier New"/>
          <w:sz w:val="14"/>
          <w:szCs w:val="14"/>
          <w:color w:val="auto"/>
        </w:rPr>
        <w:t>Executive Change of Control Agreement dated January 17, 2001 between Winnebago Industries, Inc. and Bruce D. Hertzke previously filed with the Registrant's Quarterly Report on Form 10-Q for the quarter ended February 24, 2001 (Commission File Number 1-6403), and incorporated by reference herein.</w:t>
      </w:r>
    </w:p>
    <w:p>
      <w:pPr>
        <w:spacing w:after="0" w:line="22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99"/>
          </w:cols>
          <w:pgMar w:left="660" w:top="75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Exhibit Index</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12" w:lineRule="exact"/>
        <w:rPr>
          <w:sz w:val="20"/>
          <w:szCs w:val="20"/>
          <w:color w:val="auto"/>
        </w:rPr>
      </w:pPr>
    </w:p>
    <w:p>
      <w:pPr>
        <w:ind w:left="440" w:right="351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10l.</w:t>
        <w:tab/>
        <w:t>Executive Change of Control Agreement dated January 17, 2001 between Winnebago Industries, Inc. and Edwin F. Barker previously filed with the Registrant's Quarterly Report on Form 10-Q for the quarter ended February 24, 2001 (Commission File Number 1-6403), and incorporated by reference herein.</w:t>
      </w:r>
    </w:p>
    <w:p>
      <w:pPr>
        <w:spacing w:after="0" w:line="62" w:lineRule="exact"/>
        <w:rPr>
          <w:sz w:val="20"/>
          <w:szCs w:val="20"/>
          <w:color w:val="auto"/>
        </w:rPr>
      </w:pPr>
    </w:p>
    <w:p>
      <w:pPr>
        <w:ind w:left="440" w:right="351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10m.</w:t>
        <w:tab/>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62" w:lineRule="exact"/>
        <w:rPr>
          <w:sz w:val="20"/>
          <w:szCs w:val="20"/>
          <w:color w:val="auto"/>
        </w:rPr>
      </w:pPr>
    </w:p>
    <w:p>
      <w:pPr>
        <w:ind w:left="440" w:right="341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10n.</w:t>
        <w:tab/>
        <w:t>Executive Change of Control Agreement dated January 17, 2001 between Winnebago Industries, Inc. and Robert L. Gossett previously filed with the Registrant's Quarterly Report on Form 10-Q for the quarter ended February 24, 2001 (Commission File Number 1-6403), and incorporated by reference herein.</w:t>
      </w:r>
    </w:p>
    <w:p>
      <w:pPr>
        <w:spacing w:after="0" w:line="62" w:lineRule="exact"/>
        <w:rPr>
          <w:sz w:val="20"/>
          <w:szCs w:val="20"/>
          <w:color w:val="auto"/>
        </w:rPr>
      </w:pPr>
    </w:p>
    <w:p>
      <w:pPr>
        <w:ind w:left="440" w:right="333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10o.</w:t>
        <w:tab/>
        <w:t>Executive Change of Control Agreement dated January 17, 2001 between Winnebago Industries, Inc. and James P. Jaskoviak previously filed with the Registrant's Quarterly Report on Form 10-Q for the quarter ended February 24, 2001 (Commission File Number 1-6403), and incorporated by reference herein.</w:t>
      </w:r>
    </w:p>
    <w:p>
      <w:pPr>
        <w:spacing w:after="0" w:line="62" w:lineRule="exact"/>
        <w:rPr>
          <w:sz w:val="20"/>
          <w:szCs w:val="20"/>
          <w:color w:val="auto"/>
        </w:rPr>
      </w:pPr>
    </w:p>
    <w:p>
      <w:pPr>
        <w:ind w:left="440" w:right="351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10p.</w:t>
        <w:tab/>
        <w:t>Executive Change of Control Agreement dated January 17, 2001 between Winnebago Industries, Inc. and Robert J. Olson previously filed with the Registrant's Quarterly Report on Form 10-Q for the quarter ended February 24, 2001 (Commission File Number 1-6403), and incorporated by reference herein.</w:t>
      </w:r>
    </w:p>
    <w:p>
      <w:pPr>
        <w:spacing w:after="0" w:line="62" w:lineRule="exact"/>
        <w:rPr>
          <w:sz w:val="20"/>
          <w:szCs w:val="20"/>
          <w:color w:val="auto"/>
        </w:rPr>
      </w:pPr>
    </w:p>
    <w:p>
      <w:pPr>
        <w:ind w:left="440" w:right="3339" w:hanging="439"/>
        <w:spacing w:after="0" w:line="282" w:lineRule="auto"/>
        <w:tabs>
          <w:tab w:leader="none" w:pos="420" w:val="left"/>
        </w:tabs>
        <w:rPr>
          <w:sz w:val="20"/>
          <w:szCs w:val="20"/>
          <w:color w:val="auto"/>
        </w:rPr>
      </w:pPr>
      <w:r>
        <w:rPr>
          <w:rFonts w:ascii="Courier New" w:cs="Courier New" w:eastAsia="Courier New" w:hAnsi="Courier New"/>
          <w:sz w:val="14"/>
          <w:szCs w:val="14"/>
          <w:color w:val="auto"/>
        </w:rPr>
        <w:t>10q.</w:t>
        <w:tab/>
        <w:t>Executive Change of Control Agreement dated July 12, 2001 between Winnebago Industries, Inc. and William J. O'Leary previously filed with the Registrant's Annual Report on Form 10-K for the fiscal year ended August 25, 2001 (Commission Report Number 1-6403), and incorporated by reference herein.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10r. Winnebago Industries, Inc. Officers' Incentive Compensation Plan for fiscal</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147" w:lineRule="exact"/>
        <w:rPr>
          <w:sz w:val="20"/>
          <w:szCs w:val="20"/>
          <w:color w:val="auto"/>
        </w:rPr>
      </w:pPr>
    </w:p>
    <w:p>
      <w:pPr>
        <w:ind w:left="440" w:right="3339" w:hanging="439"/>
        <w:spacing w:after="0" w:line="292" w:lineRule="auto"/>
        <w:tabs>
          <w:tab w:leader="none" w:pos="420" w:val="left"/>
        </w:tabs>
        <w:rPr>
          <w:sz w:val="20"/>
          <w:szCs w:val="20"/>
          <w:color w:val="auto"/>
        </w:rPr>
      </w:pPr>
      <w:r>
        <w:rPr>
          <w:rFonts w:ascii="Courier New" w:cs="Courier New" w:eastAsia="Courier New" w:hAnsi="Courier New"/>
          <w:sz w:val="14"/>
          <w:szCs w:val="14"/>
          <w:color w:val="auto"/>
        </w:rPr>
        <w:t>10s.</w:t>
        <w:tab/>
        <w:t>Agreement dated March 13, 2002 between Winnebago Industries, Inc. and Bruce D. Hertzke filed with the Registrant's Quarterly Report on Form 10-Q for the quarter ended March 2, 2002 (Commission File Number 1-6403), and incorporated by reference herein.</w:t>
      </w:r>
    </w:p>
    <w:p>
      <w:pPr>
        <w:spacing w:after="0" w:line="56" w:lineRule="exact"/>
        <w:rPr>
          <w:sz w:val="20"/>
          <w:szCs w:val="20"/>
          <w:color w:val="auto"/>
        </w:rPr>
      </w:pPr>
    </w:p>
    <w:p>
      <w:pPr>
        <w:ind w:left="440" w:right="3859" w:hanging="439"/>
        <w:spacing w:after="0" w:line="375" w:lineRule="auto"/>
        <w:tabs>
          <w:tab w:leader="none" w:pos="420" w:val="left"/>
        </w:tabs>
        <w:rPr>
          <w:sz w:val="20"/>
          <w:szCs w:val="20"/>
          <w:color w:val="auto"/>
        </w:rPr>
      </w:pPr>
      <w:r>
        <w:rPr>
          <w:rFonts w:ascii="Courier New" w:cs="Courier New" w:eastAsia="Courier New" w:hAnsi="Courier New"/>
          <w:sz w:val="14"/>
          <w:szCs w:val="14"/>
          <w:color w:val="auto"/>
        </w:rPr>
        <w:t>10t.</w:t>
        <w:tab/>
        <w:t>Winnebago Industries, Inc. Officers' Long-Term Incentive Plan, fiscal three-year period 2003, 2004 and 2005.</w:t>
      </w:r>
    </w:p>
    <w:p>
      <w:pPr>
        <w:spacing w:after="0" w:line="1" w:lineRule="exact"/>
        <w:rPr>
          <w:sz w:val="20"/>
          <w:szCs w:val="20"/>
          <w:color w:val="auto"/>
        </w:rPr>
      </w:pPr>
    </w:p>
    <w:p>
      <w:pPr>
        <w:ind w:left="440" w:right="3339" w:hanging="439"/>
        <w:spacing w:after="0" w:line="375" w:lineRule="auto"/>
        <w:tabs>
          <w:tab w:leader="none" w:pos="420" w:val="left"/>
        </w:tabs>
        <w:rPr>
          <w:sz w:val="20"/>
          <w:szCs w:val="20"/>
          <w:color w:val="auto"/>
        </w:rPr>
      </w:pPr>
      <w:r>
        <w:rPr>
          <w:rFonts w:ascii="Courier New" w:cs="Courier New" w:eastAsia="Courier New" w:hAnsi="Courier New"/>
          <w:sz w:val="14"/>
          <w:szCs w:val="14"/>
          <w:color w:val="auto"/>
        </w:rPr>
        <w:t>10u.</w:t>
        <w:tab/>
        <w:t>Amendment dated October 9, 2002 to the Winnebago Industries, Inc. Officers' Incentive Compensation Plan for fiscal 2002.</w:t>
      </w:r>
    </w:p>
    <w:p>
      <w:pPr>
        <w:spacing w:after="0" w:line="1" w:lineRule="exact"/>
        <w:rPr>
          <w:sz w:val="20"/>
          <w:szCs w:val="20"/>
          <w:color w:val="auto"/>
        </w:rPr>
      </w:pPr>
    </w:p>
    <w:p>
      <w:pPr>
        <w:ind w:left="440" w:right="3339" w:hanging="432"/>
        <w:spacing w:after="0" w:line="37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Industries, Inc. Annual Report to Shareholders for the year ended August 31, 2002.</w:t>
      </w:r>
    </w:p>
    <w:p>
      <w:pPr>
        <w:spacing w:after="0" w:line="1"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w:t>
      </w:r>
    </w:p>
    <w:p>
      <w:pPr>
        <w:spacing w:after="0" w:line="173"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99.</w:t>
        <w:tab/>
        <w:t>906 certification.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56" w:right="1440" w:bottom="1440" w:gutter="0" w:footer="0" w:header="0"/>
        </w:sectPr>
      </w:pPr>
    </w:p>
    <w:bookmarkStart w:id="21" w:name="page22"/>
    <w:bookmarkEnd w:id="21"/>
    <w:p>
      <w:pPr>
        <w:ind w:left="2940"/>
        <w:spacing w:after="0"/>
        <w:rPr>
          <w:sz w:val="20"/>
          <w:szCs w:val="20"/>
          <w:color w:val="auto"/>
        </w:rPr>
      </w:pPr>
      <w:r>
        <w:rPr>
          <w:rFonts w:ascii="Courier New" w:cs="Courier New" w:eastAsia="Courier New" w:hAnsi="Courier New"/>
          <w:sz w:val="14"/>
          <w:szCs w:val="14"/>
          <w:color w:val="auto"/>
        </w:rPr>
        <w:t>EXHIBIT 10r.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WINNEBAGO</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INDUSTRIES</w:t>
      </w:r>
    </w:p>
    <w:p>
      <w:pPr>
        <w:spacing w:after="0" w:line="200" w:lineRule="exact"/>
        <w:rPr>
          <w:sz w:val="20"/>
          <w:szCs w:val="20"/>
          <w:color w:val="auto"/>
        </w:rPr>
      </w:pPr>
    </w:p>
    <w:p>
      <w:pPr>
        <w:spacing w:after="0" w:line="27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OFFICERS INCENTIVE COMPENSATION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PLAN</w:t>
      </w: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GROUP A - OFFICERS</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FISCAL PERIOD 2002-2003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FISCAL PERIOD 2002 - 2003</w:t>
      </w:r>
    </w:p>
    <w:p>
      <w:pPr>
        <w:spacing w:after="0" w:line="312" w:lineRule="exact"/>
        <w:rPr>
          <w:sz w:val="20"/>
          <w:szCs w:val="20"/>
          <w:color w:val="auto"/>
        </w:rPr>
      </w:pPr>
    </w:p>
    <w:p>
      <w:pPr>
        <w:ind w:left="440" w:right="3339" w:hanging="432"/>
        <w:spacing w:after="0" w:line="27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6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860" w:right="3859" w:hanging="421"/>
        <w:spacing w:after="0" w:line="375"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 w:lineRule="exact"/>
        <w:rPr>
          <w:rFonts w:ascii="Courier New" w:cs="Courier New" w:eastAsia="Courier New" w:hAnsi="Courier New"/>
          <w:sz w:val="14"/>
          <w:szCs w:val="14"/>
          <w:color w:val="auto"/>
        </w:rPr>
      </w:pPr>
    </w:p>
    <w:p>
      <w:pPr>
        <w:ind w:left="860" w:right="3519" w:hanging="421"/>
        <w:spacing w:after="0" w:line="275"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69" w:lineRule="exact"/>
        <w:rPr>
          <w:rFonts w:ascii="Courier New" w:cs="Courier New" w:eastAsia="Courier New" w:hAnsi="Courier New"/>
          <w:sz w:val="14"/>
          <w:szCs w:val="14"/>
          <w:color w:val="auto"/>
        </w:rPr>
      </w:pPr>
    </w:p>
    <w:p>
      <w:pPr>
        <w:ind w:left="860" w:right="3779" w:hanging="421"/>
        <w:spacing w:after="0" w:line="375"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year.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172" w:lineRule="exact"/>
        <w:rPr>
          <w:rFonts w:ascii="Courier New" w:cs="Courier New" w:eastAsia="Courier New" w:hAnsi="Courier New"/>
          <w:sz w:val="14"/>
          <w:szCs w:val="14"/>
          <w:color w:val="auto"/>
        </w:rPr>
      </w:pPr>
    </w:p>
    <w:p>
      <w:pPr>
        <w:ind w:left="860" w:right="3519" w:hanging="421"/>
        <w:spacing w:after="0" w:line="375"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 w:lineRule="exact"/>
        <w:rPr>
          <w:rFonts w:ascii="Courier New" w:cs="Courier New" w:eastAsia="Courier New" w:hAnsi="Courier New"/>
          <w:sz w:val="14"/>
          <w:szCs w:val="14"/>
          <w:color w:val="auto"/>
        </w:rPr>
      </w:pPr>
    </w:p>
    <w:p>
      <w:pPr>
        <w:ind w:left="860" w:right="3679" w:hanging="421"/>
        <w:spacing w:after="0" w:line="313"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42" w:lineRule="exact"/>
        <w:rPr>
          <w:rFonts w:ascii="Courier New" w:cs="Courier New" w:eastAsia="Courier New" w:hAnsi="Courier New"/>
          <w:sz w:val="14"/>
          <w:szCs w:val="14"/>
          <w:color w:val="auto"/>
        </w:rPr>
      </w:pPr>
    </w:p>
    <w:p>
      <w:pPr>
        <w:ind w:left="860" w:right="3339" w:hanging="421"/>
        <w:spacing w:after="0" w:line="272" w:lineRule="auto"/>
        <w:tabs>
          <w:tab w:leader="none" w:pos="8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246" w:lineRule="exact"/>
        <w:rPr>
          <w:rFonts w:ascii="Courier New" w:cs="Courier New" w:eastAsia="Courier New" w:hAnsi="Courier New"/>
          <w:sz w:val="14"/>
          <w:szCs w:val="14"/>
          <w:color w:val="auto"/>
        </w:rPr>
      </w:pPr>
    </w:p>
    <w:p>
      <w:pPr>
        <w:ind w:left="440" w:right="3339" w:hanging="432"/>
        <w:spacing w:after="0" w:line="28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incentive award is based upon financial performance of the Corporation as established by the Management Plan. The Plan is an annual program that provides for quarterly cumulative measurements of financial performance and an opportunity for quarterly incentive payment based on performance results.</w:t>
      </w:r>
    </w:p>
    <w:p>
      <w:pPr>
        <w:spacing w:after="0" w:line="62" w:lineRule="exact"/>
        <w:rPr>
          <w:rFonts w:ascii="Courier New" w:cs="Courier New" w:eastAsia="Courier New" w:hAnsi="Courier New"/>
          <w:sz w:val="14"/>
          <w:szCs w:val="14"/>
          <w:color w:val="auto"/>
        </w:rPr>
      </w:pPr>
    </w:p>
    <w:p>
      <w:pPr>
        <w:ind w:left="440" w:right="3339"/>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earnings per share and return on equity of the Company. These financial performance measurements will provide an appropriate balance between quality and quantity of earnings. The Company's beginning of the fiscal year stockholders' equity will be used as the base figure for the calculation of return on equity. Any stock repurchase program, adopted or completed outside of the Management Plan, will not be considered in the earnings per share and the return on equity calculations.</w:t>
      </w:r>
    </w:p>
    <w:p>
      <w:pPr>
        <w:spacing w:after="0" w:line="73" w:lineRule="exact"/>
        <w:rPr>
          <w:rFonts w:ascii="Courier New" w:cs="Courier New" w:eastAsia="Courier New" w:hAnsi="Courier New"/>
          <w:sz w:val="14"/>
          <w:szCs w:val="14"/>
          <w:color w:val="auto"/>
        </w:rPr>
      </w:pPr>
    </w:p>
    <w:p>
      <w:pPr>
        <w:ind w:left="440" w:right="3419" w:hanging="432"/>
        <w:spacing w:after="0" w:line="271"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w:t>
      </w:r>
    </w:p>
    <w:p>
      <w:pPr>
        <w:sectPr>
          <w:pgSz w:w="11900" w:h="16838" w:orient="portrait"/>
          <w:cols w:equalWidth="0" w:num="1">
            <w:col w:w="10239"/>
          </w:cols>
          <w:pgMar w:left="220" w:top="115" w:right="1440" w:bottom="1013" w:gutter="0" w:footer="0" w:header="0"/>
        </w:sectPr>
      </w:pPr>
    </w:p>
    <w:bookmarkStart w:id="22" w:name="page23"/>
    <w:bookmarkEnd w:id="22"/>
    <w:p>
      <w:pPr>
        <w:ind w:left="432" w:right="3339"/>
        <w:spacing w:after="0" w:line="375" w:lineRule="auto"/>
        <w:rPr>
          <w:sz w:val="20"/>
          <w:szCs w:val="20"/>
          <w:color w:val="auto"/>
        </w:rPr>
      </w:pPr>
      <w:r>
        <w:rPr>
          <w:rFonts w:ascii="Courier New" w:cs="Courier New" w:eastAsia="Courier New" w:hAnsi="Courier New"/>
          <w:sz w:val="14"/>
          <w:szCs w:val="14"/>
          <w:color w:val="auto"/>
        </w:rPr>
        <w:t>will be used in identifying the Financial Factor to be used for that period when calculating the participants' incentive compensation.</w:t>
      </w:r>
    </w:p>
    <w:p>
      <w:pPr>
        <w:spacing w:after="0" w:line="1"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50 percent of the quarterly</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calculated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incentive will</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paid within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days after the close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quarter. The remaining 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 the</w:t>
            </w:r>
          </w:p>
        </w:tc>
        <w:tc>
          <w:tcPr>
            <w:tcW w:w="0" w:type="dxa"/>
            <w:vAlign w:val="bottom"/>
          </w:tcPr>
          <w:p>
            <w:pPr>
              <w:spacing w:after="0"/>
              <w:rPr>
                <w:sz w:val="1"/>
                <w:szCs w:val="1"/>
                <w:color w:val="auto"/>
              </w:rPr>
            </w:pP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quarterly calculated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incentive will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2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held back and carried forward</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into</w:t>
            </w:r>
          </w:p>
        </w:tc>
        <w:tc>
          <w:tcPr>
            <w:tcW w:w="0" w:type="dxa"/>
            <w:vAlign w:val="bottom"/>
          </w:tcPr>
          <w:p>
            <w:pPr>
              <w:spacing w:after="0"/>
              <w:rPr>
                <w:sz w:val="1"/>
                <w:szCs w:val="1"/>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the next cumulative quarter. At the</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 of the fourth</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fiscal</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the</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20"/>
                <w:szCs w:val="20"/>
                <w:color w:val="auto"/>
              </w:rPr>
            </w:pPr>
            <w:r>
              <w:rPr>
                <w:rFonts w:ascii="Courier New" w:cs="Courier New" w:eastAsia="Courier New" w:hAnsi="Courier New"/>
                <w:sz w:val="14"/>
                <w:szCs w:val="14"/>
                <w:color w:val="auto"/>
              </w:rPr>
              <w:t>(fiscal year end), a</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final year-end</w:t>
            </w: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accounting will be made prior to</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32"/>
        <w:spacing w:after="0"/>
        <w:rPr>
          <w:sz w:val="20"/>
          <w:szCs w:val="20"/>
          <w:color w:val="auto"/>
        </w:rPr>
      </w:pPr>
      <w:r>
        <w:rPr>
          <w:rFonts w:ascii="Courier New" w:cs="Courier New" w:eastAsia="Courier New" w:hAnsi="Courier New"/>
          <w:sz w:val="14"/>
          <w:szCs w:val="14"/>
          <w:color w:val="auto"/>
        </w:rPr>
        <w:t>payment of any remaining incentive holdback for the year.</w:t>
      </w:r>
    </w:p>
    <w:p>
      <w:pPr>
        <w:spacing w:after="0" w:line="147" w:lineRule="exact"/>
        <w:rPr>
          <w:sz w:val="20"/>
          <w:szCs w:val="20"/>
          <w:color w:val="auto"/>
        </w:rPr>
      </w:pPr>
    </w:p>
    <w:p>
      <w:pPr>
        <w:ind w:left="432" w:right="3419"/>
        <w:spacing w:after="0" w:line="271" w:lineRule="auto"/>
        <w:rPr>
          <w:sz w:val="20"/>
          <w:szCs w:val="20"/>
          <w:color w:val="auto"/>
        </w:rPr>
      </w:pPr>
      <w:r>
        <w:rPr>
          <w:rFonts w:ascii="Courier New" w:cs="Courier New" w:eastAsia="Courier New" w:hAnsi="Courier New"/>
          <w:sz w:val="14"/>
          <w:szCs w:val="14"/>
          <w:color w:val="auto"/>
        </w:rPr>
        <w:t>The incentive for the officers except for the Chief Executive Officer, provides for a 60 percent bonus (Target) comprised of (2/3) cash and (1/3) stock at 100 percent achievement of the financial objectives of earnings per share and return on equity. The incentive for the Chief Executive Officer provides for a 87.5 percent bonus (Target) comprised of (2/3) cash and (1/3) stock at 100 percent achievement of the financial objectives of earnings per share and return on equity.</w:t>
      </w:r>
    </w:p>
    <w:p>
      <w:pPr>
        <w:spacing w:after="0" w:line="72" w:lineRule="exact"/>
        <w:rPr>
          <w:sz w:val="20"/>
          <w:szCs w:val="20"/>
          <w:color w:val="auto"/>
        </w:rPr>
      </w:pPr>
    </w:p>
    <w:p>
      <w:pPr>
        <w:ind w:left="432" w:right="3339"/>
        <w:spacing w:after="0" w:line="292" w:lineRule="auto"/>
        <w:rPr>
          <w:sz w:val="20"/>
          <w:szCs w:val="20"/>
          <w:color w:val="auto"/>
        </w:rPr>
      </w:pPr>
      <w:r>
        <w:rPr>
          <w:rFonts w:ascii="Courier New" w:cs="Courier New" w:eastAsia="Courier New" w:hAnsi="Courier New"/>
          <w:sz w:val="14"/>
          <w:szCs w:val="14"/>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56" w:lineRule="exact"/>
        <w:rPr>
          <w:sz w:val="20"/>
          <w:szCs w:val="20"/>
          <w:color w:val="auto"/>
        </w:rPr>
      </w:pPr>
    </w:p>
    <w:p>
      <w:pPr>
        <w:ind w:left="432" w:right="3339" w:hanging="432"/>
        <w:spacing w:after="0" w:line="275" w:lineRule="auto"/>
        <w:tabs>
          <w:tab w:leader="none" w:pos="43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PERFORMANCE. The Human Resources Committee reserves the right to modify the core incentive eligibility by plus/minus 20 percent (of the calculated Financial Factor) based upon strategic organizational priorities. Strategic performance will be measured at the end of the fiscal year only. Strategic measurements may focus on one or more of the following strategic factors but are not limited to those stated.</w:t>
      </w:r>
    </w:p>
    <w:p>
      <w:pPr>
        <w:spacing w:after="0" w:line="69" w:lineRule="exact"/>
        <w:rPr>
          <w:sz w:val="20"/>
          <w:szCs w:val="20"/>
          <w:color w:val="auto"/>
        </w:rPr>
      </w:pPr>
    </w:p>
    <w:tbl>
      <w:tblPr>
        <w:tblLayout w:type="fixed"/>
        <w:tblInd w:w="852" w:type="dxa"/>
        <w:tblCellMar>
          <w:top w:w="0" w:type="dxa"/>
          <w:left w:w="0" w:type="dxa"/>
          <w:bottom w:w="0" w:type="dxa"/>
          <w:right w:w="0" w:type="dxa"/>
        </w:tblCellMar>
      </w:tblP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Revenue Growth</w:t>
            </w:r>
          </w:p>
        </w:tc>
        <w:tc>
          <w:tcPr>
            <w:tcW w:w="2840" w:type="dxa"/>
            <w:vAlign w:val="bottom"/>
          </w:tcPr>
          <w:p>
            <w:pPr>
              <w:ind w:left="600"/>
              <w:spacing w:after="0"/>
              <w:rPr>
                <w:sz w:val="20"/>
                <w:szCs w:val="20"/>
                <w:color w:val="auto"/>
              </w:rPr>
            </w:pPr>
            <w:r>
              <w:rPr>
                <w:rFonts w:ascii="Courier New" w:cs="Courier New" w:eastAsia="Courier New" w:hAnsi="Courier New"/>
                <w:sz w:val="14"/>
                <w:szCs w:val="14"/>
                <w:color w:val="auto"/>
              </w:rPr>
              <w:t>Customer Satisfaction</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Market Share</w:t>
            </w:r>
          </w:p>
        </w:tc>
        <w:tc>
          <w:tcPr>
            <w:tcW w:w="2840" w:type="dxa"/>
            <w:vAlign w:val="bottom"/>
          </w:tcPr>
          <w:p>
            <w:pPr>
              <w:ind w:left="600"/>
              <w:spacing w:after="0"/>
              <w:rPr>
                <w:sz w:val="20"/>
                <w:szCs w:val="20"/>
                <w:color w:val="auto"/>
              </w:rPr>
            </w:pPr>
            <w:r>
              <w:rPr>
                <w:rFonts w:ascii="Courier New" w:cs="Courier New" w:eastAsia="Courier New" w:hAnsi="Courier New"/>
                <w:sz w:val="14"/>
                <w:szCs w:val="14"/>
                <w:color w:val="auto"/>
              </w:rPr>
              <w:t>Inventory Management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Quality</w:t>
            </w:r>
          </w:p>
        </w:tc>
        <w:tc>
          <w:tcPr>
            <w:tcW w:w="2840" w:type="dxa"/>
            <w:vAlign w:val="bottom"/>
          </w:tcPr>
          <w:p>
            <w:pPr>
              <w:ind w:left="600"/>
              <w:spacing w:after="0"/>
              <w:rPr>
                <w:sz w:val="20"/>
                <w:szCs w:val="20"/>
                <w:color w:val="auto"/>
              </w:rPr>
            </w:pPr>
            <w:r>
              <w:rPr>
                <w:rFonts w:ascii="Courier New" w:cs="Courier New" w:eastAsia="Courier New" w:hAnsi="Courier New"/>
                <w:sz w:val="14"/>
                <w:szCs w:val="14"/>
                <w:color w:val="auto"/>
              </w:rPr>
              <w:t>Technical Innovation</w:t>
            </w:r>
          </w:p>
        </w:tc>
      </w:t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Introductions</w:t>
            </w:r>
          </w:p>
        </w:tc>
        <w:tc>
          <w:tcPr>
            <w:tcW w:w="2840" w:type="dxa"/>
            <w:vAlign w:val="bottom"/>
          </w:tcPr>
          <w:p>
            <w:pPr>
              <w:ind w:left="600"/>
              <w:spacing w:after="0"/>
              <w:rPr>
                <w:sz w:val="20"/>
                <w:szCs w:val="20"/>
                <w:color w:val="auto"/>
              </w:rPr>
            </w:pPr>
            <w:r>
              <w:rPr>
                <w:rFonts w:ascii="Courier New" w:cs="Courier New" w:eastAsia="Courier New" w:hAnsi="Courier New"/>
                <w:sz w:val="14"/>
                <w:szCs w:val="14"/>
                <w:color w:val="auto"/>
              </w:rPr>
              <w:t>Ethical Business Practices</w:t>
            </w:r>
          </w:p>
        </w:tc>
      </w:tr>
    </w:tbl>
    <w:p>
      <w:pPr>
        <w:spacing w:after="0" w:line="90" w:lineRule="exact"/>
        <w:rPr>
          <w:sz w:val="20"/>
          <w:szCs w:val="20"/>
          <w:color w:val="auto"/>
        </w:rPr>
      </w:pPr>
    </w:p>
    <w:p>
      <w:pPr>
        <w:ind w:left="432" w:right="3419" w:hanging="432"/>
        <w:spacing w:after="0" w:line="292" w:lineRule="auto"/>
        <w:tabs>
          <w:tab w:leader="none" w:pos="43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STOCK MATCH. 50 percent of the total cash incentives earned for the year will be matched annually and paid in restricted stock to encourage stock ownership and promote the long-term growth and profitability of Winnebago Industries, Inc.</w:t>
      </w:r>
    </w:p>
    <w:p>
      <w:pPr>
        <w:spacing w:after="0" w:line="56" w:lineRule="exact"/>
        <w:rPr>
          <w:rFonts w:ascii="Courier New" w:cs="Courier New" w:eastAsia="Courier New" w:hAnsi="Courier New"/>
          <w:sz w:val="14"/>
          <w:szCs w:val="14"/>
          <w:color w:val="auto"/>
        </w:rPr>
      </w:pPr>
    </w:p>
    <w:p>
      <w:pPr>
        <w:ind w:left="432" w:right="3339" w:hanging="432"/>
        <w:spacing w:after="0" w:line="259" w:lineRule="auto"/>
        <w:tabs>
          <w:tab w:leader="none" w:pos="43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stock match payment earned.</w:t>
      </w:r>
    </w:p>
    <w:p>
      <w:pPr>
        <w:spacing w:after="0" w:line="82" w:lineRule="exact"/>
        <w:rPr>
          <w:rFonts w:ascii="Courier New" w:cs="Courier New" w:eastAsia="Courier New" w:hAnsi="Courier New"/>
          <w:sz w:val="14"/>
          <w:szCs w:val="14"/>
          <w:color w:val="auto"/>
        </w:rPr>
      </w:pPr>
    </w:p>
    <w:p>
      <w:pPr>
        <w:ind w:left="432" w:right="33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w:t>
      </w:r>
    </w:p>
    <w:p>
      <w:pPr>
        <w:sectPr>
          <w:pgSz w:w="11900" w:h="16838" w:orient="portrait"/>
          <w:cols w:equalWidth="0" w:num="1">
            <w:col w:w="10231"/>
          </w:cols>
          <w:pgMar w:left="228" w:top="756" w:right="1440" w:bottom="1440" w:gutter="0" w:footer="0" w:header="0"/>
        </w:sectPr>
      </w:pPr>
    </w:p>
    <w:bookmarkStart w:id="23" w:name="page24"/>
    <w:bookmarkEnd w:id="23"/>
    <w:p>
      <w:pPr>
        <w:ind w:right="3599"/>
        <w:spacing w:after="0" w:line="268" w:lineRule="auto"/>
        <w:rPr>
          <w:sz w:val="20"/>
          <w:szCs w:val="20"/>
          <w:color w:val="auto"/>
        </w:rPr>
      </w:pPr>
      <w:r>
        <w:rPr>
          <w:rFonts w:ascii="Courier New" w:cs="Courier New" w:eastAsia="Courier New" w:hAnsi="Courier New"/>
          <w:sz w:val="14"/>
          <w:szCs w:val="14"/>
          <w:color w:val="auto"/>
        </w:rPr>
        <w:t>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purpose of the definition "Change of Control":</w:t>
      </w:r>
    </w:p>
    <w:p>
      <w:pPr>
        <w:spacing w:after="0" w:line="173" w:lineRule="exact"/>
        <w:rPr>
          <w:sz w:val="20"/>
          <w:szCs w:val="20"/>
          <w:color w:val="auto"/>
        </w:rPr>
      </w:pPr>
    </w:p>
    <w:p>
      <w:pPr>
        <w:ind w:left="860" w:right="3339" w:hanging="430"/>
        <w:spacing w:after="0" w:line="261"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49" w:lineRule="exact"/>
        <w:rPr>
          <w:rFonts w:ascii="Courier New" w:cs="Courier New" w:eastAsia="Courier New" w:hAnsi="Courier New"/>
          <w:sz w:val="14"/>
          <w:szCs w:val="14"/>
          <w:color w:val="auto"/>
        </w:rPr>
      </w:pPr>
    </w:p>
    <w:p>
      <w:pPr>
        <w:ind w:left="860" w:right="3339" w:hanging="430"/>
        <w:spacing w:after="0" w:line="271"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percent or more of the outstanding stock of the Company if such acquisition occurs in whole or in part, except that the term "Acquiring Person" shall not include a Hanson Family Member or an Affiliate or Associate of a Hanson Family Member.</w:t>
      </w:r>
    </w:p>
    <w:p>
      <w:pPr>
        <w:spacing w:after="0" w:line="71" w:lineRule="exact"/>
        <w:rPr>
          <w:rFonts w:ascii="Courier New" w:cs="Courier New" w:eastAsia="Courier New" w:hAnsi="Courier New"/>
          <w:sz w:val="14"/>
          <w:szCs w:val="14"/>
          <w:color w:val="auto"/>
        </w:rPr>
      </w:pPr>
    </w:p>
    <w:p>
      <w:pPr>
        <w:ind w:left="860" w:right="3419" w:hanging="430"/>
        <w:spacing w:after="0" w:line="313"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42" w:lineRule="exact"/>
        <w:rPr>
          <w:rFonts w:ascii="Courier New" w:cs="Courier New" w:eastAsia="Courier New" w:hAnsi="Courier New"/>
          <w:sz w:val="14"/>
          <w:szCs w:val="14"/>
          <w:color w:val="auto"/>
        </w:rPr>
      </w:pPr>
    </w:p>
    <w:p>
      <w:pPr>
        <w:ind w:left="860" w:right="3339" w:hanging="430"/>
        <w:spacing w:after="0" w:line="262"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percent)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75" w:lineRule="exact"/>
        <w:rPr>
          <w:rFonts w:ascii="Courier New" w:cs="Courier New" w:eastAsia="Courier New" w:hAnsi="Courier New"/>
          <w:sz w:val="14"/>
          <w:szCs w:val="14"/>
          <w:color w:val="auto"/>
        </w:rPr>
      </w:pPr>
    </w:p>
    <w:p>
      <w:pPr>
        <w:ind w:left="860" w:right="3339" w:hanging="430"/>
        <w:spacing w:after="0" w:line="275"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69" w:lineRule="exact"/>
        <w:rPr>
          <w:rFonts w:ascii="Courier New" w:cs="Courier New" w:eastAsia="Courier New" w:hAnsi="Courier New"/>
          <w:sz w:val="14"/>
          <w:szCs w:val="14"/>
          <w:color w:val="auto"/>
        </w:rPr>
      </w:pPr>
    </w:p>
    <w:p>
      <w:pPr>
        <w:ind w:left="860" w:hanging="430"/>
        <w:spacing w:after="0"/>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2" w:lineRule="exact"/>
        <w:rPr>
          <w:rFonts w:ascii="Courier New" w:cs="Courier New" w:eastAsia="Courier New" w:hAnsi="Courier New"/>
          <w:sz w:val="14"/>
          <w:szCs w:val="14"/>
          <w:color w:val="auto"/>
        </w:rPr>
      </w:pPr>
    </w:p>
    <w:p>
      <w:pPr>
        <w:ind w:left="860" w:right="3599" w:hanging="430"/>
        <w:spacing w:after="0" w:line="292"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ectPr>
          <w:pgSz w:w="11900" w:h="16838" w:orient="portrait"/>
          <w:cols w:equalWidth="0" w:num="1">
            <w:col w:w="9799"/>
          </w:cols>
          <w:pgMar w:left="660" w:top="756" w:right="1440" w:bottom="1440" w:gutter="0" w:footer="0" w:header="0"/>
        </w:sectPr>
      </w:pPr>
    </w:p>
    <w:bookmarkStart w:id="24" w:name="page25"/>
    <w:bookmarkEnd w:id="24"/>
    <w:p>
      <w:pPr>
        <w:ind w:left="440" w:right="3599" w:hanging="432"/>
        <w:spacing w:after="0" w:line="313"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42" w:lineRule="exact"/>
        <w:rPr>
          <w:rFonts w:ascii="Courier New" w:cs="Courier New" w:eastAsia="Courier New" w:hAnsi="Courier New"/>
          <w:sz w:val="14"/>
          <w:szCs w:val="14"/>
          <w:color w:val="auto"/>
        </w:rPr>
      </w:pPr>
    </w:p>
    <w:p>
      <w:pPr>
        <w:jc w:val="both"/>
        <w:ind w:left="440" w:right="3419" w:hanging="432"/>
        <w:spacing w:after="0" w:line="29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80" w:type="dxa"/>
            <w:vAlign w:val="bottom"/>
            <w:vMerge w:val="restart"/>
          </w:tcPr>
          <w:p>
            <w:pPr>
              <w:spacing w:after="0"/>
              <w:rPr>
                <w:sz w:val="20"/>
                <w:szCs w:val="20"/>
                <w:color w:val="auto"/>
              </w:rPr>
            </w:pPr>
            <w:r>
              <w:rPr>
                <w:rFonts w:ascii="Courier New" w:cs="Courier New" w:eastAsia="Courier New" w:hAnsi="Courier New"/>
                <w:sz w:val="28"/>
                <w:szCs w:val="28"/>
                <w:color w:val="auto"/>
                <w:w w:val="88"/>
                <w:vertAlign w:val="subscript"/>
              </w:rPr>
              <w:t>Bruce</w:t>
            </w:r>
            <w:r>
              <w:rPr>
                <w:rFonts w:ascii="Courier New" w:cs="Courier New" w:eastAsia="Courier New" w:hAnsi="Courier New"/>
                <w:sz w:val="14"/>
                <w:szCs w:val="14"/>
                <w:color w:val="auto"/>
                <w:w w:val="88"/>
              </w:rPr>
              <w:t>-----------------------------------------</w:t>
            </w:r>
            <w:r>
              <w:rPr>
                <w:rFonts w:ascii="Courier New" w:cs="Courier New" w:eastAsia="Courier New" w:hAnsi="Courier New"/>
                <w:sz w:val="28"/>
                <w:szCs w:val="28"/>
                <w:color w:val="auto"/>
                <w:w w:val="88"/>
                <w:vertAlign w:val="subscript"/>
              </w:rPr>
              <w:t>D.Hertzke</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26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Dated</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Chairman of the Board, CEO and President</w:t>
            </w: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480" w:type="dxa"/>
            <w:vAlign w:val="bottom"/>
            <w:vMerge w:val="restart"/>
          </w:tcPr>
          <w:p>
            <w:pPr>
              <w:spacing w:after="0"/>
              <w:rPr>
                <w:sz w:val="20"/>
                <w:szCs w:val="20"/>
                <w:color w:val="auto"/>
              </w:rPr>
            </w:pPr>
            <w:r>
              <w:rPr>
                <w:rFonts w:ascii="Courier New" w:cs="Courier New" w:eastAsia="Courier New" w:hAnsi="Courier New"/>
                <w:sz w:val="28"/>
                <w:szCs w:val="28"/>
                <w:color w:val="auto"/>
                <w:w w:val="78"/>
                <w:vertAlign w:val="subscript"/>
              </w:rPr>
              <w:t>Frederick</w:t>
            </w:r>
            <w:r>
              <w:rPr>
                <w:rFonts w:ascii="Courier New" w:cs="Courier New" w:eastAsia="Courier New" w:hAnsi="Courier New"/>
                <w:sz w:val="14"/>
                <w:szCs w:val="14"/>
                <w:color w:val="auto"/>
                <w:w w:val="78"/>
              </w:rPr>
              <w:t>-----------------------------------------</w:t>
            </w:r>
            <w:r>
              <w:rPr>
                <w:rFonts w:ascii="Courier New" w:cs="Courier New" w:eastAsia="Courier New" w:hAnsi="Courier New"/>
                <w:sz w:val="28"/>
                <w:szCs w:val="28"/>
                <w:color w:val="auto"/>
                <w:w w:val="78"/>
                <w:vertAlign w:val="subscript"/>
              </w:rPr>
              <w:t>M.Zimmerman</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26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Dated</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Human Resources Committee Chairman</w:t>
            </w: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25" w:name="page26"/>
    <w:bookmarkEnd w:id="25"/>
    <w:p>
      <w:pPr>
        <w:ind w:left="2932"/>
        <w:spacing w:after="0"/>
        <w:rPr>
          <w:sz w:val="20"/>
          <w:szCs w:val="20"/>
          <w:color w:val="auto"/>
        </w:rPr>
      </w:pPr>
      <w:r>
        <w:rPr>
          <w:rFonts w:ascii="Courier New" w:cs="Courier New" w:eastAsia="Courier New" w:hAnsi="Courier New"/>
          <w:sz w:val="14"/>
          <w:szCs w:val="14"/>
          <w:color w:val="auto"/>
        </w:rPr>
        <w:t>EXHIBIT 10t.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[LOGO]</w:t>
      </w:r>
    </w:p>
    <w:p>
      <w:pPr>
        <w:spacing w:after="0" w:line="33"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WINNEBAGO</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INDUSTRIES</w:t>
      </w:r>
    </w:p>
    <w:p>
      <w:pPr>
        <w:spacing w:after="0" w:line="200" w:lineRule="exact"/>
        <w:rPr>
          <w:sz w:val="20"/>
          <w:szCs w:val="20"/>
          <w:color w:val="auto"/>
        </w:rPr>
      </w:pPr>
    </w:p>
    <w:p>
      <w:pPr>
        <w:spacing w:after="0" w:line="278"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338"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FISCAL THREE-YEAR PERIOD</w:t>
      </w:r>
    </w:p>
    <w:p>
      <w:pPr>
        <w:spacing w:after="0" w:line="338"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2003, 2004 AND 2005</w:t>
      </w:r>
    </w:p>
    <w:p>
      <w:pPr>
        <w:spacing w:after="0" w:line="33"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(EFFECTIVE SEPTEMBER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FISCAL THREE-YEAR PERIOD 2003, 2004 AND 2005</w:t>
      </w:r>
    </w:p>
    <w:p>
      <w:pPr>
        <w:spacing w:after="0" w:line="312" w:lineRule="exact"/>
        <w:rPr>
          <w:sz w:val="20"/>
          <w:szCs w:val="20"/>
          <w:color w:val="auto"/>
        </w:rPr>
      </w:pPr>
    </w:p>
    <w:p>
      <w:pPr>
        <w:ind w:left="432" w:right="3519" w:hanging="432"/>
        <w:spacing w:after="0" w:line="275"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by providing such officers with an equity interest in the Company.</w:t>
      </w:r>
    </w:p>
    <w:p>
      <w:pPr>
        <w:spacing w:after="0" w:line="6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852" w:right="3859" w:hanging="421"/>
        <w:spacing w:after="0" w:line="375"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 w:lineRule="exact"/>
        <w:rPr>
          <w:rFonts w:ascii="Courier New" w:cs="Courier New" w:eastAsia="Courier New" w:hAnsi="Courier New"/>
          <w:sz w:val="14"/>
          <w:szCs w:val="14"/>
          <w:color w:val="auto"/>
        </w:rPr>
      </w:pPr>
    </w:p>
    <w:p>
      <w:pPr>
        <w:ind w:left="852" w:right="3519" w:hanging="421"/>
        <w:spacing w:after="0" w:line="275"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69" w:lineRule="exact"/>
        <w:rPr>
          <w:rFonts w:ascii="Courier New" w:cs="Courier New" w:eastAsia="Courier New" w:hAnsi="Courier New"/>
          <w:sz w:val="14"/>
          <w:szCs w:val="14"/>
          <w:color w:val="auto"/>
        </w:rPr>
      </w:pPr>
    </w:p>
    <w:p>
      <w:pPr>
        <w:ind w:left="852" w:right="3519" w:hanging="421"/>
        <w:spacing w:after="0" w:line="313"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4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172" w:lineRule="exact"/>
        <w:rPr>
          <w:rFonts w:ascii="Courier New" w:cs="Courier New" w:eastAsia="Courier New" w:hAnsi="Courier New"/>
          <w:sz w:val="14"/>
          <w:szCs w:val="14"/>
          <w:color w:val="auto"/>
        </w:rPr>
      </w:pPr>
    </w:p>
    <w:p>
      <w:pPr>
        <w:ind w:left="852" w:right="3519" w:hanging="421"/>
        <w:spacing w:after="0" w:line="375"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 w:lineRule="exact"/>
        <w:rPr>
          <w:rFonts w:ascii="Courier New" w:cs="Courier New" w:eastAsia="Courier New" w:hAnsi="Courier New"/>
          <w:sz w:val="14"/>
          <w:szCs w:val="14"/>
          <w:color w:val="auto"/>
        </w:rPr>
      </w:pPr>
    </w:p>
    <w:p>
      <w:pPr>
        <w:ind w:left="852" w:right="3679" w:hanging="421"/>
        <w:spacing w:after="0" w:line="313"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42" w:lineRule="exact"/>
        <w:rPr>
          <w:rFonts w:ascii="Courier New" w:cs="Courier New" w:eastAsia="Courier New" w:hAnsi="Courier New"/>
          <w:sz w:val="14"/>
          <w:szCs w:val="14"/>
          <w:color w:val="auto"/>
        </w:rPr>
      </w:pPr>
    </w:p>
    <w:p>
      <w:pPr>
        <w:ind w:left="852" w:right="3599" w:hanging="421"/>
        <w:spacing w:after="0" w:line="260" w:lineRule="auto"/>
        <w:tabs>
          <w:tab w:leader="none" w:pos="8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participation for new participants, for partial awards due to retirement, disability or death. Unless otherwise specified, participants must be employed as of the end of the three</w:t>
      </w:r>
    </w:p>
    <w:p>
      <w:pPr>
        <w:spacing w:after="0" w:line="1" w:lineRule="exact"/>
        <w:rPr>
          <w:rFonts w:ascii="Courier New" w:cs="Courier New" w:eastAsia="Courier New" w:hAnsi="Courier New"/>
          <w:sz w:val="14"/>
          <w:szCs w:val="14"/>
          <w:color w:val="auto"/>
        </w:rPr>
      </w:pPr>
    </w:p>
    <w:p>
      <w:pPr>
        <w:ind w:left="1212" w:hanging="350"/>
        <w:spacing w:after="0"/>
        <w:tabs>
          <w:tab w:leader="none" w:pos="1212"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fiscal period to be eligible for any incentive award.</w:t>
      </w:r>
    </w:p>
    <w:p>
      <w:pPr>
        <w:spacing w:after="0" w:line="146" w:lineRule="exact"/>
        <w:rPr>
          <w:rFonts w:ascii="Courier New" w:cs="Courier New" w:eastAsia="Courier New" w:hAnsi="Courier New"/>
          <w:sz w:val="14"/>
          <w:szCs w:val="14"/>
          <w:color w:val="auto"/>
        </w:rPr>
      </w:pPr>
    </w:p>
    <w:p>
      <w:pPr>
        <w:ind w:left="432" w:right="3339" w:hanging="432"/>
        <w:spacing w:after="0" w:line="275"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69" w:lineRule="exact"/>
        <w:rPr>
          <w:rFonts w:ascii="Courier New" w:cs="Courier New" w:eastAsia="Courier New" w:hAnsi="Courier New"/>
          <w:sz w:val="14"/>
          <w:szCs w:val="14"/>
          <w:color w:val="auto"/>
        </w:rPr>
      </w:pPr>
    </w:p>
    <w:p>
      <w:pPr>
        <w:ind w:left="432" w:right="333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pacing w:after="0" w:line="77" w:lineRule="exact"/>
        <w:rPr>
          <w:rFonts w:ascii="Courier New" w:cs="Courier New" w:eastAsia="Courier New" w:hAnsi="Courier New"/>
          <w:sz w:val="14"/>
          <w:szCs w:val="14"/>
          <w:color w:val="auto"/>
        </w:rPr>
      </w:pPr>
    </w:p>
    <w:p>
      <w:pPr>
        <w:ind w:left="432" w:right="3419" w:hanging="432"/>
        <w:spacing w:after="0" w:line="282" w:lineRule="auto"/>
        <w:tabs>
          <w:tab w:leader="none" w:pos="43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long-term incentive award will be a performance stock grant made in restricted shares of the common stock of Winnebago Industries, Inc. The amount of the participants' long-term incentive award for the three (3) year fiscal period shall be in direct proportion to the financial performance expressed as a percentage (Financial Factor)</w:t>
      </w:r>
    </w:p>
    <w:p>
      <w:pPr>
        <w:sectPr>
          <w:pgSz w:w="11900" w:h="16838" w:orient="portrait"/>
          <w:cols w:equalWidth="0" w:num="1">
            <w:col w:w="10231"/>
          </w:cols>
          <w:pgMar w:left="228" w:top="115" w:right="1440" w:bottom="1003" w:gutter="0" w:footer="0" w:header="0"/>
        </w:sectPr>
      </w:pPr>
    </w:p>
    <w:bookmarkStart w:id="26" w:name="page27"/>
    <w:bookmarkEnd w:id="26"/>
    <w:p>
      <w:pPr>
        <w:jc w:val="both"/>
        <w:ind w:left="432" w:right="3419"/>
        <w:spacing w:after="0" w:line="292" w:lineRule="auto"/>
        <w:rPr>
          <w:sz w:val="20"/>
          <w:szCs w:val="20"/>
          <w:color w:val="auto"/>
        </w:rPr>
      </w:pPr>
      <w:r>
        <w:rPr>
          <w:rFonts w:ascii="Courier New" w:cs="Courier New" w:eastAsia="Courier New" w:hAnsi="Courier New"/>
          <w:sz w:val="14"/>
          <w:szCs w:val="14"/>
          <w:color w:val="auto"/>
        </w:rPr>
        <w:t>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56" w:lineRule="exact"/>
        <w:rPr>
          <w:sz w:val="20"/>
          <w:szCs w:val="20"/>
          <w:color w:val="auto"/>
        </w:rPr>
      </w:pPr>
    </w:p>
    <w:p>
      <w:pPr>
        <w:ind w:left="432" w:right="3419"/>
        <w:spacing w:after="0" w:line="263" w:lineRule="auto"/>
        <w:rPr>
          <w:sz w:val="20"/>
          <w:szCs w:val="20"/>
          <w:color w:val="auto"/>
        </w:rPr>
      </w:pPr>
      <w:r>
        <w:rPr>
          <w:rFonts w:ascii="Courier New" w:cs="Courier New" w:eastAsia="Courier New" w:hAnsi="Courier New"/>
          <w:sz w:val="14"/>
          <w:szCs w:val="14"/>
          <w:color w:val="auto"/>
        </w:rPr>
        <w:t>The long-term incentive for the officers provides for an opportunity of 25 percent of the annualized base salary (Target) to be awarded in restricted stock at 100 percent achievement of the financial long-term objectives of earnings per share and return on equity. The annualized base salary figure used shall be the salary in place for each participant as of January 2003. The stock target opportunity shall be established by dividing the base salary target by the mean stock price as of the first business day of the three (3) year fiscal period. The resultant stock unit share opportunity (at 100 percent of Plan) will be adjusted up or down as determined by actual financial performance expressed as a percentage (Financial Factor) at the end of the three (3) year fiscal period.</w:t>
      </w:r>
    </w:p>
    <w:p>
      <w:pPr>
        <w:spacing w:after="0" w:line="76" w:lineRule="exact"/>
        <w:rPr>
          <w:sz w:val="20"/>
          <w:szCs w:val="20"/>
          <w:color w:val="auto"/>
        </w:rPr>
      </w:pPr>
    </w:p>
    <w:p>
      <w:pPr>
        <w:ind w:left="432" w:right="3339"/>
        <w:spacing w:after="0" w:line="292" w:lineRule="auto"/>
        <w:rPr>
          <w:sz w:val="20"/>
          <w:szCs w:val="20"/>
          <w:color w:val="auto"/>
        </w:rPr>
      </w:pPr>
      <w:r>
        <w:rPr>
          <w:rFonts w:ascii="Courier New" w:cs="Courier New" w:eastAsia="Courier New" w:hAnsi="Courier New"/>
          <w:sz w:val="14"/>
          <w:szCs w:val="14"/>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56" w:lineRule="exact"/>
        <w:rPr>
          <w:sz w:val="20"/>
          <w:szCs w:val="20"/>
          <w:color w:val="auto"/>
        </w:rPr>
      </w:pPr>
    </w:p>
    <w:p>
      <w:pPr>
        <w:ind w:left="432" w:right="3339" w:hanging="432"/>
        <w:spacing w:after="0" w:line="257" w:lineRule="auto"/>
        <w:tabs>
          <w:tab w:leader="none" w:pos="43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ind w:left="432" w:right="3339" w:hanging="1"/>
        <w:spacing w:after="0" w:line="263" w:lineRule="auto"/>
        <w:tabs>
          <w:tab w:leader="none" w:pos="776"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248" w:lineRule="exact"/>
        <w:rPr>
          <w:sz w:val="20"/>
          <w:szCs w:val="20"/>
          <w:color w:val="auto"/>
        </w:rPr>
      </w:pPr>
    </w:p>
    <w:p>
      <w:pPr>
        <w:ind w:left="432" w:right="3339"/>
        <w:spacing w:after="0" w:line="259"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7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For the purpose of the definition "Change of Control":</w:t>
      </w:r>
    </w:p>
    <w:p>
      <w:pPr>
        <w:spacing w:after="0" w:line="173" w:lineRule="exact"/>
        <w:rPr>
          <w:sz w:val="20"/>
          <w:szCs w:val="20"/>
          <w:color w:val="auto"/>
        </w:rPr>
      </w:pPr>
    </w:p>
    <w:p>
      <w:pPr>
        <w:ind w:left="1292" w:right="3339" w:hanging="430"/>
        <w:spacing w:after="0" w:line="262" w:lineRule="auto"/>
        <w:tabs>
          <w:tab w:leader="none" w:pos="129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w:t>
      </w:r>
    </w:p>
    <w:p>
      <w:pPr>
        <w:sectPr>
          <w:pgSz w:w="11900" w:h="16838" w:orient="portrait"/>
          <w:cols w:equalWidth="0" w:num="1">
            <w:col w:w="10231"/>
          </w:cols>
          <w:pgMar w:left="228" w:top="756" w:right="1440" w:bottom="1440" w:gutter="0" w:footer="0" w:header="0"/>
        </w:sectPr>
      </w:pPr>
    </w:p>
    <w:bookmarkStart w:id="27" w:name="page28"/>
    <w:bookmarkEnd w:id="27"/>
    <w:p>
      <w:pPr>
        <w:ind w:left="1300" w:right="3519"/>
        <w:spacing w:after="0" w:line="375" w:lineRule="auto"/>
        <w:rPr>
          <w:sz w:val="20"/>
          <w:szCs w:val="20"/>
          <w:color w:val="auto"/>
        </w:rPr>
      </w:pPr>
      <w:r>
        <w:rPr>
          <w:rFonts w:ascii="Courier New" w:cs="Courier New" w:eastAsia="Courier New" w:hAnsi="Courier New"/>
          <w:sz w:val="14"/>
          <w:szCs w:val="14"/>
          <w:color w:val="auto"/>
        </w:rPr>
        <w:t>elected to succeed the Continuing Director by a majority of the Continuing Directors.</w:t>
      </w:r>
    </w:p>
    <w:p>
      <w:pPr>
        <w:spacing w:after="0" w:line="1" w:lineRule="exact"/>
        <w:rPr>
          <w:sz w:val="20"/>
          <w:szCs w:val="20"/>
          <w:color w:val="auto"/>
        </w:rPr>
      </w:pPr>
    </w:p>
    <w:p>
      <w:pPr>
        <w:ind w:left="1300" w:right="3339" w:hanging="430"/>
        <w:spacing w:after="0" w:line="271" w:lineRule="auto"/>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percent or more of the outstanding stock of the Company if such acquisition occurs in whole or in part, except that the term "Acquiring Person" shall not include a Hanson Family Member or an Affiliate or Associate of a Hanson Family Member.</w:t>
      </w:r>
    </w:p>
    <w:p>
      <w:pPr>
        <w:spacing w:after="0" w:line="71" w:lineRule="exact"/>
        <w:rPr>
          <w:rFonts w:ascii="Courier New" w:cs="Courier New" w:eastAsia="Courier New" w:hAnsi="Courier New"/>
          <w:sz w:val="14"/>
          <w:szCs w:val="14"/>
          <w:color w:val="auto"/>
        </w:rPr>
      </w:pPr>
    </w:p>
    <w:p>
      <w:pPr>
        <w:ind w:left="1300" w:right="3419" w:hanging="430"/>
        <w:spacing w:after="0" w:line="313" w:lineRule="auto"/>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42" w:lineRule="exact"/>
        <w:rPr>
          <w:rFonts w:ascii="Courier New" w:cs="Courier New" w:eastAsia="Courier New" w:hAnsi="Courier New"/>
          <w:sz w:val="14"/>
          <w:szCs w:val="14"/>
          <w:color w:val="auto"/>
        </w:rPr>
      </w:pPr>
    </w:p>
    <w:p>
      <w:pPr>
        <w:ind w:left="1300" w:right="3339" w:hanging="430"/>
        <w:spacing w:after="0" w:line="262" w:lineRule="auto"/>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percent)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75" w:lineRule="exact"/>
        <w:rPr>
          <w:rFonts w:ascii="Courier New" w:cs="Courier New" w:eastAsia="Courier New" w:hAnsi="Courier New"/>
          <w:sz w:val="14"/>
          <w:szCs w:val="14"/>
          <w:color w:val="auto"/>
        </w:rPr>
      </w:pPr>
    </w:p>
    <w:p>
      <w:pPr>
        <w:ind w:left="1300" w:right="3339" w:hanging="430"/>
        <w:spacing w:after="0" w:line="275" w:lineRule="auto"/>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6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2" w:lineRule="exact"/>
        <w:rPr>
          <w:rFonts w:ascii="Courier New" w:cs="Courier New" w:eastAsia="Courier New" w:hAnsi="Courier New"/>
          <w:sz w:val="14"/>
          <w:szCs w:val="14"/>
          <w:color w:val="auto"/>
        </w:rPr>
      </w:pPr>
    </w:p>
    <w:p>
      <w:pPr>
        <w:ind w:left="1300" w:right="3599" w:hanging="430"/>
        <w:spacing w:after="0" w:line="292" w:lineRule="auto"/>
        <w:tabs>
          <w:tab w:leader="none" w:pos="13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56" w:lineRule="exact"/>
        <w:rPr>
          <w:rFonts w:ascii="Courier New" w:cs="Courier New" w:eastAsia="Courier New" w:hAnsi="Courier New"/>
          <w:sz w:val="14"/>
          <w:szCs w:val="14"/>
          <w:color w:val="auto"/>
        </w:rPr>
      </w:pPr>
    </w:p>
    <w:p>
      <w:pPr>
        <w:ind w:left="440" w:right="3599" w:hanging="432"/>
        <w:spacing w:after="0" w:line="313"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42" w:lineRule="exact"/>
        <w:rPr>
          <w:rFonts w:ascii="Courier New" w:cs="Courier New" w:eastAsia="Courier New" w:hAnsi="Courier New"/>
          <w:sz w:val="14"/>
          <w:szCs w:val="14"/>
          <w:color w:val="auto"/>
        </w:rPr>
      </w:pPr>
    </w:p>
    <w:p>
      <w:pPr>
        <w:jc w:val="both"/>
        <w:ind w:left="440" w:right="3419" w:hanging="432"/>
        <w:spacing w:after="0" w:line="292"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80" w:type="dxa"/>
            <w:vAlign w:val="bottom"/>
            <w:vMerge w:val="restart"/>
          </w:tcPr>
          <w:p>
            <w:pPr>
              <w:spacing w:after="0"/>
              <w:rPr>
                <w:sz w:val="20"/>
                <w:szCs w:val="20"/>
                <w:color w:val="auto"/>
              </w:rPr>
            </w:pPr>
            <w:r>
              <w:rPr>
                <w:rFonts w:ascii="Courier New" w:cs="Courier New" w:eastAsia="Courier New" w:hAnsi="Courier New"/>
                <w:sz w:val="28"/>
                <w:szCs w:val="28"/>
                <w:color w:val="auto"/>
                <w:w w:val="88"/>
                <w:vertAlign w:val="subscript"/>
              </w:rPr>
              <w:t>Bruce</w:t>
            </w:r>
            <w:r>
              <w:rPr>
                <w:rFonts w:ascii="Courier New" w:cs="Courier New" w:eastAsia="Courier New" w:hAnsi="Courier New"/>
                <w:sz w:val="14"/>
                <w:szCs w:val="14"/>
                <w:color w:val="auto"/>
                <w:w w:val="88"/>
              </w:rPr>
              <w:t>-----------------------------------------</w:t>
            </w:r>
            <w:r>
              <w:rPr>
                <w:rFonts w:ascii="Courier New" w:cs="Courier New" w:eastAsia="Courier New" w:hAnsi="Courier New"/>
                <w:sz w:val="28"/>
                <w:szCs w:val="28"/>
                <w:color w:val="auto"/>
                <w:w w:val="88"/>
                <w:vertAlign w:val="subscript"/>
              </w:rPr>
              <w:t>D.Hertzke</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26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Dated</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Chairman of the Board, CEO and President</w:t>
            </w: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480" w:type="dxa"/>
            <w:vAlign w:val="bottom"/>
            <w:vMerge w:val="restart"/>
          </w:tcPr>
          <w:p>
            <w:pPr>
              <w:spacing w:after="0"/>
              <w:rPr>
                <w:sz w:val="20"/>
                <w:szCs w:val="20"/>
                <w:color w:val="auto"/>
              </w:rPr>
            </w:pPr>
            <w:r>
              <w:rPr>
                <w:rFonts w:ascii="Courier New" w:cs="Courier New" w:eastAsia="Courier New" w:hAnsi="Courier New"/>
                <w:sz w:val="28"/>
                <w:szCs w:val="28"/>
                <w:color w:val="auto"/>
                <w:w w:val="78"/>
                <w:vertAlign w:val="subscript"/>
              </w:rPr>
              <w:t>Frederick</w:t>
            </w:r>
            <w:r>
              <w:rPr>
                <w:rFonts w:ascii="Courier New" w:cs="Courier New" w:eastAsia="Courier New" w:hAnsi="Courier New"/>
                <w:sz w:val="14"/>
                <w:szCs w:val="14"/>
                <w:color w:val="auto"/>
                <w:w w:val="78"/>
              </w:rPr>
              <w:t>-----------------------------------------</w:t>
            </w:r>
            <w:r>
              <w:rPr>
                <w:rFonts w:ascii="Courier New" w:cs="Courier New" w:eastAsia="Courier New" w:hAnsi="Courier New"/>
                <w:sz w:val="28"/>
                <w:szCs w:val="28"/>
                <w:color w:val="auto"/>
                <w:w w:val="78"/>
                <w:vertAlign w:val="subscript"/>
              </w:rPr>
              <w:t>M.Zimmerman</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26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Dated</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Human Resources Committee Chairman</w:t>
            </w: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28" w:name="page29"/>
    <w:bookmarkEnd w:id="28"/>
    <w:p>
      <w:pPr>
        <w:ind w:left="2940"/>
        <w:spacing w:after="0"/>
        <w:rPr>
          <w:sz w:val="20"/>
          <w:szCs w:val="20"/>
          <w:color w:val="auto"/>
        </w:rPr>
      </w:pPr>
      <w:r>
        <w:rPr>
          <w:rFonts w:ascii="Courier New" w:cs="Courier New" w:eastAsia="Courier New" w:hAnsi="Courier New"/>
          <w:sz w:val="14"/>
          <w:szCs w:val="14"/>
          <w:color w:val="auto"/>
        </w:rPr>
        <w:t>EXHIBIT 10u</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GROUP A - OFFICERS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FISCAL PERIOD 2001-2002</w:t>
      </w:r>
    </w:p>
    <w:p>
      <w:pPr>
        <w:spacing w:after="0" w:line="14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PLAN AMENDMENT</w:t>
      </w:r>
    </w:p>
    <w:p>
      <w:pPr>
        <w:spacing w:after="0" w:line="338"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On October 9, 2002, the Board of Directors of Winnebago Industries, Inc. adopted a Resolution amending the Officers Incentive Compensation Plan for the Fiscal Period 2001-2002 in accordance with a recommendation made by the Human Resources Committee. Such amendment restated Section 7 of the Plan which had provided for an annual stock match equal to 50 percent of the total cash incentives earned for the year to give the officer the option of taking such annual supplementary Company match either in cash or in the form of restricted Company stock. The text of the Resolution adopted by the Board is as follows:</w:t>
      </w:r>
    </w:p>
    <w:p>
      <w:pPr>
        <w:spacing w:after="0" w:line="74"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WHEREAS, the Board of Directors adopted the Winnebago Industries, Inc. Officers Incentive Compensation Plan (Fiscal Period 2001-2002) at its meeting on June 20, 2001 to be effective as of September 2, 2001;</w:t>
      </w:r>
    </w:p>
    <w:p>
      <w:pPr>
        <w:spacing w:after="0" w:line="42"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WHEREAS, the Human Resources Committee (the "Committee") has reserved the right to amend any rule or regulation of the Plan under Section 2(b) thereof and thus recommend to the Board of Directors the adoption of any such amendment;</w:t>
      </w:r>
    </w:p>
    <w:p>
      <w:pPr>
        <w:spacing w:after="0" w:line="42" w:lineRule="exact"/>
        <w:rPr>
          <w:sz w:val="20"/>
          <w:szCs w:val="20"/>
          <w:color w:val="auto"/>
        </w:rPr>
      </w:pPr>
    </w:p>
    <w:p>
      <w:pPr>
        <w:ind w:right="3339" w:firstLine="775"/>
        <w:spacing w:after="0" w:line="292" w:lineRule="auto"/>
        <w:rPr>
          <w:sz w:val="20"/>
          <w:szCs w:val="20"/>
          <w:color w:val="auto"/>
        </w:rPr>
      </w:pPr>
      <w:r>
        <w:rPr>
          <w:rFonts w:ascii="Courier New" w:cs="Courier New" w:eastAsia="Courier New" w:hAnsi="Courier New"/>
          <w:sz w:val="14"/>
          <w:szCs w:val="14"/>
          <w:color w:val="auto"/>
        </w:rPr>
        <w:t>WHEREAS, the Committee deems it necessary and prudent to amend the Plan in order to permit its participants to elect to receive payment of the annual Company match specified in Paragraph 7 of such Plan, in the form of either cash or restricted Company stock;</w:t>
      </w:r>
    </w:p>
    <w:p>
      <w:pPr>
        <w:spacing w:after="0" w:line="56" w:lineRule="exact"/>
        <w:rPr>
          <w:sz w:val="20"/>
          <w:szCs w:val="20"/>
          <w:color w:val="auto"/>
        </w:rPr>
      </w:pPr>
    </w:p>
    <w:p>
      <w:pPr>
        <w:ind w:right="3779" w:firstLine="775"/>
        <w:spacing w:after="0" w:line="292" w:lineRule="auto"/>
        <w:rPr>
          <w:sz w:val="20"/>
          <w:szCs w:val="20"/>
          <w:color w:val="auto"/>
        </w:rPr>
      </w:pPr>
      <w:r>
        <w:rPr>
          <w:rFonts w:ascii="Courier New" w:cs="Courier New" w:eastAsia="Courier New" w:hAnsi="Courier New"/>
          <w:sz w:val="14"/>
          <w:szCs w:val="14"/>
          <w:color w:val="auto"/>
        </w:rPr>
        <w:t>NOW, THEREFORE, BE IT RESOLVED, that the Board of Directors hereby amends the Winnebago Industries, Inc. Officers Incentive Compensation Plan (Fiscal Period 2001-2002) effective August 31, 2002 by deleting Paragraph 7 therefrom and substituting the following in lieu thereof:</w:t>
      </w:r>
    </w:p>
    <w:p>
      <w:pPr>
        <w:spacing w:after="0" w:line="56" w:lineRule="exact"/>
        <w:rPr>
          <w:sz w:val="20"/>
          <w:szCs w:val="20"/>
          <w:color w:val="auto"/>
        </w:rPr>
      </w:pPr>
    </w:p>
    <w:p>
      <w:pPr>
        <w:ind w:left="1480" w:right="3339" w:hanging="696"/>
        <w:spacing w:after="0" w:line="263" w:lineRule="auto"/>
        <w:tabs>
          <w:tab w:leader="none" w:pos="14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Supplementary Company Match. Fifty percent (50%) of a participant's cash incentive compensation earned for the year, pursuant to Paragraph 5 of this Plan will be matched annually by the Company. The annual supplementary Company match shall be paid as soon as practical after the final year-end incentive compensation accounting and payment of any remaining incentive compensation holdback for the year. Participants shall elect in writing within 45 days following the end of the fiscal year whether to receive the total of any such annual supplementary Company match in the form of cash or in the form of restricted Company stock.</w:t>
      </w:r>
    </w:p>
    <w:p>
      <w:pPr>
        <w:sectPr>
          <w:pgSz w:w="11900" w:h="16838" w:orient="portrait"/>
          <w:cols w:equalWidth="0" w:num="1">
            <w:col w:w="10239"/>
          </w:cols>
          <w:pgMar w:left="220" w:top="115" w:right="1440" w:bottom="1440" w:gutter="0" w:footer="0" w:header="0"/>
        </w:sectPr>
      </w:pPr>
    </w:p>
    <w:bookmarkStart w:id="29" w:name="page30"/>
    <w:bookmarkEnd w:id="29"/>
    <w:p>
      <w:pPr>
        <w:ind w:left="234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Mission Statement</w:t>
      </w:r>
      <w:r>
        <w:rPr>
          <w:sz w:val="20"/>
          <w:szCs w:val="20"/>
          <w:color w:val="auto"/>
        </w:rPr>
        <w:tab/>
      </w:r>
      <w:r>
        <w:rPr>
          <w:rFonts w:ascii="Courier New" w:cs="Courier New" w:eastAsia="Courier New" w:hAnsi="Courier New"/>
          <w:sz w:val="13"/>
          <w:szCs w:val="13"/>
          <w:color w:val="auto"/>
        </w:rPr>
        <w:t>1</w:t>
      </w:r>
    </w:p>
    <w:p>
      <w:pPr>
        <w:spacing w:after="0" w:line="33"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Report to Shareholders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Operations Review</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Motor Home Product Classification</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Consolidated Statements of Income</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 in Stockholders'</w:t>
      </w:r>
    </w:p>
    <w:p>
      <w:pPr>
        <w:spacing w:after="0" w:line="7" w:lineRule="exact"/>
        <w:rPr>
          <w:sz w:val="20"/>
          <w:szCs w:val="20"/>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Equity</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Report of Independent Auditors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Common Stock Data</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Cash Dividends Per Share</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Interim Financial Information</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Shareholder Information</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spacing w:after="0"/>
        <w:tabs>
          <w:tab w:leader="dot" w:pos="5940" w:val="left"/>
        </w:tabs>
        <w:rPr>
          <w:sz w:val="20"/>
          <w:szCs w:val="20"/>
          <w:color w:val="auto"/>
        </w:rPr>
      </w:pP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Inside Back</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Cover</w:t>
      </w:r>
    </w:p>
    <w:p>
      <w:pPr>
        <w:spacing w:after="0" w:line="31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CORPORATE PROFILE</w:t>
      </w:r>
    </w:p>
    <w:p>
      <w:pPr>
        <w:spacing w:after="0" w:line="173"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Winnebago Industries, Inc., headquartered in Forest City, Iowa, is the leading United States (U.S.) manufacturer of motor homes, self-contained recreation vehicles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dealers under the Winnebago(R), Itasca(R), Rialta(R) and Ultimate(R) brand names. The Company markets its recreation vehicles on a wholesale basis to a diversified dealer organization located throughout the U.S., and to a limited extent, in Canada. As of August 31, 2002, the motor home dealer organization in the U.S. and Canada included approximately 295 dealer locations. Motor home sales by Winnebago Industries represented at least 89 percent of its revenues in each of the past five fiscal years. In addition, the Company's subsidiary, Winnebago Acceptance Corporation, engages in floor plan financing for a limited number of the Company's dealers. Other products manufactured by the Company consist principally of a variety of component parts for other manufacturers.</w:t>
      </w:r>
    </w:p>
    <w:p>
      <w:pPr>
        <w:spacing w:after="0" w:line="83" w:lineRule="exact"/>
        <w:rPr>
          <w:sz w:val="20"/>
          <w:szCs w:val="20"/>
          <w:color w:val="auto"/>
        </w:rPr>
      </w:pPr>
    </w:p>
    <w:p>
      <w:pPr>
        <w:ind w:right="3519" w:firstLine="431"/>
        <w:spacing w:after="0" w:line="376" w:lineRule="auto"/>
        <w:rPr>
          <w:sz w:val="20"/>
          <w:szCs w:val="20"/>
          <w:color w:val="auto"/>
        </w:rPr>
      </w:pPr>
      <w:r>
        <w:rPr>
          <w:rFonts w:ascii="Courier New" w:cs="Courier New" w:eastAsia="Courier New" w:hAnsi="Courier New"/>
          <w:sz w:val="14"/>
          <w:szCs w:val="14"/>
          <w:color w:val="auto"/>
        </w:rPr>
        <w:t>Winnebago Industries was incorporated under the laws of the state of Iowa on February 12, 1958, and adopted its present name on February 28, 1961.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RECENT FINANCIAL PERFORMANCE</w:t>
            </w:r>
          </w:p>
        </w:tc>
        <w:tc>
          <w:tcPr>
            <w:tcW w:w="10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DATA)</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THOUSANDS, EXCEPT PER SHARE</w:t>
            </w:r>
          </w:p>
        </w:tc>
        <w:tc>
          <w:tcPr>
            <w:tcW w:w="1080" w:type="dxa"/>
            <w:vAlign w:val="bottom"/>
            <w:gridSpan w:val="2"/>
            <w:vMerge w:val="continue"/>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160" w:type="dxa"/>
            <w:vAlign w:val="bottom"/>
          </w:tcPr>
          <w:p>
            <w:pPr>
              <w:spacing w:after="0"/>
              <w:rPr>
                <w:sz w:val="24"/>
                <w:szCs w:val="24"/>
                <w:color w:val="auto"/>
              </w:rPr>
            </w:pPr>
          </w:p>
        </w:tc>
        <w:tc>
          <w:tcPr>
            <w:tcW w:w="250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FISCAL 2002</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FISCAL 2001</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2002 TO 2001</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250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(53 WEEKS)</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(52 WEEKS)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OF CHANGE</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828,403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675,927</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22.6%</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119,538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87,366</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36.8%</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81,197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55,474</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46.4%</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54,671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42,704</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28.0%</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32.0%</w:t>
            </w: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Diluted Weighted Average Outstanding</w:t>
            </w: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20,384</w:t>
            </w:r>
          </w:p>
        </w:tc>
        <w:tc>
          <w:tcPr>
            <w:tcW w:w="18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21,040</w:t>
            </w:r>
          </w:p>
        </w:tc>
        <w:tc>
          <w:tcPr>
            <w:tcW w:w="116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242"/>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MISSION STATEMENT</w:t>
      </w:r>
    </w:p>
    <w:p>
      <w:pPr>
        <w:spacing w:after="0" w:line="147"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Winnebago Industries, Inc. is the leading United States manufacturer of motor homes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of products. These strategies allow us to prosper as a business with a high degree of integrity and to provide a reasonable return for our shareholders, the ultimate owners of our business.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VALUES</w:t>
      </w:r>
    </w:p>
    <w:p>
      <w:pPr>
        <w:spacing w:after="0" w:line="173"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How we accomplish our mission is as important as the mission itself. Fundamental to the success of the Company are these basic values we describe as the four Ps:</w:t>
      </w:r>
    </w:p>
    <w:p>
      <w:pPr>
        <w:spacing w:after="0" w:line="42"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PEOPLE -- Our employees are the source of our strength. They provide our corporate intelligence and determine our reputation and vitality. Involvement and teamwork are our core corporate values.</w:t>
      </w:r>
    </w:p>
    <w:p>
      <w:pPr>
        <w:spacing w:after="0" w:line="4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PRODUCTS -- Our products are the end result of our teamwork's combined efforts, and they should be the best in meeting or exceeding our customers' expectations. As our products are viewed, so are we viewed.</w:t>
      </w:r>
    </w:p>
    <w:p>
      <w:pPr>
        <w:sectPr>
          <w:pgSz w:w="11900" w:h="16838" w:orient="portrait"/>
          <w:cols w:equalWidth="0" w:num="1">
            <w:col w:w="10239"/>
          </w:cols>
          <w:pgMar w:left="220" w:top="115" w:right="1440" w:bottom="0" w:gutter="0" w:footer="0" w:header="0"/>
        </w:sectPr>
      </w:pPr>
    </w:p>
    <w:bookmarkStart w:id="30" w:name="page31"/>
    <w:bookmarkEnd w:id="30"/>
    <w:p>
      <w:pPr>
        <w:ind w:right="3419"/>
        <w:spacing w:after="0" w:line="292" w:lineRule="auto"/>
        <w:rPr>
          <w:sz w:val="20"/>
          <w:szCs w:val="20"/>
          <w:color w:val="auto"/>
        </w:rPr>
      </w:pPr>
      <w:r>
        <w:rPr>
          <w:rFonts w:ascii="Courier New" w:cs="Courier New" w:eastAsia="Courier New" w:hAnsi="Courier New"/>
          <w:sz w:val="14"/>
          <w:szCs w:val="14"/>
          <w:color w:val="auto"/>
        </w:rPr>
        <w:t>PLANT -- We believe our facilities to be the most technologically advanced in the RV industry. We continue to review facility improvements that will increase the utilization of our plant capacity and enable us to build the best quality product for the investment.</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PROFITABILITY -- 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GUIDING PRINCIPLES</w:t>
      </w:r>
    </w:p>
    <w:p>
      <w:pPr>
        <w:spacing w:after="0" w:line="173"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QUALITY COMES FIRST -- To achieve customer satisfaction, the quality of our products and services must be our number one priority.</w:t>
      </w:r>
    </w:p>
    <w:p>
      <w:pPr>
        <w:spacing w:after="0" w:line="1"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CUSTOMERS ARE CENTRAL TO OUR EXISTENCE -- Our work must be done with our customers in mind, providing products and services that meet or exceed the expectations of our customers. We must not only satisfy our customers, we must also surprise and delight them.</w:t>
      </w:r>
    </w:p>
    <w:p>
      <w:pPr>
        <w:spacing w:after="0" w:line="56"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CONTINUOUS IMPROVEMENT IS ESSENTIAL TO OUR SUCCESS -- We must strive for excellence in everything we do: in our products, in their safety and value, as well as in our services, our human relations, our competitiveness and our profitability.</w:t>
      </w:r>
    </w:p>
    <w:p>
      <w:pPr>
        <w:spacing w:after="0" w:line="56"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EMPLOYEE INVOLVEMENT IS OUR WAY OF LIFE -- We are a team. We must treat each other with trust and respect.</w:t>
      </w:r>
    </w:p>
    <w:p>
      <w:pPr>
        <w:spacing w:after="0" w:line="1"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DEALERS AND SUPPLIERS ARE OUR PARTNERS -- The Company must maintain mutually beneficial relationships with dealers, suppliers and our other business associates.</w:t>
      </w:r>
    </w:p>
    <w:p>
      <w:pPr>
        <w:spacing w:after="0" w:line="4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INTEGRITY IS NEVER COMPROMISED -- The Company must pursue conduct in a manner that is socially responsible and that commands respect for its integrity and for its positive contributions to society.</w:t>
      </w:r>
    </w:p>
    <w:p>
      <w:pPr>
        <w:spacing w:after="0" w:line="42" w:lineRule="exact"/>
        <w:rPr>
          <w:sz w:val="20"/>
          <w:szCs w:val="20"/>
          <w:color w:val="auto"/>
        </w:rPr>
      </w:pPr>
    </w:p>
    <w:tbl>
      <w:tblPr>
        <w:tblLayout w:type="fixed"/>
        <w:tblInd w:w="1640" w:type="dxa"/>
        <w:tblCellMar>
          <w:top w:w="0" w:type="dxa"/>
          <w:left w:w="0" w:type="dxa"/>
          <w:bottom w:w="0" w:type="dxa"/>
          <w:right w:w="0" w:type="dxa"/>
        </w:tblCellMar>
      </w:tblPr>
      <w:tr>
        <w:trPr>
          <w:trHeight w:val="242"/>
        </w:trPr>
        <w:tc>
          <w:tcPr>
            <w:tcW w:w="660" w:type="dxa"/>
            <w:vAlign w:val="bottom"/>
          </w:tcPr>
          <w:p>
            <w:pPr>
              <w:spacing w:after="0"/>
              <w:rPr>
                <w:sz w:val="21"/>
                <w:szCs w:val="21"/>
                <w:color w:val="auto"/>
              </w:rPr>
            </w:pPr>
          </w:p>
        </w:tc>
        <w:tc>
          <w:tcPr>
            <w:tcW w:w="23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[PLOT POINTS CHARTS]</w:t>
            </w:r>
          </w:p>
        </w:tc>
        <w:tc>
          <w:tcPr>
            <w:tcW w:w="640" w:type="dxa"/>
            <w:vAlign w:val="bottom"/>
          </w:tcPr>
          <w:p>
            <w:pPr>
              <w:spacing w:after="0"/>
              <w:rPr>
                <w:sz w:val="21"/>
                <w:szCs w:val="21"/>
                <w:color w:val="auto"/>
              </w:rPr>
            </w:pPr>
          </w:p>
        </w:tc>
      </w:tr>
      <w:tr>
        <w:trPr>
          <w:trHeight w:val="255"/>
        </w:trPr>
        <w:tc>
          <w:tcPr>
            <w:tcW w:w="660" w:type="dxa"/>
            <w:vAlign w:val="bottom"/>
          </w:tcPr>
          <w:p>
            <w:pPr>
              <w:spacing w:after="0"/>
              <w:rPr>
                <w:sz w:val="22"/>
                <w:szCs w:val="22"/>
                <w:color w:val="auto"/>
              </w:rPr>
            </w:pPr>
          </w:p>
        </w:tc>
        <w:tc>
          <w:tcPr>
            <w:tcW w:w="23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WINNEBAGO INDUSTRIES'</w:t>
            </w:r>
          </w:p>
        </w:tc>
        <w:tc>
          <w:tcPr>
            <w:tcW w:w="640" w:type="dxa"/>
            <w:vAlign w:val="bottom"/>
          </w:tcPr>
          <w:p>
            <w:pPr>
              <w:spacing w:after="0"/>
              <w:rPr>
                <w:sz w:val="22"/>
                <w:szCs w:val="22"/>
                <w:color w:val="auto"/>
              </w:rPr>
            </w:pPr>
          </w:p>
        </w:tc>
      </w:tr>
      <w:tr>
        <w:trPr>
          <w:trHeight w:val="166"/>
        </w:trPr>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REVENUES</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2"/>
        </w:trPr>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MILLIONS)</w:t>
            </w:r>
          </w:p>
        </w:tc>
        <w:tc>
          <w:tcPr>
            <w:tcW w:w="640" w:type="dxa"/>
            <w:vAlign w:val="bottom"/>
          </w:tcPr>
          <w:p>
            <w:pPr>
              <w:spacing w:after="0"/>
              <w:rPr>
                <w:sz w:val="21"/>
                <w:szCs w:val="21"/>
                <w:color w:val="auto"/>
              </w:rPr>
            </w:pPr>
          </w:p>
        </w:tc>
      </w:tr>
      <w:tr>
        <w:trPr>
          <w:trHeight w:val="255"/>
        </w:trPr>
        <w:tc>
          <w:tcPr>
            <w:tcW w:w="6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242"/>
        </w:trPr>
        <w:tc>
          <w:tcPr>
            <w:tcW w:w="6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$529.4</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$671.6</w:t>
            </w:r>
          </w:p>
        </w:tc>
        <w:tc>
          <w:tcPr>
            <w:tcW w:w="7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$747.6</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$675.9</w:t>
            </w:r>
          </w:p>
        </w:tc>
        <w:tc>
          <w:tcPr>
            <w:tcW w:w="6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$828.4</w:t>
            </w:r>
          </w:p>
        </w:tc>
      </w:tr>
    </w:tbl>
    <w:p>
      <w:pPr>
        <w:spacing w:after="0" w:line="9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WINNEBAGO INDUSTRIES'</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NET INCOME PER DILUTED SHARE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(DOLLARS)</w:t>
      </w:r>
    </w:p>
    <w:p>
      <w:pPr>
        <w:spacing w:after="0" w:line="147" w:lineRule="exact"/>
        <w:rPr>
          <w:sz w:val="20"/>
          <w:szCs w:val="20"/>
          <w:color w:val="auto"/>
        </w:rPr>
      </w:pPr>
    </w:p>
    <w:p>
      <w:pPr>
        <w:ind w:left="1980"/>
        <w:spacing w:after="0"/>
        <w:tabs>
          <w:tab w:leader="none" w:pos="2660" w:val="left"/>
          <w:tab w:leader="none" w:pos="3260" w:val="left"/>
          <w:tab w:leader="none" w:pos="3860" w:val="left"/>
          <w:tab w:leader="none" w:pos="44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2002</w:t>
      </w:r>
    </w:p>
    <w:p>
      <w:pPr>
        <w:spacing w:after="0" w:line="33" w:lineRule="exact"/>
        <w:rPr>
          <w:sz w:val="20"/>
          <w:szCs w:val="20"/>
          <w:color w:val="auto"/>
        </w:rPr>
      </w:pPr>
    </w:p>
    <w:p>
      <w:pPr>
        <w:ind w:left="2600" w:hanging="697"/>
        <w:spacing w:after="0"/>
        <w:tabs>
          <w:tab w:leader="none" w:pos="26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   $1.96  $2.20  $2.03  $2.68</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1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TO MY FELLOW SHAREHOLDERS:</w:t>
      </w:r>
    </w:p>
    <w:p>
      <w:pPr>
        <w:spacing w:after="0" w:line="173" w:lineRule="exact"/>
        <w:rPr>
          <w:sz w:val="20"/>
          <w:szCs w:val="20"/>
          <w:color w:val="auto"/>
        </w:rPr>
      </w:pPr>
    </w:p>
    <w:p>
      <w:pPr>
        <w:ind w:right="3599" w:firstLine="431"/>
        <w:spacing w:after="0" w:line="263" w:lineRule="auto"/>
        <w:rPr>
          <w:sz w:val="20"/>
          <w:szCs w:val="20"/>
          <w:color w:val="auto"/>
        </w:rPr>
      </w:pPr>
      <w:r>
        <w:rPr>
          <w:rFonts w:ascii="Courier New" w:cs="Courier New" w:eastAsia="Courier New" w:hAnsi="Courier New"/>
          <w:sz w:val="14"/>
          <w:szCs w:val="14"/>
          <w:color w:val="auto"/>
        </w:rPr>
        <w:t>Leadership is the focus of our 2002 Annual Report. Of course, leadership comes in many forms and we will detail Winnebago Industries' many leadership qualities and their benefit to our shareholders throughout this report.</w:t>
      </w:r>
    </w:p>
    <w:p>
      <w:pPr>
        <w:spacing w:after="0" w:line="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We were extremely pleased with the record revenues and earnings posted for Winnebago Industries during fiscal 2002.</w:t>
      </w:r>
    </w:p>
    <w:p>
      <w:pPr>
        <w:spacing w:after="0" w:line="1"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Company's revenues for fiscal 2002 (53 weeks) were a record $828.4 million, a 22.6 percent increase compared to revenues of $675.9 million for the previous fiscal year (52 weeks).</w:t>
      </w:r>
    </w:p>
    <w:p>
      <w:pPr>
        <w:spacing w:after="0" w:line="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income and diluted income per share for fiscal 2002 were a record $54.7 million, or $2.68 per share, increases of 28 percent and 32 percent, respectively, compared to net income of $42.7 million and diluted income per share of $2.03 for the previous fiscal year, which includes a $4.5 million one time tax benefit (or 21 cents per diluted share).</w:t>
      </w:r>
    </w:p>
    <w:p>
      <w:pPr>
        <w:spacing w:after="0" w:line="2"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Definitely, a lot of hard work by our employees and our dealers proved successful in a less than ideal economic environment.</w:t>
      </w:r>
    </w:p>
    <w:tbl>
      <w:tblPr>
        <w:tblLayout w:type="fixed"/>
        <w:tblInd w:w="0" w:type="dxa"/>
        <w:tblCellMar>
          <w:top w:w="0" w:type="dxa"/>
          <w:left w:w="0" w:type="dxa"/>
          <w:bottom w:w="0" w:type="dxa"/>
          <w:right w:w="0" w:type="dxa"/>
        </w:tblCellMar>
      </w:tblPr>
      <w:tr>
        <w:trPr>
          <w:trHeight w:val="141"/>
        </w:trPr>
        <w:tc>
          <w:tcPr>
            <w:tcW w:w="1420" w:type="dxa"/>
            <w:vAlign w:val="bottom"/>
          </w:tcPr>
          <w:p>
            <w:pPr>
              <w:ind w:left="440"/>
              <w:spacing w:after="0" w:line="141" w:lineRule="exact"/>
              <w:rPr>
                <w:sz w:val="20"/>
                <w:szCs w:val="20"/>
                <w:color w:val="auto"/>
              </w:rPr>
            </w:pPr>
            <w:r>
              <w:rPr>
                <w:rFonts w:ascii="Courier New" w:cs="Courier New" w:eastAsia="Courier New" w:hAnsi="Courier New"/>
                <w:sz w:val="14"/>
                <w:szCs w:val="14"/>
                <w:color w:val="auto"/>
              </w:rPr>
              <w:t>Starting in</w:t>
            </w:r>
          </w:p>
        </w:tc>
        <w:tc>
          <w:tcPr>
            <w:tcW w:w="2860" w:type="dxa"/>
            <w:vAlign w:val="bottom"/>
            <w:gridSpan w:val="2"/>
          </w:tcPr>
          <w:p>
            <w:pPr>
              <w:jc w:val="right"/>
              <w:spacing w:after="0" w:line="141" w:lineRule="exact"/>
              <w:rPr>
                <w:sz w:val="20"/>
                <w:szCs w:val="20"/>
                <w:color w:val="auto"/>
              </w:rPr>
            </w:pPr>
            <w:r>
              <w:rPr>
                <w:rFonts w:ascii="Courier New" w:cs="Courier New" w:eastAsia="Courier New" w:hAnsi="Courier New"/>
                <w:sz w:val="14"/>
                <w:szCs w:val="14"/>
                <w:color w:val="auto"/>
              </w:rPr>
              <w:t>1997, we challenged ourselves to</w:t>
            </w:r>
          </w:p>
        </w:tc>
        <w:tc>
          <w:tcPr>
            <w:tcW w:w="600" w:type="dxa"/>
            <w:vAlign w:val="bottom"/>
          </w:tcPr>
          <w:p>
            <w:pPr>
              <w:ind w:left="40"/>
              <w:spacing w:after="0" w:line="141" w:lineRule="exact"/>
              <w:rPr>
                <w:sz w:val="20"/>
                <w:szCs w:val="20"/>
                <w:color w:val="auto"/>
              </w:rPr>
            </w:pPr>
            <w:r>
              <w:rPr>
                <w:rFonts w:ascii="Courier New" w:cs="Courier New" w:eastAsia="Courier New" w:hAnsi="Courier New"/>
                <w:sz w:val="14"/>
                <w:szCs w:val="14"/>
                <w:color w:val="auto"/>
              </w:rPr>
              <w:t>be the</w:t>
            </w:r>
          </w:p>
        </w:tc>
        <w:tc>
          <w:tcPr>
            <w:tcW w:w="2020" w:type="dxa"/>
            <w:vAlign w:val="bottom"/>
            <w:gridSpan w:val="2"/>
          </w:tcPr>
          <w:p>
            <w:pPr>
              <w:ind w:left="40"/>
              <w:spacing w:after="0" w:line="141" w:lineRule="exact"/>
              <w:rPr>
                <w:sz w:val="20"/>
                <w:szCs w:val="20"/>
                <w:color w:val="auto"/>
              </w:rPr>
            </w:pPr>
            <w:r>
              <w:rPr>
                <w:rFonts w:ascii="Courier New" w:cs="Courier New" w:eastAsia="Courier New" w:hAnsi="Courier New"/>
                <w:sz w:val="14"/>
                <w:szCs w:val="14"/>
                <w:color w:val="auto"/>
              </w:rPr>
              <w:t>most profitable U.S.</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public company in the recreation</w:t>
            </w:r>
          </w:p>
        </w:tc>
        <w:tc>
          <w:tcPr>
            <w:tcW w:w="41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vehicle (RV) industry. We measure profitability</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by using four guidelines: Return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on Assets (ROA),</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Return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Equity (ROE),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as a percent of</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revenues and Net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 percent of</w:t>
            </w:r>
          </w:p>
        </w:tc>
      </w:tr>
      <w:tr>
        <w:trPr>
          <w:trHeight w:val="166"/>
        </w:trPr>
        <w:tc>
          <w:tcPr>
            <w:tcW w:w="4280" w:type="dxa"/>
            <w:vAlign w:val="bottom"/>
            <w:gridSpan w:val="3"/>
          </w:tcPr>
          <w:p>
            <w:pPr>
              <w:spacing w:after="0"/>
              <w:rPr>
                <w:sz w:val="20"/>
                <w:szCs w:val="20"/>
                <w:color w:val="auto"/>
              </w:rPr>
            </w:pPr>
            <w:r>
              <w:rPr>
                <w:rFonts w:ascii="Courier New" w:cs="Courier New" w:eastAsia="Courier New" w:hAnsi="Courier New"/>
                <w:sz w:val="14"/>
                <w:szCs w:val="14"/>
                <w:color w:val="auto"/>
              </w:rPr>
              <w:t>revenues. We have highlighted these statistics in</w:t>
            </w:r>
          </w:p>
        </w:tc>
        <w:tc>
          <w:tcPr>
            <w:tcW w:w="2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our last two Annual Reports</w:t>
            </w:r>
          </w:p>
        </w:tc>
      </w:tr>
      <w:tr>
        <w:trPr>
          <w:trHeight w:val="19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because of their</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importance as a</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means to measure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ourselves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against our</w:t>
            </w:r>
          </w:p>
        </w:tc>
      </w:tr>
    </w:tbl>
    <w:p>
      <w:pPr>
        <w:jc w:val="both"/>
        <w:ind w:right="3419"/>
        <w:spacing w:after="0" w:line="293" w:lineRule="auto"/>
        <w:rPr>
          <w:sz w:val="20"/>
          <w:szCs w:val="20"/>
          <w:color w:val="auto"/>
        </w:rPr>
      </w:pPr>
      <w:r>
        <w:rPr>
          <w:rFonts w:ascii="Courier New" w:cs="Courier New" w:eastAsia="Courier New" w:hAnsi="Courier New"/>
          <w:sz w:val="14"/>
          <w:szCs w:val="14"/>
          <w:color w:val="auto"/>
        </w:rPr>
        <w:t>competitors. Winnebago Industries and the other public motor home manufacturers used in this analysis account for approximately 75 percent of all U.S. Class A and C motor home sales. The graphs shown demonstrate that we not</w:t>
      </w:r>
    </w:p>
    <w:p>
      <w:pPr>
        <w:spacing w:after="0" w:line="5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COMPETITIVE COMPARISON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(Information obtained from last 12 months public filings)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640" w:type="dxa"/>
            <w:vAlign w:val="bottom"/>
          </w:tcPr>
          <w:p>
            <w:pPr>
              <w:spacing w:after="0"/>
              <w:rPr>
                <w:sz w:val="24"/>
                <w:szCs w:val="24"/>
                <w:color w:val="auto"/>
              </w:rPr>
            </w:pP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[BAR CHARTS]</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RV INDUSTRY</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RETURN ON EQUITY</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RETURN</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ON ASSETS</w:t>
            </w: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spacing w:after="0"/>
              <w:rPr>
                <w:sz w:val="22"/>
                <w:szCs w:val="22"/>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15.9%</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COACHMEN INDUSTRIES, INC.</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THOR INDUSTRIES, INC.</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18.5%</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12.7%</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FLEETWOOD ENTERPRISES, INC.</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(18.7)%</w:t>
            </w:r>
          </w:p>
        </w:tc>
        <w:tc>
          <w:tcPr>
            <w:tcW w:w="15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(4.1)%</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MONACO COACH CORPORATION</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0"/>
                <w:szCs w:val="20"/>
                <w:color w:val="auto"/>
              </w:rPr>
            </w:pPr>
            <w:r>
              <w:rPr>
                <w:rFonts w:ascii="Courier New" w:cs="Courier New" w:eastAsia="Courier New" w:hAnsi="Courier New"/>
                <w:sz w:val="14"/>
                <w:szCs w:val="14"/>
                <w:color w:val="auto"/>
              </w:rPr>
              <w:t>NATIONAL RV HOLDINGS, INC.</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(12.3)%</w:t>
            </w:r>
          </w:p>
        </w:tc>
        <w:tc>
          <w:tcPr>
            <w:tcW w:w="1560" w:type="dxa"/>
            <w:vAlign w:val="bottom"/>
          </w:tcPr>
          <w:p>
            <w:pPr>
              <w:spacing w:after="0"/>
              <w:rPr>
                <w:sz w:val="21"/>
                <w:szCs w:val="21"/>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(9.2)%</w:t>
            </w:r>
          </w:p>
        </w:tc>
        <w:tc>
          <w:tcPr>
            <w:tcW w:w="0" w:type="dxa"/>
            <w:vAlign w:val="bottom"/>
          </w:tcPr>
          <w:p>
            <w:pPr>
              <w:spacing w:after="0"/>
              <w:rPr>
                <w:sz w:val="1"/>
                <w:szCs w:val="1"/>
                <w:color w:val="auto"/>
              </w:rPr>
            </w:pPr>
          </w:p>
        </w:tc>
      </w:tr>
      <w:tr>
        <w:trPr>
          <w:trHeight w:val="421"/>
        </w:trPr>
        <w:tc>
          <w:tcPr>
            <w:tcW w:w="26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c>
          <w:tcPr>
            <w:tcW w:w="0" w:type="dxa"/>
            <w:vAlign w:val="bottom"/>
          </w:tcPr>
          <w:p>
            <w:pPr>
              <w:spacing w:after="0"/>
              <w:rPr>
                <w:sz w:val="1"/>
                <w:szCs w:val="1"/>
                <w:color w:val="auto"/>
              </w:rPr>
            </w:pPr>
          </w:p>
        </w:tc>
      </w:t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WINNEBAGO INDUSTRIES, INC.</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40" w:type="dxa"/>
            <w:vAlign w:val="bottom"/>
            <w:vMerge w:val="continue"/>
          </w:tcPr>
          <w:p>
            <w:pPr>
              <w:spacing w:after="0"/>
              <w:rPr>
                <w:sz w:val="14"/>
                <w:szCs w:val="14"/>
                <w:color w:val="auto"/>
              </w:rPr>
            </w:pP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COACHMEN INDUSTRIES, INC.</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THOR INDUSTRIES, INC.</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FLEETWOOD ENTERPRISES, INC.</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w:t>
            </w:r>
          </w:p>
        </w:tc>
        <w:tc>
          <w:tcPr>
            <w:tcW w:w="15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(1.8)%</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MONACO COACH CORPORATION</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w:t>
            </w:r>
          </w:p>
        </w:tc>
        <w:tc>
          <w:tcPr>
            <w:tcW w:w="1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0"/>
                <w:szCs w:val="20"/>
                <w:color w:val="auto"/>
              </w:rPr>
            </w:pPr>
            <w:r>
              <w:rPr>
                <w:rFonts w:ascii="Courier New" w:cs="Courier New" w:eastAsia="Courier New" w:hAnsi="Courier New"/>
                <w:sz w:val="14"/>
                <w:szCs w:val="14"/>
                <w:color w:val="auto"/>
              </w:rPr>
              <w:t>NATIONAL RV HOLDINGS, INC.</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w:t>
            </w:r>
          </w:p>
        </w:tc>
        <w:tc>
          <w:tcPr>
            <w:tcW w:w="1560" w:type="dxa"/>
            <w:vAlign w:val="bottom"/>
          </w:tcPr>
          <w:p>
            <w:pPr>
              <w:spacing w:after="0"/>
              <w:rPr>
                <w:sz w:val="21"/>
                <w:szCs w:val="21"/>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(4.8)%</w:t>
            </w:r>
          </w:p>
        </w:tc>
        <w:tc>
          <w:tcPr>
            <w:tcW w:w="0" w:type="dxa"/>
            <w:vAlign w:val="bottom"/>
          </w:tcPr>
          <w:p>
            <w:pPr>
              <w:spacing w:after="0"/>
              <w:rPr>
                <w:sz w:val="1"/>
                <w:szCs w:val="1"/>
                <w:color w:val="auto"/>
              </w:rPr>
            </w:pPr>
          </w:p>
        </w:tc>
      </w:tr>
      <w:tr>
        <w:trPr>
          <w:trHeight w:val="497"/>
        </w:trPr>
        <w:tc>
          <w:tcPr>
            <w:tcW w:w="2640" w:type="dxa"/>
            <w:vAlign w:val="bottom"/>
          </w:tcPr>
          <w:p>
            <w:pPr>
              <w:spacing w:after="0"/>
              <w:rPr>
                <w:sz w:val="24"/>
                <w:szCs w:val="24"/>
                <w:color w:val="auto"/>
              </w:rPr>
            </w:pPr>
          </w:p>
        </w:tc>
        <w:tc>
          <w:tcPr>
            <w:tcW w:w="1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32" w:name="page33"/>
    <w:bookmarkEnd w:id="32"/>
    <w:p>
      <w:pPr>
        <w:ind w:right="3599"/>
        <w:spacing w:after="0" w:line="270" w:lineRule="auto"/>
        <w:rPr>
          <w:sz w:val="20"/>
          <w:szCs w:val="20"/>
          <w:color w:val="auto"/>
        </w:rPr>
      </w:pPr>
      <w:r>
        <w:rPr>
          <w:rFonts w:ascii="Courier New" w:cs="Courier New" w:eastAsia="Courier New" w:hAnsi="Courier New"/>
          <w:sz w:val="14"/>
          <w:szCs w:val="14"/>
          <w:color w:val="auto"/>
        </w:rPr>
        <w:t>only met our goal of being the most profitable public RV company, but that we are leading the RV industry in profitability by substantial margins.</w:t>
      </w:r>
    </w:p>
    <w:p>
      <w:pPr>
        <w:ind w:right="3419" w:firstLine="431"/>
        <w:spacing w:after="0" w:line="250" w:lineRule="auto"/>
        <w:rPr>
          <w:sz w:val="20"/>
          <w:szCs w:val="20"/>
          <w:color w:val="auto"/>
        </w:rPr>
      </w:pPr>
      <w:r>
        <w:rPr>
          <w:rFonts w:ascii="Courier New" w:cs="Courier New" w:eastAsia="Courier New" w:hAnsi="Courier New"/>
          <w:sz w:val="14"/>
          <w:szCs w:val="14"/>
          <w:color w:val="auto"/>
        </w:rPr>
        <w:t>Furthermore, Winnebago Industries has a strong balance sheet, no long-term debt and all recent expansions have been paid for with available cash.</w:t>
      </w:r>
    </w:p>
    <w:p>
      <w:pPr>
        <w:spacing w:after="0" w:line="1"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But this financial success was only a portion of Winnebago Industries' achievements during fiscal 2002. We are also the sales leader in the motor home market. According to Statistical Surveys, Inc., an independent retail reporting service, Winnebago Industries' retail market share of the total U.S. Class A and C motor home market leads the industry at 21.0 percent for the calendar year to date through August, compared to 18.8 percent for the same period in calendar 2001. This upward trend began in calendar year 1997 when Winnebago Industries' share of the Class A and C retail market was 15.8 percent as of the end of the year.</w:t>
      </w:r>
    </w:p>
    <w:p>
      <w:pPr>
        <w:spacing w:after="0" w:line="159"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Winnebago Industries believes that it also leads the industry in RV manufacturing technology. By utilizing the latest technology for the production of our motor homes, we are able to increase quality, while maximizing the productivity of our workforce and facilities.</w:t>
      </w:r>
    </w:p>
    <w:p>
      <w:pPr>
        <w:spacing w:after="0" w:line="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 annual dealer satisfaction index (DSI) survey by the Recreation Vehicle Dealers Association also shows that Winnebago Industries is viewed by its dealers as the leader in the RV industry. This DSI survey rates manufacturers based on the quality of their sales, product, management and service/warranty/support. Winnebago Industries was the only public RV company to receive the award this year, and has earned this recognition every year since the award's inception in 1996.</w:t>
      </w:r>
    </w:p>
    <w:p>
      <w:pPr>
        <w:spacing w:after="0" w:line="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RV market and Winnebago Industries' long-term future look bright. Demographics are in our favor as our target market of consumers age 50 and older is expected to increase for the next 30 years. In addition to growth due to the aging of the baby boom generation, a study conducted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4" w:lineRule="exact"/>
        <w:rPr>
          <w:sz w:val="20"/>
          <w:szCs w:val="20"/>
          <w:color w:val="auto"/>
        </w:rPr>
      </w:pPr>
    </w:p>
    <w:p>
      <w:pPr>
        <w:jc w:val="both"/>
        <w:ind w:right="3679" w:firstLine="431"/>
        <w:spacing w:after="0" w:line="279" w:lineRule="auto"/>
        <w:rPr>
          <w:sz w:val="20"/>
          <w:szCs w:val="20"/>
          <w:color w:val="auto"/>
        </w:rPr>
      </w:pPr>
      <w:r>
        <w:rPr>
          <w:rFonts w:ascii="Courier New" w:cs="Courier New" w:eastAsia="Courier New" w:hAnsi="Courier New"/>
          <w:sz w:val="14"/>
          <w:szCs w:val="14"/>
          <w:color w:val="auto"/>
        </w:rPr>
        <w:t>In the near term, the current low interest rates are very favorable for continued growth of the RV market. Approximately two-thirds of our customers finance their motor home purchase, due to the tax incentive that allows the deduction of interest on a mortgage loan as many motor</w:t>
      </w:r>
    </w:p>
    <w:p>
      <w:pPr>
        <w:spacing w:after="0" w:line="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CAPTION: WINNEBAGO INDUSTRIES' CORPORATE HEADQUARTERS IN FOREST CITY, IOWA</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56"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homes qualify as a second home.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Depressed consumer confidence levels and</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 weak economy continue to be challenges to the</w:t>
            </w:r>
          </w:p>
        </w:tc>
        <w:tc>
          <w:tcPr>
            <w:tcW w:w="22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RV industry. In spite of these issues, our market</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share gains and an overall increase in interest</w:t>
            </w:r>
          </w:p>
        </w:tc>
        <w:tc>
          <w:tcPr>
            <w:tcW w:w="22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CAPTION: BRUCE D. HERTZKE</w:t>
            </w: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 our motor homes required us to run our factory</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on overtime from January through September of 2002</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 meet demand for the Company's motor homes. In</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order to continue to grow with the market, we are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currently building a state-of-the-art manufacturing</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facility in Charles City, Iowa, to build Class C</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motor homes. This will thereby enable us to increase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our Class A motor home production in Forest City.</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Motor home production in the new facility is</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anticipated to begin by early 2003 with a ramp-up of</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production throughout the remainder of fiscal 2003.</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This is the largest expansion to date for Winnebago</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Industries and will increase our capacity by</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20"/>
                <w:szCs w:val="20"/>
                <w:color w:val="auto"/>
              </w:rPr>
            </w:pPr>
            <w:r>
              <w:rPr>
                <w:rFonts w:ascii="Courier New" w:cs="Courier New" w:eastAsia="Courier New" w:hAnsi="Courier New"/>
                <w:sz w:val="14"/>
                <w:szCs w:val="14"/>
                <w:color w:val="auto"/>
              </w:rPr>
              <w:t>approximately 30 percent. The additional capacity</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will help us meet the expected increased demand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our motor homes.</w:t>
      </w:r>
    </w:p>
    <w:p>
      <w:pPr>
        <w:spacing w:after="0" w:line="7" w:lineRule="exact"/>
        <w:rPr>
          <w:sz w:val="20"/>
          <w:szCs w:val="20"/>
          <w:color w:val="auto"/>
        </w:rPr>
      </w:pPr>
    </w:p>
    <w:p>
      <w:pPr>
        <w:jc w:val="both"/>
        <w:ind w:right="3419" w:firstLine="431"/>
        <w:spacing w:after="0" w:line="293" w:lineRule="auto"/>
        <w:rPr>
          <w:sz w:val="20"/>
          <w:szCs w:val="20"/>
          <w:color w:val="auto"/>
        </w:rPr>
      </w:pPr>
      <w:r>
        <w:rPr>
          <w:rFonts w:ascii="Courier New" w:cs="Courier New" w:eastAsia="Courier New" w:hAnsi="Courier New"/>
          <w:sz w:val="14"/>
          <w:szCs w:val="14"/>
          <w:color w:val="auto"/>
        </w:rPr>
        <w:t>While the RV industry continues to be a very competitive market, Winnebago Industries believes that it has the leadership qualities necessary to continue to grow and enhance our shareholder value well into the future.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25, 2002</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[PLOT POINTS CHART]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WINNEBAGO INDUSTRIES'</w:t>
      </w:r>
    </w:p>
    <w:p>
      <w:pPr>
        <w:spacing w:after="0" w:line="33"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4"/>
          <w:szCs w:val="14"/>
          <w:color w:val="auto"/>
        </w:rPr>
        <w:t>PEOPLE OVER THE AGE OF 55</w:t>
      </w:r>
    </w:p>
    <w:p>
      <w:pPr>
        <w:spacing w:after="0" w:line="7"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4"/>
          <w:szCs w:val="14"/>
          <w:color w:val="auto"/>
        </w:rPr>
        <w:t>(Population in Millions)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2010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2020</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2030</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65.8</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94.9</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105.7</w:t>
            </w: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CAPTION: 2003 WINNEBAGO ADVENTURER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6" w:right="1440" w:bottom="1440" w:gutter="0" w:footer="0" w:header="0"/>
        </w:sectPr>
      </w:pPr>
    </w:p>
    <w:bookmarkStart w:id="34" w:name="page35"/>
    <w:bookmarkEnd w:id="34"/>
    <w:p>
      <w:pPr>
        <w:jc w:val="center"/>
        <w:ind w:right="323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center"/>
        <w:ind w:right="3419"/>
        <w:spacing w:after="0" w:line="293" w:lineRule="auto"/>
        <w:rPr>
          <w:sz w:val="20"/>
          <w:szCs w:val="20"/>
          <w:color w:val="auto"/>
        </w:rPr>
      </w:pPr>
      <w:r>
        <w:rPr>
          <w:rFonts w:ascii="Courier New" w:cs="Courier New" w:eastAsia="Courier New" w:hAnsi="Courier New"/>
          <w:sz w:val="14"/>
          <w:szCs w:val="14"/>
          <w:color w:val="auto"/>
        </w:rPr>
        <w:t>CAPTION: WINNEBAGO INDUSTRIES' 2003 MOTOR HOME FAMILY INCLUDES: (LEFT TO RIGHT) RIALTA, WINNEBAGO MINNIE, ITASCA SUNCRUISER, AND THE TOP OF THE LINE ULTIMATE FREEDOM.</w:t>
      </w:r>
    </w:p>
    <w:p>
      <w:pPr>
        <w:spacing w:after="0" w:line="22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[PLOT POINTS CHART]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WINNEBAGO INDUSTRIES'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CLASS A &amp; C RETAIL MARKET SHARE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reported by Statistical Surveys, Inc. for calendar 2002 - August</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r>
      <w:tr>
        <w:trPr>
          <w:trHeight w:val="192"/>
        </w:trPr>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r>
    </w:tbl>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1800" w:val="left"/>
          <w:tab w:leader="none" w:pos="2740" w:val="left"/>
          <w:tab w:leader="none" w:pos="3700" w:val="left"/>
          <w:tab w:leader="none" w:pos="4640" w:val="left"/>
          <w:tab w:leader="none" w:pos="5580" w:val="left"/>
        </w:tabs>
        <w:rPr>
          <w:sz w:val="20"/>
          <w:szCs w:val="20"/>
          <w:color w:val="auto"/>
        </w:rPr>
      </w:pPr>
      <w:r>
        <w:rPr>
          <w:rFonts w:ascii="Courier New" w:cs="Courier New" w:eastAsia="Courier New" w:hAnsi="Courier New"/>
          <w:sz w:val="14"/>
          <w:szCs w:val="14"/>
          <w:color w:val="auto"/>
        </w:rPr>
        <w:t>15.8%</w:t>
      </w:r>
      <w:r>
        <w:rPr>
          <w:sz w:val="20"/>
          <w:szCs w:val="20"/>
          <w:color w:val="auto"/>
        </w:rPr>
        <w:tab/>
      </w:r>
      <w:r>
        <w:rPr>
          <w:rFonts w:ascii="Courier New" w:cs="Courier New" w:eastAsia="Courier New" w:hAnsi="Courier New"/>
          <w:sz w:val="14"/>
          <w:szCs w:val="14"/>
          <w:color w:val="auto"/>
        </w:rPr>
        <w:t>16.2%</w:t>
      </w:r>
      <w:r>
        <w:rPr>
          <w:sz w:val="20"/>
          <w:szCs w:val="20"/>
          <w:color w:val="auto"/>
        </w:rPr>
        <w:tab/>
      </w:r>
      <w:r>
        <w:rPr>
          <w:rFonts w:ascii="Courier New" w:cs="Courier New" w:eastAsia="Courier New" w:hAnsi="Courier New"/>
          <w:sz w:val="14"/>
          <w:szCs w:val="14"/>
          <w:color w:val="auto"/>
        </w:rPr>
        <w:t>16.4%</w:t>
      </w:r>
      <w:r>
        <w:rPr>
          <w:sz w:val="20"/>
          <w:szCs w:val="20"/>
          <w:color w:val="auto"/>
        </w:rPr>
        <w:tab/>
      </w: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19.1%</w:t>
      </w:r>
      <w:r>
        <w:rPr>
          <w:sz w:val="20"/>
          <w:szCs w:val="20"/>
          <w:color w:val="auto"/>
        </w:rPr>
        <w:tab/>
      </w:r>
      <w:r>
        <w:rPr>
          <w:rFonts w:ascii="Courier New" w:cs="Courier New" w:eastAsia="Courier New" w:hAnsi="Courier New"/>
          <w:sz w:val="14"/>
          <w:szCs w:val="14"/>
          <w:color w:val="auto"/>
        </w:rPr>
        <w:t>21.0%</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REVIEW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LEADERSHIP</w:t>
      </w:r>
    </w:p>
    <w:p>
      <w:pPr>
        <w:spacing w:after="0" w:line="33"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Winnebago Industries strengthened its market leadership role in fiscal 2002. The Company has a proud history of manufacturing RVs for 44 years. Winnebago Industries now chooses to focus on the motorized portion of the RV market because we believe it to be the most profitable segment of the RV industry.</w:t>
      </w:r>
    </w:p>
    <w:p>
      <w:pPr>
        <w:spacing w:after="0" w:line="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Company has grown its retail market share of Class A and C motor homes from 15.8 percent for the 1997 calendar year to 21.0 percent year to date through August 2002. Also, Winnebago Industries grew its market share by 11.4 percent when compared to the same period last year.</w:t>
      </w:r>
    </w:p>
    <w:p>
      <w:pPr>
        <w:spacing w:after="0" w:line="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growth in market share has come in large part from the introduction of innovative new products. Winnebago Industries currently manufactures four brands of motor homes: Winnebago, Itasca, Rialta and Ultimate. In total, 65 percent of Winnebago Industries' model lineup was new for 2002, including four brand new product lines: the affordable Class A Winnebago Sightseer(TM) and Itasca Sunova(TM) and the fuel-efficient Class C Winnebago Vista(R) and Itasca Sunstar(R). In addition to the four models mentioned above, the 2002 model lineup also included the redesigned Winnebago Chieftain(R) and Itasca Sunflyer(R). These high-line gas motor homes feature luxurious offerings in each of their four floorplans and spaciousness with a dual slideout design.</w:t>
      </w:r>
    </w:p>
    <w:p>
      <w:pPr>
        <w:spacing w:after="0" w:line="4" w:lineRule="exact"/>
        <w:rPr>
          <w:sz w:val="20"/>
          <w:szCs w:val="20"/>
          <w:color w:val="auto"/>
        </w:rPr>
      </w:pPr>
    </w:p>
    <w:p>
      <w:pPr>
        <w:ind w:right="3519" w:firstLine="431"/>
        <w:spacing w:after="0" w:line="336" w:lineRule="auto"/>
        <w:rPr>
          <w:sz w:val="20"/>
          <w:szCs w:val="20"/>
          <w:color w:val="auto"/>
        </w:rPr>
      </w:pPr>
      <w:r>
        <w:rPr>
          <w:rFonts w:ascii="Courier New" w:cs="Courier New" w:eastAsia="Courier New" w:hAnsi="Courier New"/>
          <w:sz w:val="14"/>
          <w:szCs w:val="14"/>
          <w:color w:val="auto"/>
        </w:rPr>
        <w:t>The Company's expanded product offerings created broader exposure for its products at dealerships and the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WINNEBAGO SIGHTSEER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35" w:name="page36"/>
    <w:bookmarkEnd w:id="35"/>
    <w:p>
      <w:pPr>
        <w:jc w:val="center"/>
        <w:ind w:right="3419"/>
        <w:spacing w:after="0"/>
        <w:rPr>
          <w:sz w:val="20"/>
          <w:szCs w:val="20"/>
          <w:color w:val="auto"/>
        </w:rPr>
      </w:pPr>
      <w:r>
        <w:rPr>
          <w:rFonts w:ascii="Courier New" w:cs="Courier New" w:eastAsia="Courier New" w:hAnsi="Courier New"/>
          <w:sz w:val="14"/>
          <w:szCs w:val="14"/>
          <w:color w:val="auto"/>
        </w:rPr>
        <w:t>[PLOT POINTS CHART]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WINNEBAGO INDUSTRIES'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CLASS C RETAIL MARKET SHARE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reported by Statistical Surveys, Inc. for Calendar 2002 - August</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r>
      <w:tr>
        <w:trPr>
          <w:trHeight w:val="192"/>
        </w:trPr>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r>
    </w:tbl>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1800" w:val="left"/>
          <w:tab w:leader="none" w:pos="2740" w:val="left"/>
          <w:tab w:leader="none" w:pos="3700" w:val="left"/>
          <w:tab w:leader="none" w:pos="4640" w:val="left"/>
          <w:tab w:leader="none" w:pos="558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22.7%</w:t>
      </w:r>
      <w:r>
        <w:rPr>
          <w:sz w:val="20"/>
          <w:szCs w:val="20"/>
          <w:color w:val="auto"/>
        </w:rPr>
        <w:tab/>
      </w:r>
      <w:r>
        <w:rPr>
          <w:rFonts w:ascii="Courier New" w:cs="Courier New" w:eastAsia="Courier New" w:hAnsi="Courier New"/>
          <w:sz w:val="14"/>
          <w:szCs w:val="14"/>
          <w:color w:val="auto"/>
        </w:rPr>
        <w:t>22.7%</w:t>
      </w:r>
      <w:r>
        <w:rPr>
          <w:sz w:val="20"/>
          <w:szCs w:val="20"/>
          <w:color w:val="auto"/>
        </w:rPr>
        <w:tab/>
      </w: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25.2%</w:t>
      </w:r>
      <w:r>
        <w:rPr>
          <w:sz w:val="20"/>
          <w:szCs w:val="20"/>
          <w:color w:val="auto"/>
        </w:rPr>
        <w:tab/>
      </w:r>
      <w:r>
        <w:rPr>
          <w:rFonts w:ascii="Courier New" w:cs="Courier New" w:eastAsia="Courier New" w:hAnsi="Courier New"/>
          <w:sz w:val="14"/>
          <w:szCs w:val="14"/>
          <w:color w:val="auto"/>
        </w:rPr>
        <w:t>26.0%</w:t>
      </w:r>
    </w:p>
    <w:p>
      <w:pPr>
        <w:spacing w:after="0" w:line="31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CAPTION: ITASCA SPIRIT</w:t>
      </w:r>
    </w:p>
    <w:p>
      <w:pPr>
        <w:spacing w:after="0" w:line="14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Company believes this allowed it to reach more customers. These new product lines also created additional opportunities for current owners of Winnebago Industries' products or other brands in the RV industry to trade up or down. Consumers often want the latest and greatest offerings available in the marketplace and we intend to continue to develop new motor home models that will provide them with that opportunity.</w:t>
      </w:r>
    </w:p>
    <w:p>
      <w:pPr>
        <w:spacing w:after="0" w:line="1"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introduced its new 2003 motor home lineup to dealers during its annual Dealer Days event in Las Vegas in July. Judging from the order input during and following this event, Winnebago Industries' new motor home lineup was accepted extremely well. Winnebago Industries' motor home sales order backlog at the end of the fourth quarter on August 31, 2002 was 3,248 units, a 103.3 percent increase, compared to 1,598 units on order at the end of the fourth quarter last year.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new lineup includes 76 innovative models for 2003.</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LEADERSHIP</w:t>
      </w:r>
    </w:p>
    <w:p>
      <w:pPr>
        <w:spacing w:after="0" w:line="33"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Winnebago Industries has been the top selling Class C motor home manufacturer since 1998 and continues to expand on its Class C market share lead.</w:t>
      </w:r>
    </w:p>
    <w:p>
      <w:pPr>
        <w:spacing w:after="0" w:line="1"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comprehensive Class C lineup from Winnebago Industries includes the unique, fuel-efficient, Rialta, Vista and Sunstar that are all built on the front-wheel drive Volkswagen(R) chassis. Winnebago Industries has an exclusive contract with Volkswagen of America to utilize its chassis for the U.S. motor home market.</w:t>
      </w:r>
    </w:p>
    <w:p>
      <w:pPr>
        <w:spacing w:after="0" w:line="2" w:lineRule="exact"/>
        <w:rPr>
          <w:sz w:val="20"/>
          <w:szCs w:val="20"/>
          <w:color w:val="auto"/>
        </w:rPr>
      </w:pPr>
    </w:p>
    <w:p>
      <w:pPr>
        <w:jc w:val="both"/>
        <w:ind w:right="3599" w:firstLine="431"/>
        <w:spacing w:after="0" w:line="250" w:lineRule="auto"/>
        <w:rPr>
          <w:sz w:val="20"/>
          <w:szCs w:val="20"/>
          <w:color w:val="auto"/>
        </w:rPr>
      </w:pPr>
      <w:r>
        <w:rPr>
          <w:rFonts w:ascii="Courier New" w:cs="Courier New" w:eastAsia="Courier New" w:hAnsi="Courier New"/>
          <w:sz w:val="14"/>
          <w:szCs w:val="14"/>
          <w:color w:val="auto"/>
        </w:rPr>
        <w:t>More traditional-styled Class C products include the Winnebago Minnie(R) and Minnie Winnie(R), as well as the Itasca Spirit(R) and Sundancer(R), which are built on Ford(R) and/or Chevrolet(R) chassis.</w:t>
      </w:r>
    </w:p>
    <w:p>
      <w:pPr>
        <w:spacing w:after="0" w:line="1" w:lineRule="exact"/>
        <w:rPr>
          <w:sz w:val="20"/>
          <w:szCs w:val="20"/>
          <w:color w:val="auto"/>
        </w:rPr>
      </w:pPr>
    </w:p>
    <w:p>
      <w:pPr>
        <w:ind w:right="3599" w:firstLine="431"/>
        <w:spacing w:after="0" w:line="293" w:lineRule="auto"/>
        <w:rPr>
          <w:sz w:val="20"/>
          <w:szCs w:val="20"/>
          <w:color w:val="auto"/>
        </w:rPr>
      </w:pPr>
      <w:r>
        <w:rPr>
          <w:rFonts w:ascii="Courier New" w:cs="Courier New" w:eastAsia="Courier New" w:hAnsi="Courier New"/>
          <w:sz w:val="14"/>
          <w:szCs w:val="14"/>
          <w:color w:val="auto"/>
        </w:rPr>
        <w:t>The Minnie, Minnie Winnie, Spirit and Sundancer models all feature a new advanced radius-style roof design for 2003, which maximizes headroom and provides improved insulation and water runoff.</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w:t>
      </w:r>
    </w:p>
    <w:p>
      <w:pPr>
        <w:spacing w:after="0" w:line="3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Winnebago Industries has experienced solid growth in both the Class A gas and diesel motor home markets, gaining 36.7 percent and 153.7 percent, respectively, since 1997.</w:t>
      </w:r>
    </w:p>
    <w:p>
      <w:pPr>
        <w:spacing w:after="0" w:line="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Class A gas models include the Winnebago Sightseer, Brave(R), Adventurer(R) and Chieftain, as well as the Itasca Sunova, Sunrise(R), Suncruiser(R) and Sunflyer models, which are built on Ford(R) and/or Workhorse(TM) chassis.</w:t>
      </w:r>
    </w:p>
    <w:p>
      <w:pPr>
        <w:spacing w:after="0" w:line="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New to the market last year, the entry-level Winnebago Sightseer and Itasca Sunova were extremely well received. Winnebago Industries expanded the Sightseer and Sunova lineup with the introduction of a new 33-foot model in each line for 2003.</w:t>
      </w:r>
    </w:p>
    <w:p>
      <w:pPr>
        <w:spacing w:after="0" w:line="2"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The best selling Class A motor home line in the industry, the Winnebago Adventurer and Itasca Suncruiser, have new 37-foot models as well as two redesigned models, the most popular floorplan, 35U, and the 38G, for 2003.</w:t>
      </w:r>
    </w:p>
    <w:p>
      <w:pPr>
        <w:spacing w:after="0" w:line="1"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Diesel Class A models include the Winnebago Journey(R) and Journey DL and Itasca Horizon(R) motor homes that are built on Freightliner(R) chassis, while the Ultimate Advantage(R) and Ultimate Freedom(R) motor homes are built on Spartan(R) chassis.</w:t>
      </w:r>
    </w:p>
    <w:p>
      <w:pPr>
        <w:spacing w:after="0" w:line="2" w:lineRule="exact"/>
        <w:rPr>
          <w:sz w:val="20"/>
          <w:szCs w:val="20"/>
          <w:color w:val="auto"/>
        </w:rPr>
      </w:pPr>
    </w:p>
    <w:p>
      <w:pPr>
        <w:ind w:right="3339" w:firstLine="431"/>
        <w:spacing w:after="0" w:line="293" w:lineRule="auto"/>
        <w:rPr>
          <w:sz w:val="20"/>
          <w:szCs w:val="20"/>
          <w:color w:val="auto"/>
        </w:rPr>
      </w:pPr>
      <w:r>
        <w:rPr>
          <w:rFonts w:ascii="Courier New" w:cs="Courier New" w:eastAsia="Courier New" w:hAnsi="Courier New"/>
          <w:sz w:val="14"/>
          <w:szCs w:val="14"/>
          <w:color w:val="auto"/>
        </w:rPr>
        <w:t>The Company introduced new 39-foot models for 2003 in the Winnebago Journey DL and Itasca Horizon line featuring a 330 hp Caterpillar(R) diesel engine on a 27,910-lb.</w:t>
      </w:r>
    </w:p>
    <w:p>
      <w:pPr>
        <w:spacing w:after="0" w:line="2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5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ITASCA HORIZON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[PLOT POINT CHARTS]</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WINNEBAGO INDUSTRIES'</w:t>
            </w: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CLASS A RETAIL MARKET SHARE</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578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As reported by Statistical Surveys, Inc. for calendar 2002 - August</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-August</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578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2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14.1%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16.7%</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421"/>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WINNEBAGO INDUSTRIES'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2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CLASS A - GAS VS DIESEL RETAIL MARKET SHARE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578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As reported by Statistical Surveys, Inc. for calendar 2002 - August</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2"/>
                <w:szCs w:val="22"/>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-August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GAS</w:t>
            </w:r>
          </w:p>
        </w:tc>
        <w:tc>
          <w:tcPr>
            <w:tcW w:w="5780" w:type="dxa"/>
            <w:vAlign w:val="bottom"/>
            <w:gridSpan w:val="6"/>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17.7%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21.7%</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24.2%</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DIESEL</w:t>
            </w:r>
          </w:p>
        </w:tc>
        <w:tc>
          <w:tcPr>
            <w:tcW w:w="900" w:type="dxa"/>
            <w:vAlign w:val="bottom"/>
          </w:tcPr>
          <w:p>
            <w:pPr>
              <w:ind w:left="440"/>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10.4%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19"/>
        <w:spacing w:after="0" w:line="270" w:lineRule="auto"/>
        <w:rPr>
          <w:sz w:val="20"/>
          <w:szCs w:val="20"/>
          <w:color w:val="auto"/>
        </w:rPr>
      </w:pPr>
      <w:r>
        <w:rPr>
          <w:rFonts w:ascii="Courier New" w:cs="Courier New" w:eastAsia="Courier New" w:hAnsi="Courier New"/>
          <w:sz w:val="14"/>
          <w:szCs w:val="14"/>
          <w:color w:val="auto"/>
        </w:rPr>
        <w:t>Freightliner chassis with a front galley/sofa slideout and a rear bed slideout. The bedroom also features a convenient second lavatory with dresser.</w:t>
      </w:r>
    </w:p>
    <w:p>
      <w:pPr>
        <w:ind w:right="3419" w:firstLine="431"/>
        <w:spacing w:after="0" w:line="263" w:lineRule="auto"/>
        <w:rPr>
          <w:sz w:val="20"/>
          <w:szCs w:val="20"/>
          <w:color w:val="auto"/>
        </w:rPr>
      </w:pPr>
      <w:r>
        <w:rPr>
          <w:rFonts w:ascii="Courier New" w:cs="Courier New" w:eastAsia="Courier New" w:hAnsi="Courier New"/>
          <w:sz w:val="14"/>
          <w:szCs w:val="14"/>
          <w:color w:val="auto"/>
        </w:rPr>
        <w:t>The Company also introduced its first motor homes with triple slideouts in the Ultimate Advantage and Ultimate Freedom lines for 2003. The Ultimate Advantage 40K and the Ultimate Freedom KD both feature two slideouts in the front portion of the motor home and one in the bedroom, while the Ultimate Freedom ED model features a galley/sofa slideout in the front and two slideouts in the rear bedroom. The bedroom features a bed slideout on the passenger side, as well as a unique lavatory/dresser slideout on the driver's side of the motor home.</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LEADERSHIP IN FEATURE INNOVATION</w:t>
      </w:r>
    </w:p>
    <w:p>
      <w:pPr>
        <w:spacing w:after="0" w:line="3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Once again, Winnebago Industries shows its innovation with new motor home features in 2003.</w:t>
      </w:r>
    </w:p>
    <w:p>
      <w:pPr>
        <w:spacing w:after="0" w:line="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full comfort BenchMark(TM) dinette provides abundant storage and easily converts into a comfortable bed. With its sprung seat cushions for added comfort, BenchMark also features attractive fabrics and spacious storage. The seat cushions open fully to reveal maximum access to storage space - perfect for blankets, pillows, games and anything you need to access quickly and easily.</w:t>
      </w:r>
    </w:p>
    <w:tbl>
      <w:tblPr>
        <w:tblLayout w:type="fixed"/>
        <w:tblInd w:w="0" w:type="dxa"/>
        <w:tblCellMar>
          <w:top w:w="0" w:type="dxa"/>
          <w:left w:w="0" w:type="dxa"/>
          <w:bottom w:w="0" w:type="dxa"/>
          <w:right w:w="0" w:type="dxa"/>
        </w:tblCellMar>
      </w:tblPr>
      <w:tr>
        <w:trPr>
          <w:trHeight w:val="142"/>
        </w:trPr>
        <w:tc>
          <w:tcPr>
            <w:tcW w:w="126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Exclusive</w:t>
            </w:r>
          </w:p>
        </w:tc>
        <w:tc>
          <w:tcPr>
            <w:tcW w:w="5640" w:type="dxa"/>
            <w:vAlign w:val="bottom"/>
          </w:tcPr>
          <w:p>
            <w:pPr>
              <w:ind w:left="40"/>
              <w:spacing w:after="0" w:line="142" w:lineRule="exact"/>
              <w:rPr>
                <w:sz w:val="20"/>
                <w:szCs w:val="20"/>
                <w:color w:val="auto"/>
              </w:rPr>
            </w:pPr>
            <w:r>
              <w:rPr>
                <w:rFonts w:ascii="Courier New" w:cs="Courier New" w:eastAsia="Courier New" w:hAnsi="Courier New"/>
                <w:sz w:val="14"/>
                <w:szCs w:val="14"/>
                <w:color w:val="auto"/>
              </w:rPr>
              <w:t>to Winnebago Industries, the new Sleep Number Bed(R) by Select</w:t>
            </w:r>
          </w:p>
        </w:tc>
        <w:tc>
          <w:tcPr>
            <w:tcW w:w="0" w:type="dxa"/>
            <w:vAlign w:val="bottom"/>
          </w:tcPr>
          <w:p>
            <w:pPr>
              <w:spacing w:after="0"/>
              <w:rPr>
                <w:sz w:val="1"/>
                <w:szCs w:val="1"/>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Comfort(TM) is</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featured on select 2003 motor homes. This queen-size bed features</w:t>
            </w:r>
          </w:p>
        </w:tc>
        <w:tc>
          <w:tcPr>
            <w:tcW w:w="0" w:type="dxa"/>
            <w:vAlign w:val="bottom"/>
          </w:tcPr>
          <w:p>
            <w:pPr>
              <w:spacing w:after="0"/>
              <w:rPr>
                <w:sz w:val="1"/>
                <w:szCs w:val="1"/>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dual hand held</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remotes so you can quickly and independently adjust the mattress</w:t>
            </w:r>
          </w:p>
        </w:tc>
        <w:tc>
          <w:tcPr>
            <w:tcW w:w="0" w:type="dxa"/>
            <w:vAlign w:val="bottom"/>
          </w:tcPr>
          <w:p>
            <w:pPr>
              <w:spacing w:after="0"/>
              <w:rPr>
                <w:sz w:val="1"/>
                <w:szCs w:val="1"/>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firmness level</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to your ideal level of comfort and support. The Sleep Number Bed</w:t>
            </w:r>
          </w:p>
        </w:tc>
        <w:tc>
          <w:tcPr>
            <w:tcW w:w="0" w:type="dxa"/>
            <w:vAlign w:val="bottom"/>
          </w:tcPr>
          <w:p>
            <w:pPr>
              <w:spacing w:after="0"/>
              <w:rPr>
                <w:sz w:val="1"/>
                <w:szCs w:val="1"/>
                <w:color w:val="auto"/>
              </w:rPr>
            </w:pPr>
          </w:p>
        </w:tc>
      </w:tr>
      <w:tr>
        <w:trPr>
          <w:trHeight w:val="24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is the "Key to</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a Perfect</w:t>
            </w:r>
          </w:p>
        </w:tc>
        <w:tc>
          <w:tcPr>
            <w:tcW w:w="0" w:type="dxa"/>
            <w:vAlign w:val="bottom"/>
          </w:tcPr>
          <w:p>
            <w:pPr>
              <w:spacing w:after="0"/>
              <w:rPr>
                <w:sz w:val="1"/>
                <w:szCs w:val="1"/>
                <w:color w:val="auto"/>
              </w:rPr>
            </w:pPr>
          </w:p>
        </w:tc>
      </w:tr>
      <w:tr>
        <w:trPr>
          <w:trHeight w:val="421"/>
        </w:trPr>
        <w:tc>
          <w:tcPr>
            <w:tcW w:w="126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w w:val="99"/>
              </w:rPr>
              <w:t>[LOGO]</w:t>
            </w: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242"/>
        </w:trPr>
        <w:tc>
          <w:tcPr>
            <w:tcW w:w="1260" w:type="dxa"/>
            <w:vAlign w:val="bottom"/>
            <w:vMerge w:val="continue"/>
          </w:tcPr>
          <w:p>
            <w:pPr>
              <w:spacing w:after="0"/>
              <w:rPr>
                <w:sz w:val="21"/>
                <w:szCs w:val="21"/>
                <w:color w:val="auto"/>
              </w:rPr>
            </w:pPr>
          </w:p>
        </w:tc>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CAPTION: BENCHMARK FULL COMFORT DINETTE.</w:t>
            </w:r>
          </w:p>
        </w:tc>
        <w:tc>
          <w:tcPr>
            <w:tcW w:w="0" w:type="dxa"/>
            <w:vAlign w:val="bottom"/>
          </w:tcPr>
          <w:p>
            <w:pPr>
              <w:spacing w:after="0"/>
              <w:rPr>
                <w:sz w:val="1"/>
                <w:szCs w:val="1"/>
                <w:color w:val="auto"/>
              </w:rPr>
            </w:pPr>
          </w:p>
        </w:tc>
      </w:tr>
      <w:tr>
        <w:trPr>
          <w:trHeight w:val="497"/>
        </w:trPr>
        <w:tc>
          <w:tcPr>
            <w:tcW w:w="1260" w:type="dxa"/>
            <w:vAlign w:val="bottom"/>
          </w:tcPr>
          <w:p>
            <w:pPr>
              <w:spacing w:after="0"/>
              <w:rPr>
                <w:sz w:val="24"/>
                <w:szCs w:val="24"/>
                <w:color w:val="auto"/>
              </w:rPr>
            </w:pPr>
          </w:p>
        </w:tc>
        <w:tc>
          <w:tcPr>
            <w:tcW w:w="564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ind w:right="4539"/>
        <w:spacing w:after="0" w:line="336" w:lineRule="auto"/>
        <w:rPr>
          <w:sz w:val="20"/>
          <w:szCs w:val="20"/>
          <w:color w:val="auto"/>
        </w:rPr>
      </w:pPr>
      <w:r>
        <w:rPr>
          <w:rFonts w:ascii="Courier New" w:cs="Courier New" w:eastAsia="Courier New" w:hAnsi="Courier New"/>
          <w:sz w:val="14"/>
          <w:szCs w:val="14"/>
          <w:color w:val="auto"/>
        </w:rPr>
        <w:t>CAPTION: THE SLEEP NUMBER BED IS EXCLUSIVE TO WINNEBAGO INDUSTRIES FOR SELECT MOTOR HOMES IN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Night's Sleep(TM)."</w:t>
      </w:r>
    </w:p>
    <w:p>
      <w:pPr>
        <w:spacing w:after="0" w:line="3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Helping make communication easy, select Winnebago Industries' motor homes feature two-way radios with a docking/charging station.</w:t>
      </w:r>
    </w:p>
    <w:p>
      <w:pPr>
        <w:spacing w:after="0" w:line="1"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Unique to the industry, the diesel-powered motor homes from Winnebago Industries feature an improved chassis manifold air supply with a detachable 50-foot hose that provides a ready source of compressed air for pumping up anything from beach toys to tires.</w:t>
      </w:r>
    </w:p>
    <w:p>
      <w:pPr>
        <w:spacing w:after="0" w:line="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innovative TripTek(TM) system, which monitors the engine and provides a predeparture checklist that appears on the rearview monitor system, is also available on select Winnebago Industries' diesel-powered motor homes.</w:t>
      </w:r>
    </w:p>
    <w:p>
      <w:pPr>
        <w:spacing w:after="0" w:line="1"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Sturdy powered sunvisors are also featured in 2003. The driver is able to control both front visors, with the passenger also able to control the visor on his or her side. The sunvisors are featured on the Company's higher-line products, such as the Winnebago Chieftain, Itasca Sunflyer and its diesel powered motor homes.</w:t>
      </w:r>
    </w:p>
    <w:p>
      <w:pPr>
        <w:spacing w:after="0" w:line="2"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Select Winnebago Industries' motor homes also feature an attractive, new base coat/clear coat full-body paint, providing a low maintenance, high-gloss automotive finish with maximum durability and the highest chip resistance available.</w:t>
      </w:r>
    </w:p>
    <w:p>
      <w:pPr>
        <w:spacing w:after="0" w:line="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Other unique features to Winnebago Industries' motor homes include the RV Radio(TM), TrueAir(TM) Residential Air Conditioning System, StoreMore(R) Slideout System and the OnePlace(TM) Systems Center.</w:t>
      </w:r>
    </w:p>
    <w:p>
      <w:pPr>
        <w:spacing w:after="0" w:line="1" w:lineRule="exact"/>
        <w:rPr>
          <w:sz w:val="20"/>
          <w:szCs w:val="20"/>
          <w:color w:val="auto"/>
        </w:rPr>
      </w:pPr>
    </w:p>
    <w:p>
      <w:pPr>
        <w:ind w:right="3339" w:firstLine="517"/>
        <w:spacing w:after="0" w:line="269" w:lineRule="auto"/>
        <w:rPr>
          <w:sz w:val="20"/>
          <w:szCs w:val="20"/>
          <w:color w:val="auto"/>
        </w:rPr>
      </w:pPr>
      <w:r>
        <w:rPr>
          <w:rFonts w:ascii="Courier New" w:cs="Courier New" w:eastAsia="Courier New" w:hAnsi="Courier New"/>
          <w:sz w:val="14"/>
          <w:szCs w:val="14"/>
          <w:color w:val="auto"/>
        </w:rPr>
        <w:t>The Company is committed to aggressive new product development and has made significant capital expenditures to reach that goal. As an example, by replacing 60 Cad PCs with high-end workstations, adding a laser scanner to the design studio and adding gigabyte Ethernet to the local area network infrastructure within this last fiscal year, the Company increased efficiency in the design process.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SPECIALTY VEHICLES</w:t>
      </w:r>
    </w:p>
    <w:p>
      <w:pPr>
        <w:spacing w:after="0" w:line="3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Winnebago Industries believes that it leads the RV industry in the construction of commercial and specialty vehicles, manufacturing a broad range</w:t>
      </w:r>
    </w:p>
    <w:tbl>
      <w:tblPr>
        <w:tblLayout w:type="fixed"/>
        <w:tblInd w:w="0" w:type="dxa"/>
        <w:tblCellMar>
          <w:top w:w="0" w:type="dxa"/>
          <w:left w:w="0" w:type="dxa"/>
          <w:bottom w:w="0" w:type="dxa"/>
          <w:right w:w="0" w:type="dxa"/>
        </w:tblCellMar>
      </w:tblPr>
      <w:tr>
        <w:trPr>
          <w:trHeight w:val="141"/>
        </w:trPr>
        <w:tc>
          <w:tcPr>
            <w:tcW w:w="5180" w:type="dxa"/>
            <w:vAlign w:val="bottom"/>
            <w:gridSpan w:val="2"/>
          </w:tcPr>
          <w:p>
            <w:pPr>
              <w:spacing w:after="0" w:line="141" w:lineRule="exact"/>
              <w:rPr>
                <w:sz w:val="20"/>
                <w:szCs w:val="20"/>
                <w:color w:val="auto"/>
              </w:rPr>
            </w:pPr>
            <w:r>
              <w:rPr>
                <w:rFonts w:ascii="Courier New" w:cs="Courier New" w:eastAsia="Courier New" w:hAnsi="Courier New"/>
                <w:sz w:val="14"/>
                <w:szCs w:val="14"/>
                <w:color w:val="auto"/>
              </w:rPr>
              <w:t>of products.</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Commercial Vehicle Division offers several models that can be custom</w:t>
            </w:r>
          </w:p>
        </w:tc>
        <w:tc>
          <w:tcPr>
            <w:tcW w:w="0" w:type="dxa"/>
            <w:vAlign w:val="bottom"/>
          </w:tcPr>
          <w:p>
            <w:pPr>
              <w:spacing w:after="0"/>
              <w:rPr>
                <w:sz w:val="1"/>
                <w:szCs w:val="1"/>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designed</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a wide variety of applications including medical, dental, law</w:t>
            </w:r>
          </w:p>
        </w:tc>
        <w:tc>
          <w:tcPr>
            <w:tcW w:w="0" w:type="dxa"/>
            <w:vAlign w:val="bottom"/>
          </w:tcPr>
          <w:p>
            <w:pPr>
              <w:spacing w:after="0"/>
              <w:rPr>
                <w:sz w:val="1"/>
                <w:szCs w:val="1"/>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enforcement and computer training.</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Specialty Vehicle Department is responsible for the</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74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44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2003 ULTIMATE FREEDOM</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0"/>
                <w:szCs w:val="20"/>
                <w:color w:val="auto"/>
              </w:rPr>
            </w:pPr>
            <w:r>
              <w:rPr>
                <w:rFonts w:ascii="Courier New" w:cs="Courier New" w:eastAsia="Courier New" w:hAnsi="Courier New"/>
                <w:sz w:val="14"/>
                <w:szCs w:val="14"/>
                <w:color w:val="auto"/>
              </w:rPr>
              <w:t>CAPTION:</w:t>
            </w:r>
          </w:p>
        </w:tc>
        <w:tc>
          <w:tcPr>
            <w:tcW w:w="4440" w:type="dxa"/>
            <w:vAlign w:val="bottom"/>
            <w:vMerge w:val="continue"/>
          </w:tcPr>
          <w:p>
            <w:pPr>
              <w:spacing w:after="0"/>
              <w:rPr>
                <w:sz w:val="21"/>
                <w:szCs w:val="21"/>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CAPTION: 2003 RIALTA</w:t>
            </w:r>
          </w:p>
        </w:tc>
        <w:tc>
          <w:tcPr>
            <w:tcW w:w="0" w:type="dxa"/>
            <w:vAlign w:val="bottom"/>
          </w:tcPr>
          <w:p>
            <w:pPr>
              <w:spacing w:after="0"/>
              <w:rPr>
                <w:sz w:val="1"/>
                <w:szCs w:val="1"/>
                <w:color w:val="auto"/>
              </w:rPr>
            </w:pPr>
          </w:p>
        </w:tc>
      </w:tr>
      <w:tr>
        <w:trPr>
          <w:trHeight w:val="497"/>
        </w:trPr>
        <w:tc>
          <w:tcPr>
            <w:tcW w:w="740" w:type="dxa"/>
            <w:vAlign w:val="bottom"/>
          </w:tcPr>
          <w:p>
            <w:pPr>
              <w:spacing w:after="0"/>
              <w:rPr>
                <w:sz w:val="24"/>
                <w:szCs w:val="24"/>
                <w:color w:val="auto"/>
              </w:rPr>
            </w:pPr>
          </w:p>
        </w:tc>
        <w:tc>
          <w:tcPr>
            <w:tcW w:w="4440" w:type="dxa"/>
            <w:vAlign w:val="bottom"/>
          </w:tcPr>
          <w:p>
            <w:pPr>
              <w:ind w:left="2620"/>
              <w:spacing w:after="0"/>
              <w:rPr>
                <w:sz w:val="20"/>
                <w:szCs w:val="20"/>
                <w:color w:val="auto"/>
              </w:rPr>
            </w:pPr>
            <w:r>
              <w:rPr>
                <w:rFonts w:ascii="Courier New" w:cs="Courier New" w:eastAsia="Courier New" w:hAnsi="Courier New"/>
                <w:sz w:val="14"/>
                <w:szCs w:val="14"/>
                <w:color w:val="auto"/>
              </w:rPr>
              <w:t>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38" w:name="page39"/>
    <w:bookmarkEnd w:id="38"/>
    <w:p>
      <w:pPr>
        <w:jc w:val="both"/>
        <w:ind w:right="3419"/>
        <w:spacing w:after="0" w:line="292" w:lineRule="auto"/>
        <w:rPr>
          <w:sz w:val="20"/>
          <w:szCs w:val="20"/>
          <w:color w:val="auto"/>
        </w:rPr>
      </w:pPr>
      <w:r>
        <w:rPr>
          <w:rFonts w:ascii="Courier New" w:cs="Courier New" w:eastAsia="Courier New" w:hAnsi="Courier New"/>
          <w:sz w:val="14"/>
          <w:szCs w:val="14"/>
          <w:color w:val="auto"/>
        </w:rPr>
        <w:t>sale of Ability Equipped(TM) motor homes that are custom-built for individuals with special mobility needs. Ability Equipped motor homes can be outfitted with wider entrance doors, wheelchair lifts, roll-in showers, hand driving controls and other equipment needed to make them wheelchair accessible.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OEM</w:t>
      </w:r>
    </w:p>
    <w:p>
      <w:pPr>
        <w:spacing w:after="0" w:line="3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Winnebago Industries manufactures the majority of the parts used in its motor homes (with the exception of the chassis, engines, auxiliary power units and appliances), allowing the Company to maintain strict quality standards, design parts to unique motor home needs and easily facilitate parts replacement for future needs. Winnebago Industries is able to maximize its production capacity through the sale of original equipment manufacturing (OEM) components, while providing the added benefit of low-cost component parts, contributing to the Company's leadership position in the industry with the highest ROE, ROA, Net Income as a percent of revenues and Operating Income as a percent of revenues in the industry. Winnebago Industries generated revenues of $25 million from the sale of OEM components in fiscal 2002.</w:t>
      </w:r>
    </w:p>
    <w:p>
      <w:pPr>
        <w:spacing w:after="0" w:line="5" w:lineRule="exact"/>
        <w:rPr>
          <w:sz w:val="20"/>
          <w:szCs w:val="20"/>
          <w:color w:val="auto"/>
        </w:rPr>
      </w:pPr>
    </w:p>
    <w:p>
      <w:pPr>
        <w:ind w:right="3339" w:firstLine="431"/>
        <w:spacing w:after="0" w:line="293" w:lineRule="auto"/>
        <w:rPr>
          <w:sz w:val="20"/>
          <w:szCs w:val="20"/>
          <w:color w:val="auto"/>
        </w:rPr>
      </w:pPr>
      <w:r>
        <w:rPr>
          <w:rFonts w:ascii="Courier New" w:cs="Courier New" w:eastAsia="Courier New" w:hAnsi="Courier New"/>
          <w:sz w:val="14"/>
          <w:szCs w:val="14"/>
          <w:color w:val="auto"/>
        </w:rPr>
        <w:t>The largest portion of OEM revenues were generated by Winnebago Industries' Creative Aluminum Products Company (CAPCO), which produces aluminum extrusion products, primarily for the RV and home building industries.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ALUMINUM EXTRUSION PARTS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OPPORTUNITIES</w:t>
      </w:r>
    </w:p>
    <w:p>
      <w:pPr>
        <w:spacing w:after="0" w:line="3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Winnebago Industries is able to leverage its strong brand name with excellent marketing opportunities. These opportunities continue to maximize our brand strength while further positioning us as the industry leader.</w:t>
      </w:r>
    </w:p>
    <w:p>
      <w:pPr>
        <w:spacing w:after="0" w:line="1" w:lineRule="exact"/>
        <w:rPr>
          <w:sz w:val="20"/>
          <w:szCs w:val="20"/>
          <w:color w:val="auto"/>
        </w:rPr>
      </w:pPr>
    </w:p>
    <w:p>
      <w:pPr>
        <w:ind w:right="3519" w:firstLine="431"/>
        <w:spacing w:after="0" w:line="265" w:lineRule="auto"/>
        <w:rPr>
          <w:sz w:val="20"/>
          <w:szCs w:val="20"/>
          <w:color w:val="auto"/>
        </w:rPr>
      </w:pPr>
      <w:r>
        <w:rPr>
          <w:rFonts w:ascii="Courier New" w:cs="Courier New" w:eastAsia="Courier New" w:hAnsi="Courier New"/>
          <w:sz w:val="14"/>
          <w:szCs w:val="14"/>
          <w:color w:val="auto"/>
        </w:rPr>
        <w:t>The Winnebago Adventurer is featured in the upcoming Jack Nicholson film, ABOUT SCHMIDT, due to be released nationwide on January 3, 2003. The New Line Cinema film chronicles the life of Warren Schmidt, played by Nicholson, as he attempts to find meaning in his life after his retirement as an insurance actuary and the death of his wife. Warren sets out on a series of exploits in his Adventurer with the ultimate destination to attend the wedding of his daughter,</w:t>
      </w:r>
    </w:p>
    <w:p>
      <w:pPr>
        <w:spacing w:after="0" w:line="2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CAPTION: JACK NICHOLSON AND HIS WINNEBAGO ADVENTURER IN "ABOUT SCHMIDT."</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39" w:name="page40"/>
    <w:bookmarkEnd w:id="39"/>
    <w:p>
      <w:pPr>
        <w:ind w:right="3419"/>
        <w:spacing w:after="0" w:line="260" w:lineRule="auto"/>
        <w:rPr>
          <w:sz w:val="20"/>
          <w:szCs w:val="20"/>
          <w:color w:val="auto"/>
        </w:rPr>
      </w:pPr>
      <w:r>
        <w:rPr>
          <w:rFonts w:ascii="Courier New" w:cs="Courier New" w:eastAsia="Courier New" w:hAnsi="Courier New"/>
          <w:sz w:val="14"/>
          <w:szCs w:val="14"/>
          <w:color w:val="auto"/>
        </w:rPr>
        <w:t>Jeannie, played by Hope Davis, and soon-to-be son-in-law, Randall, an underachieving waterbed salesman played by Dermot Mulroney. The film also stars Kathy Bates and Howard Hesseman as the free-spirited in-laws and is directed by Oscar-nominated director Alexander Payne.</w:t>
      </w:r>
    </w:p>
    <w:p>
      <w:pPr>
        <w:spacing w:after="0" w:line="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Winnebago Industries participated in a media tour sponsored by the Recreation Vehicle Industry Association (RVIA) during fiscal 2002. During their third season touring as RVIA spokespersons, Brad and Amy Herzog used a 2002 Winnebago Adventurer for their "Baby Makes Three in an RV" tour. Traveling with their young son, Luke, the Herzogs reinforced the ease, cost savings and comfort that RV travel offers for young families.</w:t>
      </w:r>
    </w:p>
    <w:p>
      <w:pPr>
        <w:spacing w:after="0" w:line="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Winnebago Industries also provided several motor homes during fiscal 2002 for "Biff Henderson's America" segments that appeared on the CBS LATE SHOW WITH DAVID LETTERMAN TV show. The Company worked closely with RVIA, CBS and Letterman's staff to support these humorous Charles Kuralt style segments.</w:t>
      </w:r>
    </w:p>
    <w:p>
      <w:pPr>
        <w:spacing w:after="0" w:line="2" w:lineRule="exact"/>
        <w:rPr>
          <w:sz w:val="20"/>
          <w:szCs w:val="20"/>
          <w:color w:val="auto"/>
        </w:rPr>
      </w:pPr>
    </w:p>
    <w:p>
      <w:pPr>
        <w:ind w:right="3339" w:firstLine="431"/>
        <w:spacing w:after="0" w:line="279" w:lineRule="auto"/>
        <w:rPr>
          <w:sz w:val="20"/>
          <w:szCs w:val="20"/>
          <w:color w:val="auto"/>
        </w:rPr>
      </w:pPr>
      <w:r>
        <w:rPr>
          <w:rFonts w:ascii="Courier New" w:cs="Courier New" w:eastAsia="Courier New" w:hAnsi="Courier New"/>
          <w:sz w:val="14"/>
          <w:szCs w:val="14"/>
          <w:color w:val="auto"/>
        </w:rPr>
        <w:t>JEOPARDY and the WHEEL OF FORTUNE TV shows also utilize Winnebago Braves as their contestant search vehicles. In addition, Winnebago Industries motor homes have been offered as grand prizes for the WHEEL OF FORTUNE and THE PRICE IS RIGHT TV shows.</w:t>
      </w: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CAPTION: UP TO SIX WINNEBAGO INDUSTRIES MOTOR HOMES WILL BE GIVEN AWAY IN THIS NEVADA SWEEPSTAKES PROMOTION.</w:t>
      </w:r>
    </w:p>
    <w:p>
      <w:pPr>
        <w:spacing w:after="0" w:line="192"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Nevada Commission on Tourism is continuing a three-year campaign that will award up to six Winnebago Industries motor homes as grand prizes throughout the duration of the sweepstakes to the year 2003. The $1 million campaign prominently features a Winnebago Adventurer in the promotional material.</w:t>
      </w:r>
    </w:p>
    <w:p>
      <w:pPr>
        <w:spacing w:after="0" w:line="1" w:lineRule="exact"/>
        <w:rPr>
          <w:sz w:val="20"/>
          <w:szCs w:val="20"/>
          <w:color w:val="auto"/>
        </w:rPr>
      </w:pPr>
    </w:p>
    <w:p>
      <w:pPr>
        <w:ind w:right="3419" w:firstLine="431"/>
        <w:spacing w:after="0" w:line="336" w:lineRule="auto"/>
        <w:rPr>
          <w:sz w:val="20"/>
          <w:szCs w:val="20"/>
          <w:color w:val="auto"/>
        </w:rPr>
      </w:pPr>
      <w:r>
        <w:rPr>
          <w:rFonts w:ascii="Courier New" w:cs="Courier New" w:eastAsia="Courier New" w:hAnsi="Courier New"/>
          <w:sz w:val="14"/>
          <w:szCs w:val="14"/>
          <w:color w:val="auto"/>
        </w:rPr>
        <w:t>This continued exposure in the media is immeasurable in terms of continued brand recognition.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SALES AND SERVICE SUPPORT</w:t>
            </w:r>
          </w:p>
        </w:tc>
        <w:tc>
          <w:tcPr>
            <w:tcW w:w="29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continues to support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Winnebago Industries</w:t>
            </w:r>
          </w:p>
        </w:tc>
        <w:tc>
          <w:tcPr>
            <w:tcW w:w="290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the most comprehensive sales and service support</w:t>
            </w:r>
          </w:p>
        </w:tc>
        <w:tc>
          <w:tcPr>
            <w:tcW w:w="154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[PHOTO/LOGO]</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programs in the RV industry for its dealers and</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retail customers. The Company believes that providing</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20/20 VISION</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quality product and service support to our dealers</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WINNEBAGO</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through hands-on training</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and support materials, such</w:t>
            </w:r>
          </w:p>
        </w:tc>
        <w:tc>
          <w:tcPr>
            <w:tcW w:w="1540" w:type="dxa"/>
            <w:vAlign w:val="bottom"/>
          </w:tcPr>
          <w:p>
            <w:pPr>
              <w:ind w:left="240"/>
              <w:spacing w:after="0"/>
              <w:rPr>
                <w:sz w:val="20"/>
                <w:szCs w:val="20"/>
                <w:color w:val="auto"/>
              </w:rPr>
            </w:pPr>
            <w:r>
              <w:rPr>
                <w:rFonts w:ascii="Courier New" w:cs="Courier New" w:eastAsia="Courier New" w:hAnsi="Courier New"/>
                <w:sz w:val="14"/>
                <w:szCs w:val="14"/>
                <w:color w:val="auto"/>
              </w:rPr>
              <w:t>INDUSTRIES</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as our on-line WIN NET information system, will ensure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that our retail customers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are more satisfied; thus,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ensuring long-term growth</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and profitability.</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Winnebago Industries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also prides itself on providing</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the highest level of warranty, parts and service programs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 the industry and conducts extensive service training</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for its dealers. In the past few years, Winnebago</w:t>
            </w:r>
          </w:p>
        </w:tc>
        <w:tc>
          <w:tcPr>
            <w:tcW w:w="15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[PHOTO/LOGO]</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Industries has implemented industry-leading programs like</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the 40 percent warranty parts markup program, TripSaver</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TRIP SAVER</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Emergency Warranty Parts Shipments and the enhanced</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FAST TRACK PARTS</w:t>
            </w: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WIN NET on-line data entry system that provides Winnebago</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Industries' dealers with instant access to service, parts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20"/>
                <w:szCs w:val="20"/>
                <w:color w:val="auto"/>
              </w:rPr>
            </w:pPr>
            <w:r>
              <w:rPr>
                <w:rFonts w:ascii="Courier New" w:cs="Courier New" w:eastAsia="Courier New" w:hAnsi="Courier New"/>
                <w:sz w:val="14"/>
                <w:szCs w:val="14"/>
                <w:color w:val="auto"/>
              </w:rPr>
              <w:t>and warranty information.</w:t>
            </w:r>
          </w:p>
        </w:tc>
        <w:tc>
          <w:tcPr>
            <w:tcW w:w="2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339" w:firstLine="431"/>
        <w:spacing w:after="0" w:line="261" w:lineRule="auto"/>
        <w:rPr>
          <w:sz w:val="20"/>
          <w:szCs w:val="20"/>
          <w:color w:val="auto"/>
        </w:rPr>
      </w:pPr>
      <w:r>
        <w:rPr>
          <w:rFonts w:ascii="Courier New" w:cs="Courier New" w:eastAsia="Courier New" w:hAnsi="Courier New"/>
          <w:sz w:val="14"/>
          <w:szCs w:val="14"/>
          <w:color w:val="auto"/>
        </w:rPr>
        <w:t>To ensure that our sales and service programs are effective, we continually monitor our customers' satisfaction levels through surveys. From this data, Winnebago Industries has developed a Customer Satisfaction Index (CSI) that is used to shape our sales and service programs and to reward our most effective dealers. In 1986, Winnebago Industries initiated the first dealer recognition program within the RV industry. This "Circle of Excellence Award" recognized 162 dealers with this top honor for the 2002 model year, including six dealers who have achieved this exclusive status each year since the program was initiated 16 years ago, as well as 21 first-time winners.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w:t>
      </w:r>
    </w:p>
    <w:p>
      <w:pPr>
        <w:spacing w:after="0" w:line="33"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Winnebago-Itasca Travelers (WIT) Club is very important to Winnebago Industries, particularly as club members have proven themselves to be extremely loyal, repeat buyers of the Company's products. The WIT Club enables the Company to stay connected with our Winnebago, Itasca, Rialta and Ultimate motor home owners and provides added benefits to these owners as well. Caravans, rallies and tours held frequently throughout the year provide WIT Club members with a way to use their motor homes, remain active and keep in touch with their club-member friends. Winnebago Industries encourages its dealers to actively participate in local chapters by offering complimentary memberships to new purchasers and to host "Show &amp; Tell" events on the dealership lots. The WIT Club</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ind w:right="4799"/>
        <w:spacing w:after="0" w:line="293" w:lineRule="auto"/>
        <w:rPr>
          <w:sz w:val="20"/>
          <w:szCs w:val="20"/>
          <w:color w:val="auto"/>
        </w:rPr>
      </w:pPr>
      <w:r>
        <w:rPr>
          <w:rFonts w:ascii="Courier New" w:cs="Courier New" w:eastAsia="Courier New" w:hAnsi="Courier New"/>
          <w:sz w:val="14"/>
          <w:szCs w:val="14"/>
          <w:color w:val="auto"/>
        </w:rPr>
        <w:t>CAPTION: WIT MEMBERS IN NEARLY 1,500 WINNEBAGO INDUSTRIES MOTOR HOMES PARTICIPATED IN THE 2002 WIT GRAND NATIONAL RALLY FOR THIS ANNUAL EVENT IN FOREST CITY, IOWA</w:t>
      </w:r>
    </w:p>
    <w:p>
      <w:pPr>
        <w:spacing w:after="0" w:line="221"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also provides member benefits such as a monthly magazine, professional trip routing, purchasing and service discounts, mail forwarding and various types of insurance.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LEADER</w:t>
      </w:r>
    </w:p>
    <w:p>
      <w:pPr>
        <w:spacing w:after="0" w:line="3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Winnebago Industries believes that it is the most technologically advanced RV manufacturer in the industry, and the Company remains on the cutting edge in terms of computerized equipment at all of its facilities. An additional $11 million was spent on capital expenditures in fiscal 2002 to upgrade manufacturing equipment and expand manufacturing capabilities in order to increase productivity and improve the quality of Winnebago Industries' products.</w:t>
      </w:r>
    </w:p>
    <w:p>
      <w:pPr>
        <w:spacing w:after="0" w:line="3" w:lineRule="exact"/>
        <w:rPr>
          <w:sz w:val="20"/>
          <w:szCs w:val="20"/>
          <w:color w:val="auto"/>
        </w:rPr>
      </w:pPr>
    </w:p>
    <w:p>
      <w:pPr>
        <w:ind w:right="3599" w:firstLine="431"/>
        <w:spacing w:after="0" w:line="279" w:lineRule="auto"/>
        <w:rPr>
          <w:sz w:val="20"/>
          <w:szCs w:val="20"/>
          <w:color w:val="auto"/>
        </w:rPr>
      </w:pPr>
      <w:r>
        <w:rPr>
          <w:rFonts w:ascii="Courier New" w:cs="Courier New" w:eastAsia="Courier New" w:hAnsi="Courier New"/>
          <w:sz w:val="14"/>
          <w:szCs w:val="14"/>
          <w:color w:val="auto"/>
        </w:rPr>
        <w:t>The Company's new motor home manufacturing facility currently under construction will be a state-of-the-art facility that will utilize the latest computer technology, such as computer numerically controlled routers for the manufacture of Winnebago Industries' Class C motor homes.</w:t>
      </w: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COMPUTER NUMERICALLY CONTROLLED (CNC) ROUTER.</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LEADERSHIP</w:t>
      </w:r>
    </w:p>
    <w:p>
      <w:pPr>
        <w:spacing w:after="0" w:line="3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Winnebago Industries believes that its high degree of technology, as well as the advanced sales and service programs and aftermarket support we provide our dealers and retail customers, are greatly responsible for our quality leadership within the RV industry.</w:t>
      </w:r>
    </w:p>
    <w:p>
      <w:pPr>
        <w:spacing w:after="0" w:line="2" w:lineRule="exact"/>
        <w:rPr>
          <w:sz w:val="20"/>
          <w:szCs w:val="20"/>
          <w:color w:val="auto"/>
        </w:rPr>
      </w:pPr>
    </w:p>
    <w:p>
      <w:pPr>
        <w:ind w:right="3419" w:firstLine="431"/>
        <w:spacing w:after="0" w:line="260" w:lineRule="auto"/>
        <w:rPr>
          <w:sz w:val="20"/>
          <w:szCs w:val="20"/>
          <w:color w:val="auto"/>
        </w:rPr>
      </w:pPr>
      <w:r>
        <w:rPr>
          <w:rFonts w:ascii="Courier New" w:cs="Courier New" w:eastAsia="Courier New" w:hAnsi="Courier New"/>
          <w:sz w:val="14"/>
          <w:szCs w:val="14"/>
          <w:color w:val="auto"/>
        </w:rPr>
        <w:t>The Company was pleased to again receive the Quality Circle Award from the Recreation Vehicle Dealers' Association (RVDA). Quality Circle status is the result of outstanding ratings on the RVDA's annual Dealer Satisfaction Index survey. One of 32 companies which qualified for consideration based upon an adequate number of responses, Winnebago Industries was the only public motor home manufacturer to be rated high enough by dealers to receive the Quality Circle Award. Winnebago Industries was also the only public motor home manufacturer to have won this award each year since it was instituted six years ago. The Company is particularly proud of the response to the last question on the survey that names Winnebago Industries with an industry leading figure of</w:t>
      </w:r>
    </w:p>
    <w:p>
      <w:pPr>
        <w:spacing w:after="0" w:line="2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[PHOTO]</w:t>
      </w:r>
    </w:p>
    <w:p>
      <w:pPr>
        <w:spacing w:after="0" w:line="3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CAPTION: QUALITY CIRCLE AWARDS FROM RVDA</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91.7 percent on the topic of "Product Valuable for Dealership's Success."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2001 RVDA - DSI</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Product Valuable for Dealerships' Success</w:t>
      </w:r>
    </w:p>
    <w:p>
      <w:pPr>
        <w:spacing w:after="0" w:line="147" w:lineRule="exact"/>
        <w:rPr>
          <w:sz w:val="20"/>
          <w:szCs w:val="20"/>
          <w:color w:val="auto"/>
        </w:rPr>
      </w:pPr>
    </w:p>
    <w:tbl>
      <w:tblPr>
        <w:tblLayout w:type="fixed"/>
        <w:tblInd w:w="2600" w:type="dxa"/>
        <w:tblCellMar>
          <w:top w:w="0" w:type="dxa"/>
          <w:left w:w="0" w:type="dxa"/>
          <w:bottom w:w="0" w:type="dxa"/>
          <w:right w:w="0" w:type="dxa"/>
        </w:tblCellMar>
      </w:tblP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Winnebago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91.7%</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Sunline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Carriage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Newmar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84.5%</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Lance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K-Z, Inc.</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84.1%</w:t>
            </w:r>
          </w:p>
        </w:tc>
      </w:tr>
      <w:tr>
        <w:trPr>
          <w:trHeight w:val="166"/>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Holiday Rambler 84.0%</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Western RV</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81.3%</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Monoco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Jayco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79.0%</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Sunnybrook</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78.9%</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Viking</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78.8%</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Tiffin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Skyline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73.2%</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R-Vision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72.8%</w:t>
            </w:r>
          </w:p>
        </w:tc>
      </w:tr>
      <w:tr>
        <w:trPr>
          <w:trHeight w:val="242"/>
        </w:trPr>
        <w:tc>
          <w:tcPr>
            <w:tcW w:w="1160" w:type="dxa"/>
            <w:vAlign w:val="bottom"/>
          </w:tcPr>
          <w:p>
            <w:pPr>
              <w:spacing w:after="0"/>
              <w:rPr>
                <w:sz w:val="20"/>
                <w:szCs w:val="20"/>
                <w:color w:val="auto"/>
              </w:rPr>
            </w:pPr>
            <w:r>
              <w:rPr>
                <w:rFonts w:ascii="Courier New" w:cs="Courier New" w:eastAsia="Courier New" w:hAnsi="Courier New"/>
                <w:sz w:val="14"/>
                <w:szCs w:val="14"/>
                <w:color w:val="auto"/>
              </w:rPr>
              <w:t>Coachman RV</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PRODUCTIVITY</w:t>
      </w:r>
    </w:p>
    <w:p>
      <w:pPr>
        <w:spacing w:after="0" w:line="3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Winnebago Industries has committed to Lean Manufacturing philosophies. Lean Manufacturing is a systematic approach of identifying and eliminating waste (nonvalue-added activities) through continuous organization and processes improvement. There are a series of seven workshops involved in the Lean Manufacturing process. Approximately 1,300 employees have attended the first workshop which involves employees learning the basic fundamentals of Lean Manufacturing. Another 500 employees have attended the second workshop on workplace organization and standardization.</w:t>
      </w:r>
    </w:p>
    <w:p>
      <w:pPr>
        <w:spacing w:after="0" w:line="3" w:lineRule="exact"/>
        <w:rPr>
          <w:sz w:val="20"/>
          <w:szCs w:val="20"/>
          <w:color w:val="auto"/>
        </w:rPr>
      </w:pPr>
    </w:p>
    <w:p>
      <w:pPr>
        <w:ind w:right="3339" w:firstLine="431"/>
        <w:spacing w:after="0" w:line="279" w:lineRule="auto"/>
        <w:rPr>
          <w:sz w:val="20"/>
          <w:szCs w:val="20"/>
          <w:color w:val="auto"/>
        </w:rPr>
      </w:pPr>
      <w:r>
        <w:rPr>
          <w:rFonts w:ascii="Courier New" w:cs="Courier New" w:eastAsia="Courier New" w:hAnsi="Courier New"/>
          <w:sz w:val="14"/>
          <w:szCs w:val="14"/>
          <w:color w:val="auto"/>
        </w:rPr>
        <w:t>Implementation of Lean Manufacturing in our Lorimor soft goods facility resulted in a 34 percent reduction in the number of machines needed, elimination of 5-10 hours of overtime per employee per week, reduction in work space, waste and inventory, as well as improved material flow.</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LEADERSHIP SUMMARY</w:t>
      </w:r>
    </w:p>
    <w:p>
      <w:pPr>
        <w:spacing w:after="0" w:line="33" w:lineRule="exact"/>
        <w:rPr>
          <w:sz w:val="20"/>
          <w:szCs w:val="20"/>
          <w:color w:val="auto"/>
        </w:rPr>
      </w:pPr>
    </w:p>
    <w:p>
      <w:pPr>
        <w:ind w:right="3419" w:firstLine="431"/>
        <w:spacing w:after="0" w:line="259" w:lineRule="auto"/>
        <w:rPr>
          <w:sz w:val="20"/>
          <w:szCs w:val="20"/>
          <w:color w:val="auto"/>
        </w:rPr>
      </w:pPr>
      <w:r>
        <w:rPr>
          <w:rFonts w:ascii="Courier New" w:cs="Courier New" w:eastAsia="Courier New" w:hAnsi="Courier New"/>
          <w:sz w:val="14"/>
          <w:szCs w:val="14"/>
          <w:color w:val="auto"/>
        </w:rPr>
        <w:t>Winnebago Industries is the leading motor home manufacturer in the RV industry. Demographic trends indicate that the RV industry's target market will grow for the next 30 years. Winnebago Industries' brand recognition and recognition as a top quality manufacturer lead us to believe that the Company will continue to be a leader in the industry. Through the development of innovative new products, quality improvement and plant expansion, Winnebago Industries believes it will continue to grow in market share and volume. While it is important to be in the leading position in sales within the industry, it is also the Company's continued goal to remain the most profitable public company in the industry. Winnebago Industries strongly believes it has the leadership position necessary to deliver the best results for its shareholders.</w:t>
      </w:r>
    </w:p>
    <w:p>
      <w:pPr>
        <w:spacing w:after="0" w:line="24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CAPTION: CONSTRUCTION OF THE NEW MOTOR HOME MANUFACTURING FACILITY IN CHARLES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CITY, IOWA IS SCHEDULED TO BE COMPLETED IN EARLY CALENDAR 2003.</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56" w:right="1440" w:bottom="1440" w:gutter="0" w:footer="0" w:header="0"/>
        </w:sectPr>
      </w:pPr>
    </w:p>
    <w:bookmarkStart w:id="42" w:name="page43"/>
    <w:bookmarkEnd w:id="42"/>
    <w:p>
      <w:pPr>
        <w:ind w:left="1980"/>
        <w:spacing w:after="0"/>
        <w:rPr>
          <w:sz w:val="20"/>
          <w:szCs w:val="20"/>
          <w:color w:val="auto"/>
        </w:rPr>
      </w:pPr>
      <w:r>
        <w:rPr>
          <w:rFonts w:ascii="Courier New" w:cs="Courier New" w:eastAsia="Courier New" w:hAnsi="Courier New"/>
          <w:sz w:val="14"/>
          <w:szCs w:val="14"/>
          <w:color w:val="auto"/>
        </w:rPr>
        <w:t>MOTOR HOME PRODUCT CLASSIFICATION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MOTOR HOMES</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These are conventional motor homes constructed directly on medium-duty truck chassis which include the engine and drivetrain components. The living area and the driver's compartment are designed and produced by the motor home manufacturer. Class A motor homes from Winnebago Industries include: Winnebago Sightseer, Brave, Adventurer, Chieftain, Journey and Journey DL; Itasca Sunova, Sunrise, Suncruiser, Sunflyer and Horizon; and Ultimate Advantage and Ultimate Freedom.</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VAN CAMPERS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These are panel-type trucks to which sleeping, kitchen, and/or toilet facilities are added. These models also have a top extension to provide more headroom. Winnebago Industries converts the EuroVan Camper, which is distributed by Volkswagen of America and Volkswagen of Canada.</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MOTOR HOMES (MINI)</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These are mini motor homes built on a van-type chassis onto which the motor home manufacturers construct a living area with access to the driver's compartment. Class C motor homes from Winnebago Industries include: Winnebago Vista, Minnie and Minnie Winnie; Itasca Sunstar, Spirit and Sundancer; and Rialta.</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[LOGO]</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w:t>
      </w:r>
    </w:p>
    <w:p>
      <w:pPr>
        <w:spacing w:after="0" w:line="1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MOTOR HOME FAMILY TREE</w:t>
      </w:r>
    </w:p>
    <w:p>
      <w:pPr>
        <w:spacing w:after="0" w:line="173"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Winnebago Industries manufactures four brands of Class A and C motor homes. Listed below are the brand names and model designations of the Company's 2003 product line.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[LOGO]</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[LOGO]</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[LOGO]</w:t>
            </w:r>
          </w:p>
        </w:tc>
        <w:tc>
          <w:tcPr>
            <w:tcW w:w="400" w:type="dxa"/>
            <w:vAlign w:val="bottom"/>
          </w:tcPr>
          <w:p>
            <w:pPr>
              <w:spacing w:after="0"/>
              <w:rPr>
                <w:sz w:val="14"/>
                <w:szCs w:val="14"/>
                <w:color w:val="auto"/>
              </w:rPr>
            </w:pPr>
          </w:p>
        </w:tc>
        <w:tc>
          <w:tcPr>
            <w:tcW w:w="16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[LOGO]</w:t>
            </w:r>
          </w:p>
        </w:tc>
      </w:tr>
      <w:tr>
        <w:trPr>
          <w:trHeight w:val="24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WINNEBAGO</w:t>
            </w:r>
          </w:p>
        </w:tc>
        <w:tc>
          <w:tcPr>
            <w:tcW w:w="340" w:type="dxa"/>
            <w:vAlign w:val="bottom"/>
          </w:tcPr>
          <w:p>
            <w:pPr>
              <w:spacing w:after="0"/>
              <w:rPr>
                <w:sz w:val="21"/>
                <w:szCs w:val="21"/>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ITASCA</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RIALTA</w:t>
            </w:r>
          </w:p>
        </w:tc>
        <w:tc>
          <w:tcPr>
            <w:tcW w:w="400" w:type="dxa"/>
            <w:vAlign w:val="bottom"/>
          </w:tcPr>
          <w:p>
            <w:pPr>
              <w:spacing w:after="0"/>
              <w:rPr>
                <w:sz w:val="21"/>
                <w:szCs w:val="21"/>
                <w:color w:val="auto"/>
              </w:rPr>
            </w:pP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ULTIMATE</w:t>
            </w:r>
          </w:p>
        </w:tc>
      </w:tr>
      <w:tr>
        <w:trPr>
          <w:trHeight w:val="255"/>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Vista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Sunstar</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  Rialta</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Ultimate Advantage</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Minnie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Spirit</w:t>
            </w:r>
          </w:p>
        </w:tc>
        <w:tc>
          <w:tcPr>
            <w:tcW w:w="142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Ultimate Freedom</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Minnie Winnie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Sundancer</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Sightseer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Sunova</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Brave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Sunrise</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Adventurer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w w:val="99"/>
              </w:rPr>
              <w:t>Suncruiser</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Chieftain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Sunflyer</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20"/>
              <w:spacing w:after="0"/>
              <w:rPr>
                <w:sz w:val="20"/>
                <w:szCs w:val="20"/>
                <w:color w:val="auto"/>
              </w:rPr>
            </w:pPr>
            <w:r>
              <w:rPr>
                <w:rFonts w:ascii="Courier New" w:cs="Courier New" w:eastAsia="Courier New" w:hAnsi="Courier New"/>
                <w:sz w:val="14"/>
                <w:szCs w:val="14"/>
                <w:color w:val="auto"/>
              </w:rPr>
              <w:t>Journey/Journey DL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Horizon</w:t>
            </w: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7"/>
        </w:trPr>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right"/>
              <w:ind w:right="1168"/>
              <w:spacing w:after="0"/>
              <w:rPr>
                <w:sz w:val="20"/>
                <w:szCs w:val="20"/>
                <w:color w:val="auto"/>
              </w:rPr>
            </w:pPr>
            <w:r>
              <w:rPr>
                <w:rFonts w:ascii="Courier New" w:cs="Courier New" w:eastAsia="Courier New" w:hAnsi="Courier New"/>
                <w:sz w:val="14"/>
                <w:szCs w:val="14"/>
                <w:color w:val="auto"/>
                <w:w w:val="94"/>
              </w:rPr>
              <w:t>13</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39"/>
          </w:cols>
          <w:pgMar w:left="220" w:top="75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INFORMATION</w:t>
      </w:r>
    </w:p>
    <w:p>
      <w:pPr>
        <w:spacing w:after="0" w:line="173"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Certain of the matters discussed in this Annual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 competitors, collections of dealer financing receivables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ind w:right="3519" w:firstLine="431"/>
        <w:spacing w:after="0" w:line="266" w:lineRule="auto"/>
        <w:rPr>
          <w:sz w:val="20"/>
          <w:szCs w:val="20"/>
          <w:color w:val="auto"/>
        </w:rPr>
      </w:pPr>
      <w:r>
        <w:rPr>
          <w:rFonts w:ascii="Courier New" w:cs="Courier New" w:eastAsia="Courier New" w:hAnsi="Courier New"/>
          <w:sz w:val="14"/>
          <w:szCs w:val="14"/>
          <w:color w:val="auto"/>
        </w:rPr>
        <w:t>In preparing the consolidated financial statements, we follow accounting principles generally accepted in the United States of America, which in many cases requires us to make assumptions, estimates and judgments that affect the amounts reported. Many of these policies are straightforward. There are, however, some policies that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74" w:lineRule="exact"/>
        <w:rPr>
          <w:sz w:val="20"/>
          <w:szCs w:val="20"/>
          <w:color w:val="auto"/>
        </w:rPr>
      </w:pPr>
    </w:p>
    <w:p>
      <w:pPr>
        <w:ind w:right="3339" w:firstLine="431"/>
        <w:spacing w:after="0" w:line="277" w:lineRule="auto"/>
        <w:rPr>
          <w:sz w:val="20"/>
          <w:szCs w:val="20"/>
          <w:color w:val="auto"/>
        </w:rPr>
      </w:pPr>
      <w:r>
        <w:rPr>
          <w:rFonts w:ascii="Courier New" w:cs="Courier New" w:eastAsia="Courier New" w:hAnsi="Courier New"/>
          <w:sz w:val="14"/>
          <w:szCs w:val="14"/>
          <w:color w:val="auto"/>
        </w:rPr>
        <w:t>The Company offers to its customers a variety of warranties on its products ranging from 1 to 10 years in length. Estimated costs related to product warranty are accrued at the time of sale and included in cost of sales. Estimated costs are based upon past warranty claims and unit sales history and adjusted as required to reflect actual costs incurred, as information becomes available.</w:t>
      </w:r>
    </w:p>
    <w:p>
      <w:pPr>
        <w:spacing w:after="0" w:line="244"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Beginning in fiscal year 2001, revenue was recorded by the Company upon receipt of products by Winnebago Industries dealers rather than upon shipment as in prior years. This change in accounting principle was made to implement the Securities and Exchange Commission's (SEC) Staff Accounting Bulletin (SAB) No. 101, as amended. SAB No. 101 requires that four basic criteria must be met before revenue can be recognized: (1) persuasive evidence of an arrangement exists; (2) delivery has occurred or services rendered; (3) the fee is fixed and determinable; and (4) collectability is reasonably assured. This change required an adjustment to net income in the Company's first quarter 2001 results, which reflects the cumulative effect on the prior year's results due to the application of SAB No. 101.</w:t>
      </w:r>
    </w:p>
    <w:p>
      <w:pPr>
        <w:spacing w:after="0" w:line="76"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The Company has reserves for other loss exposures, such as product liability, litigation and accounts receivable. The Company also has loss exposure on loan guarantees and repurchase agreements (see Note 6 of Condensed Notes to</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44" w:name="page45"/>
    <w:bookmarkEnd w:id="44"/>
    <w:p>
      <w:pPr>
        <w:spacing w:after="0"/>
        <w:tabs>
          <w:tab w:leader="none" w:pos="6280" w:val="left"/>
        </w:tabs>
        <w:rPr>
          <w:sz w:val="20"/>
          <w:szCs w:val="20"/>
          <w:color w:val="auto"/>
        </w:rPr>
      </w:pPr>
      <w:r>
        <w:rPr>
          <w:rFonts w:ascii="Courier New" w:cs="Courier New" w:eastAsia="Courier New" w:hAnsi="Courier New"/>
          <w:sz w:val="14"/>
          <w:szCs w:val="14"/>
          <w:color w:val="auto"/>
        </w:rPr>
        <w:t>[PHOTO]</w:t>
      </w:r>
      <w:r>
        <w:rPr>
          <w:sz w:val="20"/>
          <w:szCs w:val="20"/>
          <w:color w:val="auto"/>
        </w:rPr>
        <w:tab/>
      </w:r>
      <w:r>
        <w:rPr>
          <w:rFonts w:ascii="Courier New" w:cs="Courier New" w:eastAsia="Courier New" w:hAnsi="Courier New"/>
          <w:sz w:val="14"/>
          <w:szCs w:val="14"/>
          <w:color w:val="auto"/>
        </w:rPr>
        <w:t>[PHOTO]</w:t>
      </w:r>
    </w:p>
    <w:p>
      <w:pPr>
        <w:spacing w:after="0" w:line="338"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Consolidated Financial Statements).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Company's products are generally manufactured against orders from the Company's dealers and from time to time to build inventory to satisfy the peak selling season.</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2002 COMPARED TO FISCAL 2001</w:t>
      </w:r>
    </w:p>
    <w:p>
      <w:pPr>
        <w:spacing w:after="0" w:line="147"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Net revenues for recreation vehicles and other manufactured products were $825,269,000 for fiscal 2002 (53 weeks), an increase of $153,583,000, or 22.9 percent, from fiscal 2001 (52 weeks). Motor home shipments (Class A and C) during fiscal 2002 were 11,054 units, an increase of 1,978 units, or 21.8 percent, compared to fiscal 2001. The Company's increase in revenues during fiscal 2002 reflects low interest rates, an increase in market share, continued acceptance of the Company's new products, solid performance by the Company's dealers and a high quality reputation of the Company's products.</w:t>
      </w:r>
    </w:p>
    <w:p>
      <w:pPr>
        <w:spacing w:after="0" w:line="74"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Net revenues for dealer financing at Winnebago Acceptance Corporation (WAC) were $3,134,000 for fiscal 2002, a decrease of $1,107,000 or 26.1 percent from fiscal 2001. Decreased revenues for dealer financing reflect a significant decrease in interest rates partially offset by higher average outstanding dealer receivable balances when comparing fiscal 2002 to fiscal 2001.</w:t>
      </w:r>
    </w:p>
    <w:p>
      <w:pPr>
        <w:spacing w:after="0" w:line="62"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85.9 percent for fiscal 2002, compared to 87.6 percent for fiscal 2001. The Company's lower cost of manufacturing during fiscal 2002 can be attributed to increased volume of motor home production and deliveries to dealers.</w:t>
      </w:r>
    </w:p>
    <w:p>
      <w:pPr>
        <w:spacing w:after="0" w:line="62" w:lineRule="exact"/>
        <w:rPr>
          <w:sz w:val="20"/>
          <w:szCs w:val="20"/>
          <w:color w:val="auto"/>
        </w:rPr>
      </w:pPr>
    </w:p>
    <w:p>
      <w:pPr>
        <w:ind w:right="3339" w:firstLine="431"/>
        <w:spacing w:after="0" w:line="277" w:lineRule="auto"/>
        <w:rPr>
          <w:sz w:val="20"/>
          <w:szCs w:val="20"/>
          <w:color w:val="auto"/>
        </w:rPr>
      </w:pPr>
      <w:r>
        <w:rPr>
          <w:rFonts w:ascii="Courier New" w:cs="Courier New" w:eastAsia="Courier New" w:hAnsi="Courier New"/>
          <w:sz w:val="14"/>
          <w:szCs w:val="14"/>
          <w:color w:val="auto"/>
        </w:rPr>
        <w:t>Selling expenses increased by $1,321,000 to $19,606,000 comparing fiscal 2002 to fiscal 2001 but decreased as a percentage of net revenues to 2.4 percent from 2.7 percent. The increase in dollars can be attributed primarily to increases in advertising expenses and salesperson incentive compensation. The increased sales volume during fiscal 2002 contributed to the decrease in percentage.</w:t>
      </w:r>
    </w:p>
    <w:p>
      <w:pPr>
        <w:spacing w:after="0" w:line="244"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General and administrative expenses increased by $5,128,000 to $18,735,000 and to 2.3 percent of net revenues compared to 2.0 percent for fiscal 2001. The increases in dollars and percentage when comparing the two fiscal year-end periods were primarily due to increases in employee incentive programs and to a lesser extent increased legal reserves.</w:t>
      </w:r>
    </w:p>
    <w:p>
      <w:pPr>
        <w:spacing w:after="0" w:line="62"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For fiscal 2002, the Company had net financial income of $2,859,000 compared to net financial income of $3,754,000 during fiscal 2001. When comparing the two fiscal years, the average available cash for investing during fiscal 2002 was larger than the average available cash during fiscal 2001. However, the average rate the Company earned on investments was significantly lower than the average rate earned during the fiscal 2001 period.</w:t>
      </w:r>
    </w:p>
    <w:p>
      <w:pPr>
        <w:spacing w:after="0" w:line="69"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effective income tax rate increased from 26.1 percent in fiscal 2001 to 35.0 percent in fiscal 2002. The primary reason for the increase was due to a $4.5 million tax benefit recorded in fiscal 2001 in connection with the expiration of certain tax statutes and a higher provision for state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45" w:name="page46"/>
    <w:bookmarkEnd w:id="45"/>
    <w:p>
      <w:pPr>
        <w:spacing w:after="0"/>
        <w:tabs>
          <w:tab w:leader="none" w:pos="6280" w:val="left"/>
        </w:tabs>
        <w:rPr>
          <w:sz w:val="20"/>
          <w:szCs w:val="20"/>
          <w:color w:val="auto"/>
        </w:rPr>
      </w:pPr>
      <w:r>
        <w:rPr>
          <w:rFonts w:ascii="Courier New" w:cs="Courier New" w:eastAsia="Courier New" w:hAnsi="Courier New"/>
          <w:sz w:val="14"/>
          <w:szCs w:val="14"/>
          <w:color w:val="auto"/>
        </w:rPr>
        <w:t>[PHOTO]</w:t>
      </w:r>
      <w:r>
        <w:rPr>
          <w:sz w:val="20"/>
          <w:szCs w:val="20"/>
          <w:color w:val="auto"/>
        </w:rPr>
        <w:tab/>
      </w: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in 2002.</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For fiscal 2001, the Company adopted Staff Accounting Bulletin (SAB) No. 101 issued by the SEC in December 1999. SAB No. 101 set forth the views of the SEC staff concerning revenue recognition. As a result of SAB No. 101, the Company began recording revenue upon receipt of products by the Company's dealers rather than upon shipment by the Company. Adoption of SAB No. 101 during the 52 weeks ended August 25, 2001 required an adjustment of $1,050,000 to net income, or $.05 per diluted share, in the Company's first quarter 2001 results, which is reflected as a cumulative effect adjustment in the fiscal 2001 statement of income.</w:t>
      </w:r>
    </w:p>
    <w:p>
      <w:pPr>
        <w:spacing w:after="0" w:line="25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53 weeks ended August 31, 2002, the Company had net income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$54,671,000, or $2.68 per diluted share, compared to the 52 weeks ended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2001 net income of $42,704,000, or $2.03 per diluted share. Net income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income per share for fiscal 2002 increased 43.1 percent and 47.3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respectively, compared to the prior year proforma results of $38.2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net income and $1.82 per diluted share, which excludes the $4.5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time tax benefit. The differences in percentages when comparing net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net earnings per share were primarily due to a lower number of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during the 53 weeks ended August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to the Company's buyback of 2,412,000 shares during fiscal 2002. (See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to the Company's 2002 Consolidated Financial Statements.)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2001 COMPARED TO FISCAL 2000</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Net revenues for recreation vehicles and other manufactured products were $671,686,000 for fiscal 2001, a decrease of $72,043,000, or 9.7 percent, from fiscal 2000. Motor home shipments (Class A and C) during fiscal 2001 were 9,076 units, a decrease of 1,440 units, or 13.7 percent, compared to fiscal 2000. The percentage decrease in net revenues was less than the percentage decrease in motor home unit sales because the Company's fiscal 2001 sales, as a percentage of total unit sales, contained relatively more higher-priced units with slideout features as well as diesel-powered Class A vehicles. The Company's net revenues during fiscal 2001 reflected the decline in consumer confidence levels and a slowdown in the economy. The Company's performance within the RV industry in fiscal 2001 was a result of the excellent acceptance of its new products, solid performance of its dealer partners, brand recognition and strong quality reputation.</w:t>
      </w:r>
    </w:p>
    <w:p>
      <w:pPr>
        <w:spacing w:after="0" w:line="24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Net revenues for dealer financing at WAC were $4,241,000 for fiscal 2001, an increase of $333,000, or 8.5 percent, from fiscal 2000. Increased revenues for dealer financing reflected an increase in dealer receivable balances and, to a lesser extent, an increase in interest rates charged when comparing fiscal 2001 to fiscal 2000.</w:t>
      </w:r>
    </w:p>
    <w:p>
      <w:pPr>
        <w:spacing w:after="0" w:line="62"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87.6 percent for fiscal 2001 compared to 86.2 percent for fiscal 2000. The Company's higher costs of manufacturing products during 2001 can be attributed to lower volume of production and deliveries to dealers.</w:t>
      </w:r>
    </w:p>
    <w:p>
      <w:pPr>
        <w:spacing w:after="0" w:line="56"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Selling expenses decreased by $438,000 to $18,285,000 comparing fiscal 2001 to fiscal 2000 but increased as a percentage of net revenues to 2.7 percent from 2.5 percent. The decrease in dollars can be attributed primarily to reductions in salesperson incentive compensation. Decreased sales volume during fiscal 2001 contributed to the increase in percentage.</w:t>
      </w:r>
    </w:p>
    <w:p>
      <w:pPr>
        <w:spacing w:after="0" w:line="62"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General and administrative expenses decreased by $3,515,000 to $13,607,000 and to 2.0 percent of net revenues from 2.3 percent when comparing fiscal 2001 to fiscal 2000. Lower payments for employee incentive programs and reduced product liability costs were primary reasons for the decreases in both dollars and percentages.</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46" w:name="page47"/>
    <w:bookmarkEnd w:id="46"/>
    <w:p>
      <w:pPr>
        <w:ind w:left="398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ind w:right="4019" w:firstLine="431"/>
        <w:spacing w:after="0" w:line="292" w:lineRule="auto"/>
        <w:rPr>
          <w:sz w:val="20"/>
          <w:szCs w:val="20"/>
          <w:color w:val="auto"/>
        </w:rPr>
      </w:pPr>
      <w:r>
        <w:rPr>
          <w:rFonts w:ascii="Courier New" w:cs="Courier New" w:eastAsia="Courier New" w:hAnsi="Courier New"/>
          <w:sz w:val="14"/>
          <w:szCs w:val="14"/>
          <w:color w:val="auto"/>
        </w:rPr>
        <w:t>For fiscal 2001, the Company had net financial income of $3,754,000 compared to net financial income of $3,338,000 during fiscal 2000. When comparing the two periods, the increase was due primarily to larger cash balances available for investing during fiscal 2001.</w:t>
      </w:r>
    </w:p>
    <w:p>
      <w:pPr>
        <w:spacing w:after="0" w:line="56"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effective income tax rate decreased from 34.6 percent in fiscal 2000 to 26.1 percent in fiscal 2001. The primary reason for the decrease in fiscal 2001 was due to the Company recording a $4.5 million tax benefit in connection with the expiration of certain tax statutes.</w:t>
      </w:r>
    </w:p>
    <w:p>
      <w:pPr>
        <w:spacing w:after="0" w:line="56" w:lineRule="exact"/>
        <w:rPr>
          <w:sz w:val="20"/>
          <w:szCs w:val="20"/>
          <w:color w:val="auto"/>
        </w:rPr>
      </w:pPr>
    </w:p>
    <w:p>
      <w:pPr>
        <w:ind w:right="3859" w:firstLine="431"/>
        <w:spacing w:after="0" w:line="292" w:lineRule="auto"/>
        <w:rPr>
          <w:sz w:val="20"/>
          <w:szCs w:val="20"/>
          <w:color w:val="auto"/>
        </w:rPr>
      </w:pPr>
      <w:r>
        <w:rPr>
          <w:rFonts w:ascii="Courier New" w:cs="Courier New" w:eastAsia="Courier New" w:hAnsi="Courier New"/>
          <w:sz w:val="14"/>
          <w:szCs w:val="14"/>
          <w:color w:val="auto"/>
        </w:rPr>
        <w:t>For fiscal 2001, the Company had income before cumulative effect of a change in accounting principle (SAB No. 101) of $43,754,000, or $2.08 per diluted share. The comparable results for fiscal 2000 was net income of $48,399,000, or $2.20 per diluted share.</w:t>
      </w:r>
    </w:p>
    <w:p>
      <w:pPr>
        <w:spacing w:after="0" w:line="56"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As a result of SAB No. 101, the Company began recording revenue upon the dealers' receipt of products rather than upon shipment by the Company. Adoption of SAB No. 101 during fiscal 2001 required an adjustment of $1,050,000 to net income, or $.05 per diluted share, in the Company's first quarter 2001 results, which is reflected as a cumulative effect adjustment in the fiscal 2001 statement of income.</w:t>
      </w:r>
    </w:p>
    <w:p>
      <w:pPr>
        <w:spacing w:after="0" w:line="69"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For fiscal 2001, the Company had net income of $42,704,000, or $2.03 per diluted share compared to fiscal 2000 net income of $48,399,000, or $2.20 per diluted share. Proforma results, excluding the $4.5 million one time tax benefit for fiscal year 2001, were $38.2 million net income and $1.82 per diluted share. Net income and earnings per diluted share for the proforma 2001 results decreased 21.1 percent and 17.3 percent, respectively, compared to fiscal 2000. The differences in percentages when comparing net income to net earnings per share was primarily due to a lower number of outstanding shares of the Company's common stock during the 52 weeks ended August 25, 2001. (See Note 13 to the Company's 2002 Consolidated Financial Statements.)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FINANCIAL CONDITION,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RESOURCES</w:t>
      </w:r>
    </w:p>
    <w:p>
      <w:pPr>
        <w:spacing w:after="0" w:line="147"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The Company generally meets its working capital, capital equipment and cash requirements with funds generated from operations.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August 31, 2002, working capital was $144,995,000, a decrease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$29,253,000 from the amount at August 25, 2001. Cash provided by operations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$36,790,000, $81,912,000 and $51,412,000 during fiscal years ended August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August 25, 2001 and August 26, 2000, respectively. Operating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provided in fiscal 2002 primarily by income generated from operations.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flows used by investing activities were $11,176,000, $19,717,000 and $25,255,000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2002, 2001 and 2000, respectively. Cash flows used by investing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primarily include investments in capital expenditures.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 were $10,997,000 in fiscal 2002, $9,089,000 in fiscal 2001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$14,548,000 in fiscal 2000. Net cash used by financing activities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$85,669,000 in fiscal 2002, $11,358,000 in fiscal 2001 and $22,874,000 in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Cash used by financing activities in fiscal 2002, 2001 and 2000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to repurchase shares of the Company's common stock at a cost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$86,072,000, $10,686,000 and $19,726,000, respectively. (See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Cash Flows.)</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Company's sources of liquidity consisted principally of cash and cash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in the amount of $42,225,000 at August 31, 2002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$102,280,000 at August 25, 2001. (See Consolidated Statements of Cash Flows.)</w:t>
      </w:r>
    </w:p>
    <w:p>
      <w:pPr>
        <w:spacing w:after="0" w:line="147"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Principal expected demands at August 31, 2002 on the Company's liquid assets for fiscal 2003 include capital expenditures of approximately $23,000,000 and approximately $1,800,000 of cash dividends, based on the cash dividend described in the following sentence. On October 9, 2002, the Board of Directors declared a cash dividend of $.10 per common</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56" w:right="1440" w:bottom="1440" w:gutter="0" w:footer="0" w:header="0"/>
        </w:sectPr>
      </w:pPr>
    </w:p>
    <w:bookmarkStart w:id="47" w:name="page48"/>
    <w:bookmarkEnd w:id="47"/>
    <w:p>
      <w:pPr>
        <w:ind w:left="31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share payable January 6, 2003 to shareholders of record on December 6, 2002. Also, on June 19, 2002, the Board of Directors authorized the repurchase of outstanding shares of the Company's common stock, depending on market conditions, for an aggregate purchase price of up to $15,000,000. As of October 4, 2002, 119,900 shares had been repurchased for an aggregate consideration of approximately $4,294,000 under this authorization.</w:t>
      </w:r>
    </w:p>
    <w:p>
      <w:pPr>
        <w:spacing w:after="0" w:line="69"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Management currently expects its cash on hand and funds from operations to be sufficient to cover both short-term and long-term operating requirements.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PRONOUNCEMENTS</w:t>
      </w:r>
    </w:p>
    <w:p>
      <w:pPr>
        <w:spacing w:after="0" w:line="147"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On August 27, 2000, the Company adopted SEC Staff Accounting Bulletin (SAB) No. 101, Revenue Recognition in Financial Statements, which the SEC staff issued in December 1999. SAB No. 101 sets forth the SEC staff's views concerning revenue recognition. As a result of SAB No. 101, the Company began recording revenue upon receipt of products by Winnebago Industries' dealers rather than upon shipment by the Company. This change required an adjustment to net income in the Company's first quarter 2001 results, which is reflected as a cumulative effect adjustment in the fiscal 2001 statement of income.</w:t>
      </w:r>
    </w:p>
    <w:p>
      <w:pPr>
        <w:spacing w:after="0" w:line="74"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In July 2001, the Financial Accounting Standards Board (FASB) issued Statement of Financial Accounting Standards (SFAS) No. 141, BUSINESS COMBINATIONS. SFAS No. 141 establishes new standards for accounting and reporting requirements for business combinations and requires that the purchase method of accounting be used for all business combinations initiated after June 30, 2001. Use of the pooling-of-interests method will be prohibited. In July 2001, the FASB also issued SFAS No. 142, Goodwill and Other Intangible Assets. SFAS No. 142 establishes new standards for goodwill acquired in a business combination and eliminates amortization of goodwill and instead sets forth methods to periodically evaluate goodwill for impairment. The Company will adopt these statements on September 1, 2002, the beginning of the first quarter of the Company's 2003 fiscal year. Management believes that neither SFAS No. 141 or 142 will affect the Company's consolidated financial statements because it does not have any acquisitions pending, goodwill or other intangible assets.</w:t>
      </w:r>
    </w:p>
    <w:p>
      <w:pPr>
        <w:spacing w:after="0" w:line="79" w:lineRule="exact"/>
        <w:rPr>
          <w:sz w:val="20"/>
          <w:szCs w:val="20"/>
          <w:color w:val="auto"/>
        </w:rPr>
      </w:pPr>
    </w:p>
    <w:p>
      <w:pPr>
        <w:ind w:right="3419" w:firstLine="431"/>
        <w:spacing w:after="0" w:line="26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SFAS No. 143 requires entities to record the fair value of a liability for an asset retirement obligation in the period in which it is incurred. Also, in September 2001, the FASB issued SFAS 144, Accounting for the Impairment or Disposal of Long-Lived Assets, which addresses financial accounting and reporting for the impairment or disposal of long-lived assets. While SFAS No. 144 supersedes SFAS No. 121, Accounting for the Impairment of Long-lived Assets and for Long-lived Assets to be Disposed Of, it retains many of the fundamental provisions of that statement. The Company is required to adopt SFAS Nos. 143 and 144 in fiscal 2003. The Company is reviewing the impact of SFAS Nos. 143 and 144, and does not believe adoption of either of these new standards will have a material affect on the Company's financial statements.</w:t>
      </w:r>
    </w:p>
    <w:p>
      <w:pPr>
        <w:spacing w:after="0" w:line="76"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Company adopted Emerging Issues Task Force (EITF) Issue No. 01-9, Accounting for Consideration Given by a Vendor to a Customer or a Reseller of the Vendor's Products, at the beginning of the third quarter of fiscal 2002. This guidance was effective for periods beginning after December 15, 2001. EITF No. 01-9 requires that certain payments to customers for cooperative advertising and certain sales incentive offers that were historically classified in selling expense be shown as a reduction in net revenues. The adoption of this new accounting policy had no impact on previously reported operating income, net income, or</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56" w:right="1440" w:bottom="1440" w:gutter="0" w:footer="0" w:header="0"/>
        </w:sectPr>
      </w:pPr>
    </w:p>
    <w:bookmarkStart w:id="48" w:name="page49"/>
    <w:bookmarkEnd w:id="48"/>
    <w:p>
      <w:pPr>
        <w:spacing w:after="0"/>
        <w:tabs>
          <w:tab w:leader="none" w:pos="6280" w:val="left"/>
        </w:tabs>
        <w:rPr>
          <w:sz w:val="20"/>
          <w:szCs w:val="20"/>
          <w:color w:val="auto"/>
        </w:rPr>
      </w:pPr>
      <w:r>
        <w:rPr>
          <w:rFonts w:ascii="Courier New" w:cs="Courier New" w:eastAsia="Courier New" w:hAnsi="Courier New"/>
          <w:sz w:val="14"/>
          <w:szCs w:val="14"/>
          <w:color w:val="auto"/>
        </w:rPr>
        <w:t>[PHOTO]</w:t>
      </w:r>
      <w:r>
        <w:rPr>
          <w:sz w:val="20"/>
          <w:szCs w:val="20"/>
          <w:color w:val="auto"/>
        </w:rPr>
        <w:tab/>
      </w: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In July 2002, the FASB issued SFAS No. 146, ACCOUNTING FOR COSTS ASSOCIATED WITH EXIT OR DISPOSAL ACTIVITIES. This standard reviews the accounting for certain exit costs and disposal activities currently set forth in EITF Issue No. 94-3, Liability Recognition for Certain Employee Termination Benefits and Other Costs to Exit an Activity (including Certain Costs Incurred in a Restructuring). The principal change of the new statement is that it now requires that a liability for a cost associated with an exit or disposal activity be recognized when the liability is incurred versus the date of commitment to an exit plan. This statement is effective for exit and disposal activities initiated after December 31, 2002. The Company does not believe adoption of this standard will significantly affect the Company's financial condition or operating results.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173"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DISCLOSURES ABOUT MARKET RISK</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August 31, 2002, the Company had an investment portfolio of fixed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securities, which are classified as cash and cash equivalents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$42,225,000, of which $36,084,000 are fixed income investments that are subject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interest rate risk and a decline in value if market interest rates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the Company has the ability to hold its fixed income investments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(which approximates 45 days) and, therefore, the Company would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 to recognize an adverse impact in income or cash flows in such an event.</w:t>
      </w:r>
    </w:p>
    <w:p>
      <w:pPr>
        <w:spacing w:after="0" w:line="147"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As of August 31, 2002, the Company had dealer-financing receivables in the amount of $37,880,000. Interest rates charged on these receivables vary based on the prime rate.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OUTLOOK</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Long-term demographics are favorable to the Company, as the target market of consumers age 50 and older is anticipated to nearly double within the next 30 years. In addition, a 2001 "RV Consumer Demographic Study" conducted by the University of Michigan for the RV industry, found the age of people interested in purchasing recreation vehicles is expanding to include younger buyers as well as older buyers. The study also found an increased interest in owning RVs generally by a larger percentage of all U.S. households. Order backlog for the Company's Class A and Class C motor homes was 3,248 orders at August 31, 2002, 1,598 orders at August 25, 2001 and 1,355 orders at August 26, 2000.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56" w:right="1440" w:bottom="1440" w:gutter="0" w:footer="0" w:header="0"/>
        </w:sectPr>
      </w:pPr>
    </w:p>
    <w:bookmarkStart w:id="49" w:name="page50"/>
    <w:bookmarkEnd w:id="49"/>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tabs>
          <w:tab w:leader="none" w:pos="5320" w:val="left"/>
          <w:tab w:leader="none" w:pos="70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3"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$ 42,225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$102,280</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28,616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21,571</w:t>
            </w:r>
          </w:p>
        </w:tc>
      </w:tr>
      <w:tr>
        <w:trPr>
          <w:trHeight w:val="242"/>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($120 and $244, respectively)</w:t>
            </w:r>
          </w:p>
        </w:tc>
        <w:tc>
          <w:tcPr>
            <w:tcW w:w="17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Dealer financing receivables, less allowance for doubtful</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37,880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40,263</w:t>
            </w:r>
          </w:p>
        </w:tc>
      </w:tr>
      <w:tr>
        <w:trPr>
          <w:trHeight w:val="242"/>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accounts ($96 and $117, respectively)</w:t>
            </w:r>
          </w:p>
        </w:tc>
        <w:tc>
          <w:tcPr>
            <w:tcW w:w="17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113,654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79,815</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3,604</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6,907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6,723</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233,596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254,256</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1,029</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47,953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45,992</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86,744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82,182</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5,641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5,482</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4"/>
                <w:szCs w:val="2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141,310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134,685</w:t>
            </w:r>
          </w:p>
        </w:tc>
      </w:tr>
      <w:tr>
        <w:trPr>
          <w:trHeight w:val="255"/>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92,383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88,149</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Total property and equipment, net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48,927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46,536</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Investment in life insurance</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22,223</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22,438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21,495</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7,412</w:t>
            </w:r>
          </w:p>
        </w:tc>
      </w:tr>
      <w:tr>
        <w:trPr>
          <w:trHeight w:val="242"/>
        </w:trPr>
        <w:tc>
          <w:tcPr>
            <w:tcW w:w="544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81"/>
        </w:trPr>
        <w:tc>
          <w:tcPr>
            <w:tcW w:w="5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$337,077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$351,922</w:t>
            </w:r>
          </w:p>
        </w:tc>
      </w:tr>
    </w:tbl>
    <w:p>
      <w:pPr>
        <w:ind w:left="596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56" w:right="1440" w:bottom="1440" w:gutter="0" w:footer="0" w:header="0"/>
        </w:sectPr>
      </w:pPr>
    </w:p>
    <w:bookmarkStart w:id="50" w:name="page51"/>
    <w:bookmarkEnd w:id="50"/>
    <w:p>
      <w:pPr>
        <w:spacing w:after="0"/>
        <w:tabs>
          <w:tab w:leader="none" w:pos="4560" w:val="left"/>
          <w:tab w:leader="none" w:pos="62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3"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Accounts payable, trade</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$ 44,230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$ 40,678</w:t>
            </w: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2,610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4,938</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7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18,673</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13,730</w:t>
            </w:r>
          </w:p>
        </w:tc>
        <w:tc>
          <w:tcPr>
            <w:tcW w:w="0" w:type="dxa"/>
            <w:vAlign w:val="bottom"/>
          </w:tcPr>
          <w:p>
            <w:pPr>
              <w:spacing w:after="0"/>
              <w:rPr>
                <w:sz w:val="1"/>
                <w:szCs w:val="1"/>
                <w:color w:val="auto"/>
              </w:rPr>
            </w:pPr>
          </w:p>
        </w:tc>
      </w:tr>
      <w:tr>
        <w:trPr>
          <w:trHeight w:val="242"/>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Accrued compensation</w:t>
            </w:r>
          </w:p>
        </w:tc>
        <w:tc>
          <w:tcPr>
            <w:tcW w:w="17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Product warranties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8,151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8,072</w:t>
            </w:r>
          </w:p>
        </w:tc>
        <w:tc>
          <w:tcPr>
            <w:tcW w:w="0" w:type="dxa"/>
            <w:vAlign w:val="bottom"/>
          </w:tcPr>
          <w:p>
            <w:pPr>
              <w:spacing w:after="0"/>
              <w:rPr>
                <w:sz w:val="1"/>
                <w:szCs w:val="1"/>
                <w:color w:val="auto"/>
              </w:rPr>
            </w:pPr>
          </w:p>
        </w:tc>
      </w:tr>
      <w:tr>
        <w:trPr>
          <w:trHeight w:val="331"/>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Insurance</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5,967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4,567</w:t>
            </w:r>
          </w:p>
        </w:tc>
        <w:tc>
          <w:tcPr>
            <w:tcW w:w="0" w:type="dxa"/>
            <w:vAlign w:val="bottom"/>
          </w:tcPr>
          <w:p>
            <w:pPr>
              <w:spacing w:after="0"/>
              <w:rPr>
                <w:sz w:val="1"/>
                <w:szCs w:val="1"/>
                <w:color w:val="auto"/>
              </w:rPr>
            </w:pPr>
          </w:p>
        </w:tc>
      </w:tr>
      <w:tr>
        <w:trPr>
          <w:trHeight w:val="331"/>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Promotional</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3,181</w:t>
            </w:r>
          </w:p>
        </w:tc>
        <w:tc>
          <w:tcPr>
            <w:tcW w:w="0" w:type="dxa"/>
            <w:vAlign w:val="bottom"/>
          </w:tcPr>
          <w:p>
            <w:pPr>
              <w:spacing w:after="0"/>
              <w:rPr>
                <w:sz w:val="1"/>
                <w:szCs w:val="1"/>
                <w:color w:val="auto"/>
              </w:rPr>
            </w:pPr>
          </w:p>
        </w:tc>
      </w:tr>
      <w:tr>
        <w:trPr>
          <w:trHeight w:val="255"/>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4,471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4,842</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ind w:left="780"/>
              <w:spacing w:after="0"/>
              <w:rPr>
                <w:sz w:val="20"/>
                <w:szCs w:val="20"/>
                <w:color w:val="auto"/>
              </w:rPr>
            </w:pPr>
            <w:r>
              <w:rPr>
                <w:rFonts w:ascii="Courier New" w:cs="Courier New" w:eastAsia="Courier New" w:hAnsi="Courier New"/>
                <w:sz w:val="14"/>
                <w:szCs w:val="14"/>
                <w:color w:val="auto"/>
              </w:rPr>
              <w:t>Total current liabilities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88,601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80,008</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Postretirement health care and deferred</w:t>
            </w:r>
          </w:p>
        </w:tc>
        <w:tc>
          <w:tcPr>
            <w:tcW w:w="17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68,661</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64,450</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compensation benefits</w:t>
            </w:r>
          </w:p>
        </w:tc>
        <w:tc>
          <w:tcPr>
            <w:tcW w:w="17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Contingent liabilities and commitments</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Capital stock common, par value $.50; authorized</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60,000,000 shares, issued 25,888,000 and</w:t>
            </w:r>
          </w:p>
        </w:tc>
        <w:tc>
          <w:tcPr>
            <w:tcW w:w="17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12,944</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12,943</w:t>
            </w:r>
          </w:p>
        </w:tc>
        <w:tc>
          <w:tcPr>
            <w:tcW w:w="0" w:type="dxa"/>
            <w:vAlign w:val="bottom"/>
          </w:tcPr>
          <w:p>
            <w:pPr>
              <w:spacing w:after="0"/>
              <w:rPr>
                <w:sz w:val="1"/>
                <w:szCs w:val="1"/>
                <w:color w:val="auto"/>
              </w:rPr>
            </w:pPr>
          </w:p>
        </w:tc>
      </w:tr>
      <w:tr>
        <w:trPr>
          <w:trHeight w:val="242"/>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25,886,000 shares, respectively</w:t>
            </w:r>
          </w:p>
        </w:tc>
        <w:tc>
          <w:tcPr>
            <w:tcW w:w="17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25,740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22,261</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Reinvested earnings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284,856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234,139</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660" w:type="dxa"/>
            <w:vAlign w:val="bottom"/>
          </w:tcPr>
          <w:p>
            <w:pPr>
              <w:spacing w:after="0"/>
              <w:rPr>
                <w:sz w:val="24"/>
                <w:szCs w:val="2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323,540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269,343</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Less treasury stock, at cost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143,725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61,879</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179,815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207,464</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$337,077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$351,922</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3"/>
        </w:trPr>
        <w:tc>
          <w:tcPr>
            <w:tcW w:w="4660" w:type="dxa"/>
            <w:vAlign w:val="bottom"/>
          </w:tcPr>
          <w:p>
            <w:pPr>
              <w:ind w:left="3360"/>
              <w:spacing w:after="0"/>
              <w:rPr>
                <w:sz w:val="20"/>
                <w:szCs w:val="20"/>
                <w:color w:val="auto"/>
              </w:rPr>
            </w:pPr>
            <w:r>
              <w:rPr>
                <w:rFonts w:ascii="Courier New" w:cs="Courier New" w:eastAsia="Courier New" w:hAnsi="Courier New"/>
                <w:sz w:val="14"/>
                <w:szCs w:val="14"/>
                <w:color w:val="auto"/>
              </w:rPr>
              <w:t>21</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418" w:right="1440"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60" w:type="dxa"/>
            <w:vAlign w:val="bottom"/>
          </w:tcPr>
          <w:p>
            <w:pPr>
              <w:ind w:left="1980"/>
              <w:spacing w:after="0"/>
              <w:rPr>
                <w:sz w:val="20"/>
                <w:szCs w:val="20"/>
                <w:color w:val="auto"/>
              </w:rPr>
            </w:pPr>
            <w:r>
              <w:rPr>
                <w:rFonts w:ascii="Courier New" w:cs="Courier New" w:eastAsia="Courier New" w:hAnsi="Courier New"/>
                <w:sz w:val="14"/>
                <w:szCs w:val="14"/>
                <w:color w:val="auto"/>
              </w:rPr>
              <w:t>CONSOLIDATED STATEMENTS OF INCOME</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5660" w:type="dxa"/>
            <w:vAlign w:val="bottom"/>
          </w:tcPr>
          <w:p>
            <w:pPr>
              <w:spacing w:after="0"/>
              <w:rPr>
                <w:sz w:val="24"/>
                <w:szCs w:val="24"/>
                <w:color w:val="auto"/>
              </w:rPr>
            </w:pPr>
          </w:p>
        </w:tc>
        <w:tc>
          <w:tcPr>
            <w:tcW w:w="1360" w:type="dxa"/>
            <w:vAlign w:val="bottom"/>
            <w:gridSpan w:val="2"/>
            <w:vMerge w:val="restart"/>
          </w:tcPr>
          <w:p>
            <w:pPr>
              <w:jc w:val="right"/>
              <w:ind w:right="388"/>
              <w:spacing w:after="0"/>
              <w:rPr>
                <w:sz w:val="20"/>
                <w:szCs w:val="20"/>
                <w:color w:val="auto"/>
              </w:rPr>
            </w:pPr>
            <w:r>
              <w:rPr>
                <w:rFonts w:ascii="Courier New" w:cs="Courier New" w:eastAsia="Courier New" w:hAnsi="Courier New"/>
                <w:sz w:val="14"/>
                <w:szCs w:val="14"/>
                <w:color w:val="auto"/>
              </w:rPr>
              <w:t>AUGUST 31,</w:t>
            </w:r>
          </w:p>
        </w:tc>
        <w:tc>
          <w:tcPr>
            <w:tcW w:w="18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YEAR ENDED</w:t>
            </w:r>
          </w:p>
        </w:tc>
        <w:tc>
          <w:tcPr>
            <w:tcW w:w="150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AUGUST 26,</w:t>
            </w:r>
          </w:p>
        </w:tc>
        <w:tc>
          <w:tcPr>
            <w:tcW w:w="0" w:type="dxa"/>
            <w:vAlign w:val="bottom"/>
          </w:tcPr>
          <w:p>
            <w:pPr>
              <w:spacing w:after="0"/>
              <w:rPr>
                <w:sz w:val="1"/>
                <w:szCs w:val="1"/>
                <w:color w:val="auto"/>
              </w:rPr>
            </w:pPr>
          </w:p>
        </w:tc>
      </w:tr>
      <w:tr>
        <w:trPr>
          <w:trHeight w:val="166"/>
        </w:trPr>
        <w:tc>
          <w:tcPr>
            <w:tcW w:w="56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360" w:type="dxa"/>
            <w:vAlign w:val="bottom"/>
            <w:gridSpan w:val="2"/>
            <w:vMerge w:val="continue"/>
          </w:tcPr>
          <w:p>
            <w:pPr>
              <w:spacing w:after="0"/>
              <w:rPr>
                <w:sz w:val="14"/>
                <w:szCs w:val="14"/>
                <w:color w:val="auto"/>
              </w:rPr>
            </w:pPr>
          </w:p>
        </w:tc>
        <w:tc>
          <w:tcPr>
            <w:tcW w:w="18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AUGUST 25,</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2002(1)</w:t>
            </w:r>
          </w:p>
        </w:tc>
        <w:tc>
          <w:tcPr>
            <w:tcW w:w="620" w:type="dxa"/>
            <w:vAlign w:val="bottom"/>
          </w:tcPr>
          <w:p>
            <w:pPr>
              <w:spacing w:after="0"/>
              <w:rPr>
                <w:sz w:val="14"/>
                <w:szCs w:val="14"/>
                <w:color w:val="auto"/>
              </w:rPr>
            </w:pP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60" w:type="dxa"/>
            <w:vAlign w:val="bottom"/>
            <w:gridSpan w:val="2"/>
            <w:vMerge w:val="restart"/>
          </w:tcPr>
          <w:p>
            <w:pPr>
              <w:jc w:val="right"/>
              <w:ind w:right="488"/>
              <w:spacing w:after="0"/>
              <w:rPr>
                <w:sz w:val="20"/>
                <w:szCs w:val="20"/>
                <w:color w:val="auto"/>
              </w:rPr>
            </w:pPr>
            <w:r>
              <w:rPr>
                <w:rFonts w:ascii="Courier New" w:cs="Courier New" w:eastAsia="Courier New" w:hAnsi="Courier New"/>
                <w:sz w:val="14"/>
                <w:szCs w:val="14"/>
                <w:color w:val="auto"/>
              </w:rPr>
              <w:t>$ 825,269</w:t>
            </w:r>
          </w:p>
        </w:tc>
        <w:tc>
          <w:tcPr>
            <w:tcW w:w="62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671,686</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743,729</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Manufactured products</w:t>
            </w:r>
          </w:p>
        </w:tc>
        <w:tc>
          <w:tcPr>
            <w:tcW w:w="1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Dealer financing</w:t>
            </w: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3,134</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4,241</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3,908</w:t>
            </w:r>
          </w:p>
        </w:tc>
        <w:tc>
          <w:tcPr>
            <w:tcW w:w="0" w:type="dxa"/>
            <w:vAlign w:val="bottom"/>
          </w:tcPr>
          <w:p>
            <w:pPr>
              <w:spacing w:after="0"/>
              <w:rPr>
                <w:sz w:val="1"/>
                <w:szCs w:val="1"/>
                <w:color w:val="auto"/>
              </w:rPr>
            </w:pPr>
          </w:p>
        </w:tc>
      </w:tr>
      <w:tr>
        <w:trPr>
          <w:trHeight w:val="166"/>
        </w:trPr>
        <w:tc>
          <w:tcPr>
            <w:tcW w:w="56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net revenues</w:t>
            </w: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828,403</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675,927</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747,637</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20" w:type="dxa"/>
            <w:vAlign w:val="bottom"/>
          </w:tcPr>
          <w:p>
            <w:pPr>
              <w:spacing w:after="0"/>
              <w:rPr>
                <w:sz w:val="22"/>
                <w:szCs w:val="22"/>
                <w:color w:val="auto"/>
              </w:rPr>
            </w:pP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708,865</w:t>
            </w:r>
          </w:p>
        </w:tc>
        <w:tc>
          <w:tcPr>
            <w:tcW w:w="620" w:type="dxa"/>
            <w:vAlign w:val="bottom"/>
          </w:tcPr>
          <w:p>
            <w:pPr>
              <w:spacing w:after="0"/>
              <w:rPr>
                <w:sz w:val="22"/>
                <w:szCs w:val="22"/>
                <w:color w:val="auto"/>
              </w:rPr>
            </w:pP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588,561</w:t>
            </w:r>
          </w:p>
        </w:tc>
        <w:tc>
          <w:tcPr>
            <w:tcW w:w="640" w:type="dxa"/>
            <w:vAlign w:val="bottom"/>
          </w:tcPr>
          <w:p>
            <w:pPr>
              <w:spacing w:after="0"/>
              <w:rPr>
                <w:sz w:val="22"/>
                <w:szCs w:val="22"/>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641,138</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Cost of manufactured products</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Selling</w:t>
            </w: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19,606</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18,285</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18,723</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18,735</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13,607</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17,122</w:t>
            </w:r>
          </w:p>
        </w:tc>
        <w:tc>
          <w:tcPr>
            <w:tcW w:w="0" w:type="dxa"/>
            <w:vAlign w:val="bottom"/>
          </w:tcPr>
          <w:p>
            <w:pPr>
              <w:spacing w:after="0"/>
              <w:rPr>
                <w:sz w:val="1"/>
                <w:szCs w:val="1"/>
                <w:color w:val="auto"/>
              </w:rPr>
            </w:pPr>
          </w:p>
        </w:tc>
      </w:tr>
      <w:tr>
        <w:trPr>
          <w:trHeight w:val="166"/>
        </w:trPr>
        <w:tc>
          <w:tcPr>
            <w:tcW w:w="56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 costs and expenses</w:t>
            </w: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747,206</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620,453</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676,983</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660" w:type="dxa"/>
            <w:vAlign w:val="bottom"/>
          </w:tcPr>
          <w:p>
            <w:pPr>
              <w:ind w:left="1220"/>
              <w:spacing w:after="0"/>
              <w:rPr>
                <w:sz w:val="20"/>
                <w:szCs w:val="20"/>
                <w:color w:val="auto"/>
              </w:rPr>
            </w:pPr>
            <w:r>
              <w:rPr>
                <w:rFonts w:ascii="Courier New" w:cs="Courier New" w:eastAsia="Courier New" w:hAnsi="Courier New"/>
                <w:sz w:val="14"/>
                <w:szCs w:val="14"/>
                <w:color w:val="auto"/>
              </w:rPr>
              <w:t>Operating income</w:t>
            </w:r>
          </w:p>
        </w:tc>
        <w:tc>
          <w:tcPr>
            <w:tcW w:w="120" w:type="dxa"/>
            <w:vAlign w:val="bottom"/>
          </w:tcPr>
          <w:p>
            <w:pPr>
              <w:spacing w:after="0"/>
              <w:rPr>
                <w:sz w:val="24"/>
                <w:szCs w:val="2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81,197</w:t>
            </w:r>
          </w:p>
        </w:tc>
        <w:tc>
          <w:tcPr>
            <w:tcW w:w="620" w:type="dxa"/>
            <w:vAlign w:val="bottom"/>
          </w:tcPr>
          <w:p>
            <w:pPr>
              <w:spacing w:after="0"/>
              <w:rPr>
                <w:sz w:val="24"/>
                <w:szCs w:val="2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55,474</w:t>
            </w:r>
          </w:p>
        </w:tc>
        <w:tc>
          <w:tcPr>
            <w:tcW w:w="64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70,654</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Financial income</w:t>
            </w:r>
          </w:p>
        </w:tc>
        <w:tc>
          <w:tcPr>
            <w:tcW w:w="120" w:type="dxa"/>
            <w:vAlign w:val="bottom"/>
          </w:tcPr>
          <w:p>
            <w:pPr>
              <w:spacing w:after="0"/>
              <w:rPr>
                <w:sz w:val="22"/>
                <w:szCs w:val="22"/>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2,859</w:t>
            </w:r>
          </w:p>
        </w:tc>
        <w:tc>
          <w:tcPr>
            <w:tcW w:w="620" w:type="dxa"/>
            <w:vAlign w:val="bottom"/>
          </w:tcPr>
          <w:p>
            <w:pPr>
              <w:spacing w:after="0"/>
              <w:rPr>
                <w:sz w:val="22"/>
                <w:szCs w:val="22"/>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3,754</w:t>
            </w:r>
          </w:p>
        </w:tc>
        <w:tc>
          <w:tcPr>
            <w:tcW w:w="64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3,338</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0" w:type="dxa"/>
            <w:vAlign w:val="bottom"/>
          </w:tcPr>
          <w:p>
            <w:pPr>
              <w:spacing w:after="0"/>
              <w:rPr>
                <w:sz w:val="24"/>
                <w:szCs w:val="2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84,056</w:t>
            </w:r>
          </w:p>
        </w:tc>
        <w:tc>
          <w:tcPr>
            <w:tcW w:w="620" w:type="dxa"/>
            <w:vAlign w:val="bottom"/>
          </w:tcPr>
          <w:p>
            <w:pPr>
              <w:spacing w:after="0"/>
              <w:rPr>
                <w:sz w:val="24"/>
                <w:szCs w:val="2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59,228</w:t>
            </w:r>
          </w:p>
        </w:tc>
        <w:tc>
          <w:tcPr>
            <w:tcW w:w="64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73,992</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Provision for taxes</w:t>
            </w:r>
          </w:p>
        </w:tc>
        <w:tc>
          <w:tcPr>
            <w:tcW w:w="120" w:type="dxa"/>
            <w:vAlign w:val="bottom"/>
          </w:tcPr>
          <w:p>
            <w:pPr>
              <w:spacing w:after="0"/>
              <w:rPr>
                <w:sz w:val="22"/>
                <w:szCs w:val="22"/>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29,385</w:t>
            </w:r>
          </w:p>
        </w:tc>
        <w:tc>
          <w:tcPr>
            <w:tcW w:w="620" w:type="dxa"/>
            <w:vAlign w:val="bottom"/>
          </w:tcPr>
          <w:p>
            <w:pPr>
              <w:spacing w:after="0"/>
              <w:rPr>
                <w:sz w:val="22"/>
                <w:szCs w:val="22"/>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15,474</w:t>
            </w:r>
          </w:p>
        </w:tc>
        <w:tc>
          <w:tcPr>
            <w:tcW w:w="64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25,593</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120" w:type="dxa"/>
            <w:vAlign w:val="bottom"/>
          </w:tcPr>
          <w:p>
            <w:pPr>
              <w:spacing w:after="0"/>
              <w:rPr>
                <w:sz w:val="22"/>
                <w:szCs w:val="22"/>
                <w:color w:val="auto"/>
              </w:rPr>
            </w:pP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54,671</w:t>
            </w:r>
          </w:p>
        </w:tc>
        <w:tc>
          <w:tcPr>
            <w:tcW w:w="620" w:type="dxa"/>
            <w:vAlign w:val="bottom"/>
          </w:tcPr>
          <w:p>
            <w:pPr>
              <w:spacing w:after="0"/>
              <w:rPr>
                <w:sz w:val="22"/>
                <w:szCs w:val="22"/>
                <w:color w:val="auto"/>
              </w:rPr>
            </w:pP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43,754</w:t>
            </w:r>
          </w:p>
        </w:tc>
        <w:tc>
          <w:tcPr>
            <w:tcW w:w="640" w:type="dxa"/>
            <w:vAlign w:val="bottom"/>
          </w:tcPr>
          <w:p>
            <w:pPr>
              <w:spacing w:after="0"/>
              <w:rPr>
                <w:sz w:val="22"/>
                <w:szCs w:val="22"/>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242"/>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accounting principle</w:t>
            </w: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20" w:type="dxa"/>
            <w:vAlign w:val="bottom"/>
          </w:tcPr>
          <w:p>
            <w:pPr>
              <w:spacing w:after="0"/>
              <w:rPr>
                <w:sz w:val="22"/>
                <w:szCs w:val="22"/>
                <w:color w:val="auto"/>
              </w:rPr>
            </w:pP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2"/>
                <w:szCs w:val="22"/>
                <w:color w:val="auto"/>
              </w:rPr>
            </w:pPr>
          </w:p>
        </w:tc>
        <w:tc>
          <w:tcPr>
            <w:tcW w:w="120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(1,050)</w:t>
            </w:r>
          </w:p>
        </w:tc>
        <w:tc>
          <w:tcPr>
            <w:tcW w:w="640" w:type="dxa"/>
            <w:vAlign w:val="bottom"/>
          </w:tcPr>
          <w:p>
            <w:pPr>
              <w:spacing w:after="0"/>
              <w:rPr>
                <w:sz w:val="22"/>
                <w:szCs w:val="22"/>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net of taxes</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54,671</w:t>
            </w:r>
          </w:p>
        </w:tc>
        <w:tc>
          <w:tcPr>
            <w:tcW w:w="6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42,704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2.74</w:t>
            </w:r>
          </w:p>
        </w:tc>
        <w:tc>
          <w:tcPr>
            <w:tcW w:w="62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2.11</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2.23</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accounting principle</w:t>
            </w:r>
          </w:p>
        </w:tc>
        <w:tc>
          <w:tcPr>
            <w:tcW w:w="1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Income per share (basic)</w:t>
            </w: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w:t>
            </w:r>
          </w:p>
        </w:tc>
        <w:tc>
          <w:tcPr>
            <w:tcW w:w="6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2.68</w:t>
            </w:r>
          </w:p>
        </w:tc>
        <w:tc>
          <w:tcPr>
            <w:tcW w:w="62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2.20</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accounting principle</w:t>
            </w:r>
          </w:p>
        </w:tc>
        <w:tc>
          <w:tcPr>
            <w:tcW w:w="1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Income per share (diluted)</w:t>
            </w: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2.68</w:t>
            </w:r>
          </w:p>
        </w:tc>
        <w:tc>
          <w:tcPr>
            <w:tcW w:w="6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0"/>
                <w:szCs w:val="20"/>
                <w:color w:val="auto"/>
              </w:rPr>
            </w:pPr>
            <w:r>
              <w:rPr>
                <w:rFonts w:ascii="Courier New" w:cs="Courier New" w:eastAsia="Courier New" w:hAnsi="Courier New"/>
                <w:sz w:val="14"/>
                <w:szCs w:val="14"/>
                <w:color w:val="auto"/>
              </w:rPr>
              <w:t>Weighted average shares of common stock outstanding</w:t>
            </w:r>
          </w:p>
        </w:tc>
        <w:tc>
          <w:tcPr>
            <w:tcW w:w="120" w:type="dxa"/>
            <w:vAlign w:val="bottom"/>
          </w:tcPr>
          <w:p>
            <w:pPr>
              <w:spacing w:after="0"/>
              <w:rPr>
                <w:sz w:val="22"/>
                <w:szCs w:val="22"/>
                <w:color w:val="auto"/>
              </w:rPr>
            </w:pPr>
          </w:p>
        </w:tc>
        <w:tc>
          <w:tcPr>
            <w:tcW w:w="12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19,949</w:t>
            </w:r>
          </w:p>
        </w:tc>
        <w:tc>
          <w:tcPr>
            <w:tcW w:w="620" w:type="dxa"/>
            <w:vAlign w:val="bottom"/>
          </w:tcPr>
          <w:p>
            <w:pPr>
              <w:spacing w:after="0"/>
              <w:rPr>
                <w:sz w:val="22"/>
                <w:szCs w:val="22"/>
                <w:color w:val="auto"/>
              </w:rPr>
            </w:pPr>
          </w:p>
        </w:tc>
        <w:tc>
          <w:tcPr>
            <w:tcW w:w="12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20,735</w:t>
            </w:r>
          </w:p>
        </w:tc>
        <w:tc>
          <w:tcPr>
            <w:tcW w:w="640" w:type="dxa"/>
            <w:vAlign w:val="bottom"/>
          </w:tcPr>
          <w:p>
            <w:pPr>
              <w:spacing w:after="0"/>
              <w:rPr>
                <w:sz w:val="22"/>
                <w:szCs w:val="22"/>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21,680</w:t>
            </w:r>
          </w:p>
        </w:tc>
        <w:tc>
          <w:tcPr>
            <w:tcW w:w="0" w:type="dxa"/>
            <w:vAlign w:val="bottom"/>
          </w:tcPr>
          <w:p>
            <w:pPr>
              <w:spacing w:after="0"/>
              <w:rPr>
                <w:sz w:val="1"/>
                <w:szCs w:val="1"/>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Diluted</w:t>
            </w: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20,384</w:t>
            </w:r>
          </w:p>
        </w:tc>
        <w:tc>
          <w:tcPr>
            <w:tcW w:w="6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21,040</w:t>
            </w:r>
          </w:p>
        </w:tc>
        <w:tc>
          <w:tcPr>
            <w:tcW w:w="6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22,011</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1"/>
                <w:szCs w:val="21"/>
                <w:color w:val="auto"/>
              </w:rPr>
            </w:pPr>
          </w:p>
        </w:tc>
        <w:tc>
          <w:tcPr>
            <w:tcW w:w="46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60" w:right="4040" w:hanging="352"/>
        <w:spacing w:after="0" w:line="376"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August 31, 2002 contained 53 weeks; all other fiscal years contained 52 weeks.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340"/>
          </w:cols>
          <w:pgMar w:left="220" w:top="756" w:right="1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2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780" w:type="dxa"/>
            <w:vAlign w:val="bottom"/>
          </w:tcPr>
          <w:p>
            <w:pPr>
              <w:spacing w:after="0"/>
              <w:rPr>
                <w:sz w:val="24"/>
                <w:szCs w:val="24"/>
                <w:color w:val="auto"/>
              </w:rPr>
            </w:pPr>
          </w:p>
        </w:tc>
        <w:tc>
          <w:tcPr>
            <w:tcW w:w="29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AUGUST 31,</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AUGUST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6"/>
        </w:trPr>
        <w:tc>
          <w:tcPr>
            <w:tcW w:w="47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980" w:type="dxa"/>
            <w:vAlign w:val="bottom"/>
            <w:vMerge w:val="continue"/>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AUGUST 25,</w:t>
            </w:r>
          </w:p>
        </w:tc>
        <w:tc>
          <w:tcPr>
            <w:tcW w:w="10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2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54,671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42,704</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provided</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by operating activities</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7,879</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7,380</w:t>
            </w:r>
          </w:p>
        </w:tc>
        <w:tc>
          <w:tcPr>
            <w:tcW w:w="60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6,622</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(Gain) loss on disposal of property, leases and</w:t>
            </w:r>
          </w:p>
        </w:tc>
        <w:tc>
          <w:tcPr>
            <w:tcW w:w="600" w:type="dxa"/>
            <w:vAlign w:val="bottom"/>
          </w:tcPr>
          <w:p>
            <w:pPr>
              <w:spacing w:after="0"/>
              <w:rPr>
                <w:sz w:val="14"/>
                <w:szCs w:val="14"/>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(202)</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325</w:t>
            </w:r>
          </w:p>
        </w:tc>
        <w:tc>
          <w:tcPr>
            <w:tcW w:w="60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58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(Credit)</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provision for doubtful receivables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Tax benefit of stock options</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3,349</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1,209</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Change in assets and liabilities</w:t>
            </w:r>
          </w:p>
        </w:tc>
        <w:tc>
          <w:tcPr>
            <w:tcW w:w="600" w:type="dxa"/>
            <w:vAlign w:val="bottom"/>
          </w:tcPr>
          <w:p>
            <w:pPr>
              <w:spacing w:after="0"/>
              <w:rPr>
                <w:sz w:val="14"/>
                <w:szCs w:val="14"/>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(7,766)</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10,956</w:t>
            </w:r>
          </w:p>
        </w:tc>
        <w:tc>
          <w:tcPr>
            <w:tcW w:w="60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702</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receivables and other assets</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inventories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(33,839)</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5,892</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1,324</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in deferred income taxes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(1,127)</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(1,499)</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(2,674)</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(decrease) in accounts payable and</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10,921</w:t>
            </w:r>
          </w:p>
        </w:tc>
        <w:tc>
          <w:tcPr>
            <w:tcW w:w="600" w:type="dxa"/>
            <w:vAlign w:val="bottom"/>
          </w:tcPr>
          <w:p>
            <w:pPr>
              <w:spacing w:after="0"/>
              <w:rPr>
                <w:sz w:val="14"/>
                <w:szCs w:val="14"/>
                <w:color w:val="auto"/>
              </w:rPr>
            </w:pPr>
          </w:p>
        </w:tc>
        <w:tc>
          <w:tcPr>
            <w:tcW w:w="13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13,616</w:t>
            </w:r>
          </w:p>
        </w:tc>
        <w:tc>
          <w:tcPr>
            <w:tcW w:w="6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(8,306)</w:t>
            </w:r>
          </w:p>
        </w:tc>
        <w:tc>
          <w:tcPr>
            <w:tcW w:w="0" w:type="dxa"/>
            <w:vAlign w:val="bottom"/>
          </w:tcPr>
          <w:p>
            <w:pPr>
              <w:spacing w:after="0"/>
              <w:rPr>
                <w:sz w:val="1"/>
                <w:szCs w:val="1"/>
                <w:color w:val="auto"/>
              </w:rPr>
            </w:pPr>
          </w:p>
        </w:tc>
      </w:tr>
      <w:tr>
        <w:trPr>
          <w:trHeight w:val="166"/>
        </w:trPr>
        <w:tc>
          <w:tcPr>
            <w:tcW w:w="58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accrued expenses</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(Decrease) increase in income taxes payable</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(2,328)</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(3,852)</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in postretirement benefits</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5,278</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5,147</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4,612</w:t>
            </w:r>
          </w:p>
        </w:tc>
        <w:tc>
          <w:tcPr>
            <w:tcW w:w="0" w:type="dxa"/>
            <w:vAlign w:val="bottom"/>
          </w:tcPr>
          <w:p>
            <w:pPr>
              <w:spacing w:after="0"/>
              <w:rPr>
                <w:sz w:val="1"/>
                <w:szCs w:val="1"/>
                <w:color w:val="auto"/>
              </w:rPr>
            </w:pPr>
          </w:p>
        </w:tc>
      </w:tr>
      <w:tr>
        <w:trPr>
          <w:trHeight w:val="166"/>
        </w:trPr>
        <w:tc>
          <w:tcPr>
            <w:tcW w:w="5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36,790</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81,912</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51,412</w:t>
            </w:r>
          </w:p>
        </w:tc>
        <w:tc>
          <w:tcPr>
            <w:tcW w:w="0" w:type="dxa"/>
            <w:vAlign w:val="bottom"/>
          </w:tcPr>
          <w:p>
            <w:pPr>
              <w:spacing w:after="0"/>
              <w:rPr>
                <w:sz w:val="1"/>
                <w:szCs w:val="1"/>
                <w:color w:val="auto"/>
              </w:rPr>
            </w:pPr>
          </w:p>
        </w:tc>
      </w:tr>
      <w:tr>
        <w:trPr>
          <w:trHeight w:val="242"/>
        </w:trPr>
        <w:tc>
          <w:tcPr>
            <w:tcW w:w="5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8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(10,997)</w:t>
            </w:r>
          </w:p>
        </w:tc>
        <w:tc>
          <w:tcPr>
            <w:tcW w:w="600" w:type="dxa"/>
            <w:vAlign w:val="bottom"/>
          </w:tcPr>
          <w:p>
            <w:pPr>
              <w:spacing w:after="0"/>
              <w:rPr>
                <w:sz w:val="7"/>
                <w:szCs w:val="7"/>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(9,089)</w:t>
            </w:r>
          </w:p>
        </w:tc>
        <w:tc>
          <w:tcPr>
            <w:tcW w:w="6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(14,548)</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Purchases of property and equipment</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from sale of property and equipment</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929</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338</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Investments in dealer receivables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(114,737)</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(114,907)</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(103,125)</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Collections of dealer receivables</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117,202</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107,261</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95,061</w:t>
            </w:r>
          </w:p>
        </w:tc>
        <w:tc>
          <w:tcPr>
            <w:tcW w:w="0" w:type="dxa"/>
            <w:vAlign w:val="bottom"/>
          </w:tcPr>
          <w:p>
            <w:pPr>
              <w:spacing w:after="0"/>
              <w:rPr>
                <w:sz w:val="1"/>
                <w:szCs w:val="1"/>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Investments in other assets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(3,573)</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(3,320)</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(3,724)</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from other assets</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c>
          <w:tcPr>
            <w:tcW w:w="0" w:type="dxa"/>
            <w:vAlign w:val="bottom"/>
          </w:tcPr>
          <w:p>
            <w:pPr>
              <w:spacing w:after="0"/>
              <w:rPr>
                <w:sz w:val="1"/>
                <w:szCs w:val="1"/>
                <w:color w:val="auto"/>
              </w:rPr>
            </w:pPr>
          </w:p>
        </w:tc>
      </w:tr>
      <w:tr>
        <w:trPr>
          <w:trHeight w:val="166"/>
        </w:trPr>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w:t>
            </w:r>
          </w:p>
        </w:tc>
        <w:tc>
          <w:tcPr>
            <w:tcW w:w="4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 investing activities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(11,176)</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(19,717)</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(25,255)</w:t>
            </w:r>
          </w:p>
        </w:tc>
        <w:tc>
          <w:tcPr>
            <w:tcW w:w="0" w:type="dxa"/>
            <w:vAlign w:val="bottom"/>
          </w:tcPr>
          <w:p>
            <w:pPr>
              <w:spacing w:after="0"/>
              <w:rPr>
                <w:sz w:val="1"/>
                <w:szCs w:val="1"/>
                <w:color w:val="auto"/>
              </w:rPr>
            </w:pPr>
          </w:p>
        </w:tc>
      </w:tr>
      <w:tr>
        <w:trPr>
          <w:trHeight w:val="242"/>
        </w:trPr>
        <w:tc>
          <w:tcPr>
            <w:tcW w:w="5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Cash flows from financing activities and capital transactions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8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(86,072)</w:t>
            </w:r>
          </w:p>
        </w:tc>
        <w:tc>
          <w:tcPr>
            <w:tcW w:w="600" w:type="dxa"/>
            <w:vAlign w:val="bottom"/>
          </w:tcPr>
          <w:p>
            <w:pPr>
              <w:spacing w:after="0"/>
              <w:rPr>
                <w:sz w:val="7"/>
                <w:szCs w:val="7"/>
                <w:color w:val="auto"/>
              </w:rPr>
            </w:pPr>
          </w:p>
        </w:tc>
        <w:tc>
          <w:tcPr>
            <w:tcW w:w="13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(10,686)</w:t>
            </w:r>
          </w:p>
        </w:tc>
        <w:tc>
          <w:tcPr>
            <w:tcW w:w="6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(19,726)</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Payments</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for purchase of common stock</w:t>
            </w: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Payments</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of cash dividends</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(3,954)</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(4,121)</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(4,324)</w:t>
            </w:r>
          </w:p>
        </w:tc>
        <w:tc>
          <w:tcPr>
            <w:tcW w:w="0" w:type="dxa"/>
            <w:vAlign w:val="bottom"/>
          </w:tcPr>
          <w:p>
            <w:pPr>
              <w:spacing w:after="0"/>
              <w:rPr>
                <w:sz w:val="1"/>
                <w:szCs w:val="1"/>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from issuance of common and treasury stock</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4,357</w:t>
            </w:r>
          </w:p>
        </w:tc>
        <w:tc>
          <w:tcPr>
            <w:tcW w:w="6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3,449</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1,176</w:t>
            </w:r>
          </w:p>
        </w:tc>
        <w:tc>
          <w:tcPr>
            <w:tcW w:w="0" w:type="dxa"/>
            <w:vAlign w:val="bottom"/>
          </w:tcPr>
          <w:p>
            <w:pPr>
              <w:spacing w:after="0"/>
              <w:rPr>
                <w:sz w:val="1"/>
                <w:szCs w:val="1"/>
                <w:color w:val="auto"/>
              </w:rPr>
            </w:pPr>
          </w:p>
        </w:tc>
      </w:tr>
      <w:tr>
        <w:trPr>
          <w:trHeight w:val="166"/>
        </w:trPr>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w:t>
            </w:r>
          </w:p>
        </w:tc>
        <w:tc>
          <w:tcPr>
            <w:tcW w:w="4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 financing activities and capital transactions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(85,669)</w:t>
            </w:r>
          </w:p>
        </w:tc>
        <w:tc>
          <w:tcPr>
            <w:tcW w:w="6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(11,358)</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(22,874)</w:t>
            </w:r>
          </w:p>
        </w:tc>
        <w:tc>
          <w:tcPr>
            <w:tcW w:w="0" w:type="dxa"/>
            <w:vAlign w:val="bottom"/>
          </w:tcPr>
          <w:p>
            <w:pPr>
              <w:spacing w:after="0"/>
              <w:rPr>
                <w:sz w:val="1"/>
                <w:szCs w:val="1"/>
                <w:color w:val="auto"/>
              </w:rPr>
            </w:pPr>
          </w:p>
        </w:tc>
      </w:tr>
      <w:tr>
        <w:trPr>
          <w:trHeight w:val="166"/>
        </w:trPr>
        <w:tc>
          <w:tcPr>
            <w:tcW w:w="5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86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(60,055)</w:t>
            </w:r>
          </w:p>
        </w:tc>
        <w:tc>
          <w:tcPr>
            <w:tcW w:w="600" w:type="dxa"/>
            <w:vAlign w:val="bottom"/>
          </w:tcPr>
          <w:p>
            <w:pPr>
              <w:spacing w:after="0"/>
              <w:rPr>
                <w:sz w:val="21"/>
                <w:szCs w:val="21"/>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50,837</w:t>
            </w:r>
          </w:p>
        </w:tc>
        <w:tc>
          <w:tcPr>
            <w:tcW w:w="6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3,283</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equivalents at beginning of year</w:t>
            </w:r>
          </w:p>
        </w:tc>
        <w:tc>
          <w:tcPr>
            <w:tcW w:w="600" w:type="dxa"/>
            <w:vAlign w:val="bottom"/>
          </w:tcPr>
          <w:p>
            <w:pPr>
              <w:spacing w:after="0"/>
              <w:rPr>
                <w:sz w:val="22"/>
                <w:szCs w:val="22"/>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102,280</w:t>
            </w:r>
          </w:p>
        </w:tc>
        <w:tc>
          <w:tcPr>
            <w:tcW w:w="600" w:type="dxa"/>
            <w:vAlign w:val="bottom"/>
          </w:tcPr>
          <w:p>
            <w:pPr>
              <w:spacing w:after="0"/>
              <w:rPr>
                <w:sz w:val="22"/>
                <w:szCs w:val="22"/>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51,443</w:t>
            </w:r>
          </w:p>
        </w:tc>
        <w:tc>
          <w:tcPr>
            <w:tcW w:w="6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48,160</w:t>
            </w:r>
          </w:p>
        </w:tc>
        <w:tc>
          <w:tcPr>
            <w:tcW w:w="0" w:type="dxa"/>
            <w:vAlign w:val="bottom"/>
          </w:tcPr>
          <w:p>
            <w:pPr>
              <w:spacing w:after="0"/>
              <w:rPr>
                <w:sz w:val="1"/>
                <w:szCs w:val="1"/>
                <w:color w:val="auto"/>
              </w:rPr>
            </w:pPr>
          </w:p>
        </w:tc>
      </w:tr>
      <w:tr>
        <w:trPr>
          <w:trHeight w:val="166"/>
        </w:trPr>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w:t>
            </w:r>
          </w:p>
        </w:tc>
        <w:tc>
          <w:tcPr>
            <w:tcW w:w="4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equivalents at end of year</w:t>
            </w:r>
          </w:p>
        </w:tc>
        <w:tc>
          <w:tcPr>
            <w:tcW w:w="5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180" w:type="dxa"/>
            <w:vAlign w:val="bottom"/>
            <w:vMerge w:val="continue"/>
          </w:tcPr>
          <w:p>
            <w:pPr>
              <w:spacing w:after="0"/>
              <w:rPr>
                <w:sz w:val="16"/>
                <w:szCs w:val="16"/>
                <w:color w:val="auto"/>
              </w:rPr>
            </w:pPr>
          </w:p>
        </w:tc>
        <w:tc>
          <w:tcPr>
            <w:tcW w:w="4680" w:type="dxa"/>
            <w:vAlign w:val="bottom"/>
            <w:vMerge w:val="continue"/>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42,225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102,280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51,443</w:t>
            </w:r>
          </w:p>
        </w:tc>
        <w:tc>
          <w:tcPr>
            <w:tcW w:w="0" w:type="dxa"/>
            <w:vAlign w:val="bottom"/>
          </w:tcPr>
          <w:p>
            <w:pPr>
              <w:spacing w:after="0"/>
              <w:rPr>
                <w:sz w:val="1"/>
                <w:szCs w:val="1"/>
                <w:color w:val="auto"/>
              </w:rPr>
            </w:pPr>
          </w:p>
        </w:tc>
      </w:tr>
    </w:tbl>
    <w:p>
      <w:pPr>
        <w:ind w:left="638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200"/>
          </w:cols>
          <w:pgMar w:left="220" w:top="756" w:right="479" w:bottom="1440" w:gutter="0" w:footer="0" w:header="0"/>
        </w:sectPr>
      </w:pPr>
    </w:p>
    <w:bookmarkStart w:id="53" w:name="page54"/>
    <w:bookmarkEnd w:id="53"/>
    <w:p>
      <w:pPr>
        <w:ind w:left="2340"/>
        <w:spacing w:after="0"/>
        <w:rPr>
          <w:sz w:val="20"/>
          <w:szCs w:val="20"/>
          <w:color w:val="auto"/>
        </w:rPr>
      </w:pPr>
      <w:r>
        <w:rPr>
          <w:rFonts w:ascii="Courier New" w:cs="Courier New" w:eastAsia="Courier New" w:hAnsi="Courier New"/>
          <w:sz w:val="14"/>
          <w:szCs w:val="14"/>
          <w:color w:val="auto"/>
        </w:rPr>
        <w:t>CONSOLIDATED STATEMENTS OF</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80" w:type="dxa"/>
            <w:vAlign w:val="bottom"/>
          </w:tcPr>
          <w:p>
            <w:pPr>
              <w:spacing w:after="0"/>
              <w:rPr>
                <w:sz w:val="21"/>
                <w:szCs w:val="21"/>
                <w:color w:val="auto"/>
              </w:rPr>
            </w:pPr>
          </w:p>
        </w:tc>
        <w:tc>
          <w:tcPr>
            <w:tcW w:w="3280" w:type="dxa"/>
            <w:vAlign w:val="bottom"/>
          </w:tcPr>
          <w:p>
            <w:pPr>
              <w:ind w:left="100"/>
              <w:spacing w:after="0"/>
              <w:rPr>
                <w:sz w:val="20"/>
                <w:szCs w:val="20"/>
                <w:color w:val="auto"/>
              </w:rPr>
            </w:pPr>
            <w:r>
              <w:rPr>
                <w:rFonts w:ascii="Courier New" w:cs="Courier New" w:eastAsia="Courier New" w:hAnsi="Courier New"/>
                <w:sz w:val="14"/>
                <w:szCs w:val="14"/>
                <w:color w:val="auto"/>
              </w:rPr>
              <w:t>CHANGES IN STOCKHOLDERS' EQUITY</w:t>
            </w: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980" w:type="dxa"/>
            <w:vAlign w:val="bottom"/>
            <w:vMerge w:val="restart"/>
          </w:tcPr>
          <w:p>
            <w:pPr>
              <w:spacing w:after="0"/>
              <w:rPr>
                <w:sz w:val="20"/>
                <w:szCs w:val="20"/>
                <w:color w:val="auto"/>
              </w:rPr>
            </w:pPr>
            <w:r>
              <w:rPr>
                <w:rFonts w:ascii="Courier New" w:cs="Courier New" w:eastAsia="Courier New" w:hAnsi="Courier New"/>
                <w:sz w:val="14"/>
                <w:szCs w:val="14"/>
                <w:color w:val="auto"/>
              </w:rPr>
              <w:t>(AMOUNTS IN THOUSANDS</w:t>
            </w:r>
          </w:p>
        </w:tc>
        <w:tc>
          <w:tcPr>
            <w:tcW w:w="410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COMMON SHARES</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ADDITIONAL</w:t>
            </w:r>
          </w:p>
        </w:tc>
        <w:tc>
          <w:tcPr>
            <w:tcW w:w="128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REINVESTED</w:t>
            </w:r>
          </w:p>
        </w:tc>
        <w:tc>
          <w:tcPr>
            <w:tcW w:w="22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TREASURY STOCK</w:t>
            </w:r>
          </w:p>
        </w:tc>
        <w:tc>
          <w:tcPr>
            <w:tcW w:w="0" w:type="dxa"/>
            <w:vAlign w:val="bottom"/>
          </w:tcPr>
          <w:p>
            <w:pPr>
              <w:spacing w:after="0"/>
              <w:rPr>
                <w:sz w:val="1"/>
                <w:szCs w:val="1"/>
                <w:color w:val="auto"/>
              </w:rPr>
            </w:pPr>
          </w:p>
        </w:tc>
      </w:tr>
      <w:tr>
        <w:trPr>
          <w:trHeight w:val="166"/>
        </w:trPr>
        <w:tc>
          <w:tcPr>
            <w:tcW w:w="1980" w:type="dxa"/>
            <w:vAlign w:val="bottom"/>
            <w:vMerge w:val="continue"/>
          </w:tcPr>
          <w:p>
            <w:pPr>
              <w:spacing w:after="0"/>
              <w:rPr>
                <w:sz w:val="14"/>
                <w:szCs w:val="14"/>
                <w:color w:val="auto"/>
              </w:rPr>
            </w:pPr>
          </w:p>
        </w:tc>
        <w:tc>
          <w:tcPr>
            <w:tcW w:w="3280" w:type="dxa"/>
            <w:vAlign w:val="bottom"/>
            <w:vMerge w:val="restart"/>
          </w:tcPr>
          <w:p>
            <w:pPr>
              <w:ind w:left="200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NUMBER</w:t>
            </w:r>
          </w:p>
        </w:tc>
        <w:tc>
          <w:tcPr>
            <w:tcW w:w="820" w:type="dxa"/>
            <w:vAlign w:val="bottom"/>
            <w:vMerge w:val="restart"/>
          </w:tcPr>
          <w:p>
            <w:pPr>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PAID-IN</w:t>
            </w:r>
          </w:p>
        </w:tc>
        <w:tc>
          <w:tcPr>
            <w:tcW w:w="1280" w:type="dxa"/>
            <w:vAlign w:val="bottom"/>
            <w:vMerge w:val="continue"/>
          </w:tcPr>
          <w:p>
            <w:pPr>
              <w:spacing w:after="0"/>
              <w:rPr>
                <w:sz w:val="14"/>
                <w:szCs w:val="14"/>
                <w:color w:val="auto"/>
              </w:rPr>
            </w:pPr>
          </w:p>
        </w:tc>
        <w:tc>
          <w:tcPr>
            <w:tcW w:w="1680" w:type="dxa"/>
            <w:vAlign w:val="bottom"/>
            <w:vMerge w:val="restart"/>
          </w:tcPr>
          <w:p>
            <w:pPr>
              <w:ind w:left="300"/>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NUMBER</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AMOUNT</w:t>
            </w:r>
          </w:p>
        </w:tc>
        <w:tc>
          <w:tcPr>
            <w:tcW w:w="0" w:type="dxa"/>
            <w:vAlign w:val="bottom"/>
          </w:tcPr>
          <w:p>
            <w:pPr>
              <w:spacing w:after="0"/>
              <w:rPr>
                <w:sz w:val="1"/>
                <w:szCs w:val="1"/>
                <w:color w:val="auto"/>
              </w:rPr>
            </w:pPr>
          </w:p>
        </w:tc>
      </w:tr>
      <w:tr>
        <w:trPr>
          <w:trHeight w:val="192"/>
        </w:trPr>
        <w:tc>
          <w:tcPr>
            <w:tcW w:w="198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3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CAPITAL</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6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August 28, 1999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25,874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12,937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21,907</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$ 151,482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36,942</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Proceeds from the sale of common</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to employees</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cost of treasury stock issued for</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(194)</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(729)</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options exercised</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Issuance of stock to officers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c>
          <w:tcPr>
            <w:tcW w:w="0" w:type="dxa"/>
            <w:vAlign w:val="bottom"/>
          </w:tcPr>
          <w:p>
            <w:pPr>
              <w:spacing w:after="0"/>
              <w:rPr>
                <w:sz w:val="1"/>
                <w:szCs w:val="1"/>
                <w:color w:val="auto"/>
              </w:rPr>
            </w:pP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Payments for purchase of common stock</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1,127</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19,726</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Cash dividends on common stock -</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(4,325)</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$.20 per share</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48,399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736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August 26, 2000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25,878</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12,939</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21,994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195,556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4,604</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55,580</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Proceeds from the sale of common</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to employees</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cost of treasury stock issued for</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(1,069)</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(313)</w:t>
            </w:r>
          </w:p>
        </w:tc>
        <w:tc>
          <w:tcPr>
            <w:tcW w:w="3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(3,773)</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options exercised</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Issuance of stock to officers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Tax benefit due to sale of common</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1,209</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to employees</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Payments for purchase of common stock</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883</w:t>
            </w:r>
          </w:p>
        </w:tc>
        <w:tc>
          <w:tcPr>
            <w:tcW w:w="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10,686</w:t>
            </w: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Cash dividends on common stock -</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(4,121)</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$.20 per share</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42,704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736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August 25, 2001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25,886</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12,943</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22,261</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234,139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5,123</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61,879</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Proceeds from the sale of common</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to employees</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cost of treasury stock issued for</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(453)</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3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(3,650)</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options exercised</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Issuance of stock to officers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(576)</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Tax benefit due to sale of common</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3,349</w:t>
            </w:r>
          </w:p>
        </w:tc>
        <w:tc>
          <w:tcPr>
            <w:tcW w:w="14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stock to employees</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Payments for purchase of common stock</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2,412</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86,072</w:t>
            </w: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Cash dividends on common stock -</w:t>
            </w:r>
          </w:p>
        </w:tc>
        <w:tc>
          <w:tcPr>
            <w:tcW w:w="12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(3,954)</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$.20 per share</w:t>
            </w:r>
          </w:p>
        </w:tc>
        <w:tc>
          <w:tcPr>
            <w:tcW w:w="12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54,671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736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August 31, 2002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25,888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12,944</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25,740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$ 284,856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143,725</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736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200"/>
          </w:cols>
          <w:pgMar w:left="220" w:top="756" w:right="479" w:bottom="1440" w:gutter="0" w:footer="0" w:header="0"/>
        </w:sectPr>
      </w:pPr>
    </w:p>
    <w:bookmarkStart w:id="54" w:name="page55"/>
    <w:bookmarkEnd w:id="54"/>
    <w:p>
      <w:pPr>
        <w:ind w:left="31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w:t>
      </w:r>
    </w:p>
    <w:p>
      <w:pPr>
        <w:spacing w:after="0" w:line="147"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We have audited the consolidated balance sheets of Winnebago Industries, Inc. and subsidiaries (the Company) as of August 31, 2002 and August 25, 2001, and the related consolidated statements of income, cash flows, and changes in stockholders' equity for each of the three years in the period ended August 31, 2002. These consolidated financial statements are the responsibility of the Company's management. Our responsibility is to express an opinion on these consolidated financial statements based on our audits.</w:t>
      </w:r>
    </w:p>
    <w:p>
      <w:pPr>
        <w:spacing w:after="0" w:line="72"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the Company as of August 31, 2002 and August 25, 2001; and the results of its operations and its cash flows for each of the three years in the period ended August 31, 2002 in conformity with accounting principles generally accepted in the United States of America.</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4, 2002</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56"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2"/>
        </w:trPr>
        <w:tc>
          <w:tcPr>
            <w:tcW w:w="526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SELECTED FINANCIAL DATA</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AUG. 31,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 25,</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AUG. 26,</w:t>
            </w:r>
          </w:p>
        </w:tc>
        <w:tc>
          <w:tcPr>
            <w:tcW w:w="9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AUG. 28,</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2002(2)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2001(3)</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10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$ 828,403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675,927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747,637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671,653</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revenues(4)</w:t>
            </w:r>
          </w:p>
        </w:tc>
        <w:tc>
          <w:tcPr>
            <w:tcW w:w="10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84,056</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59,228</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73,992</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66,609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Pretax profit % of revenue</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for income taxes (credits)</w:t>
            </w:r>
          </w:p>
        </w:tc>
        <w:tc>
          <w:tcPr>
            <w:tcW w:w="1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29,385</w:t>
            </w:r>
          </w:p>
        </w:tc>
        <w:tc>
          <w:tcPr>
            <w:tcW w:w="26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15,474</w:t>
            </w:r>
          </w:p>
        </w:tc>
        <w:tc>
          <w:tcPr>
            <w:tcW w:w="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25,593</w:t>
            </w:r>
          </w:p>
        </w:tc>
        <w:tc>
          <w:tcPr>
            <w:tcW w:w="260" w:type="dxa"/>
            <w:vAlign w:val="bottom"/>
            <w:vMerge w:val="continue"/>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22,349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tax rate</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54,671</w:t>
            </w:r>
          </w:p>
        </w:tc>
        <w:tc>
          <w:tcPr>
            <w:tcW w:w="26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43,754</w:t>
            </w:r>
          </w:p>
        </w:tc>
        <w:tc>
          <w:tcPr>
            <w:tcW w:w="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48,399</w:t>
            </w:r>
          </w:p>
        </w:tc>
        <w:tc>
          <w:tcPr>
            <w:tcW w:w="260" w:type="dxa"/>
            <w:vAlign w:val="bottom"/>
            <w:vMerge w:val="continue"/>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44,260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Gain on sale of Cycle-Sat subsidiary</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(Loss) income from discontinued operations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45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44,260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2.11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1.99</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income per share</w:t>
            </w:r>
          </w:p>
        </w:tc>
        <w:tc>
          <w:tcPr>
            <w:tcW w:w="45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1.99</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w:t>
            </w:r>
          </w:p>
        </w:tc>
        <w:tc>
          <w:tcPr>
            <w:tcW w:w="0" w:type="dxa"/>
            <w:vAlign w:val="bottom"/>
          </w:tcPr>
          <w:p>
            <w:pPr>
              <w:spacing w:after="0"/>
              <w:rPr>
                <w:sz w:val="1"/>
                <w:szCs w:val="1"/>
                <w:color w:val="auto"/>
              </w:rPr>
            </w:pPr>
          </w:p>
        </w:tc>
      </w:tr>
      <w:tr>
        <w:trPr>
          <w:trHeight w:val="242"/>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45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outstanding (in thousands)</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19,949</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20,735</w:t>
            </w:r>
          </w:p>
        </w:tc>
        <w:tc>
          <w:tcPr>
            <w:tcW w:w="3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21,680</w:t>
            </w:r>
          </w:p>
        </w:tc>
        <w:tc>
          <w:tcPr>
            <w:tcW w:w="26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22,209</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21,040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22,011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22,537</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1"/>
                <w:szCs w:val="21"/>
                <w:color w:val="auto"/>
              </w:rPr>
            </w:pPr>
          </w:p>
        </w:tc>
        <w:tc>
          <w:tcPr>
            <w:tcW w:w="45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9.63</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8.22</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Return on assets (ROA)</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Return on equity (ROE)</w:t>
            </w:r>
          </w:p>
        </w:tc>
        <w:tc>
          <w:tcPr>
            <w:tcW w:w="10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260" w:type="dxa"/>
            <w:vAlign w:val="bottom"/>
          </w:tcPr>
          <w:p>
            <w:pPr>
              <w:spacing w:after="0"/>
              <w:rPr>
                <w:sz w:val="21"/>
                <w:szCs w:val="21"/>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w:t>
            </w:r>
          </w:p>
        </w:tc>
        <w:tc>
          <w:tcPr>
            <w:tcW w:w="300" w:type="dxa"/>
            <w:vAlign w:val="bottom"/>
          </w:tcPr>
          <w:p>
            <w:pPr>
              <w:spacing w:after="0"/>
              <w:rPr>
                <w:sz w:val="21"/>
                <w:szCs w:val="21"/>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c>
          <w:tcPr>
            <w:tcW w:w="0" w:type="dxa"/>
            <w:vAlign w:val="bottom"/>
          </w:tcPr>
          <w:p>
            <w:pPr>
              <w:spacing w:after="0"/>
              <w:rPr>
                <w:sz w:val="1"/>
                <w:szCs w:val="1"/>
                <w:color w:val="auto"/>
              </w:rPr>
            </w:pPr>
          </w:p>
        </w:tc>
      </w:tr>
      <w:tr>
        <w:trPr>
          <w:trHeight w:val="421"/>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Unit Sales</w:t>
            </w:r>
          </w:p>
        </w:tc>
        <w:tc>
          <w:tcPr>
            <w:tcW w:w="100" w:type="dxa"/>
            <w:vAlign w:val="bottom"/>
          </w:tcPr>
          <w:p>
            <w:pPr>
              <w:spacing w:after="0"/>
              <w:rPr>
                <w:sz w:val="24"/>
                <w:szCs w:val="2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6,725</w:t>
            </w:r>
          </w:p>
        </w:tc>
        <w:tc>
          <w:tcPr>
            <w:tcW w:w="260" w:type="dxa"/>
            <w:vAlign w:val="bottom"/>
          </w:tcPr>
          <w:p>
            <w:pPr>
              <w:spacing w:after="0"/>
              <w:rPr>
                <w:sz w:val="24"/>
                <w:szCs w:val="2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5,666</w:t>
            </w:r>
          </w:p>
        </w:tc>
        <w:tc>
          <w:tcPr>
            <w:tcW w:w="300" w:type="dxa"/>
            <w:vAlign w:val="bottom"/>
          </w:tcPr>
          <w:p>
            <w:pPr>
              <w:spacing w:after="0"/>
              <w:rPr>
                <w:sz w:val="24"/>
                <w:szCs w:val="2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6,819</w:t>
            </w:r>
          </w:p>
        </w:tc>
        <w:tc>
          <w:tcPr>
            <w:tcW w:w="260" w:type="dxa"/>
            <w:vAlign w:val="bottom"/>
          </w:tcPr>
          <w:p>
            <w:pPr>
              <w:spacing w:after="0"/>
              <w:rPr>
                <w:sz w:val="24"/>
                <w:szCs w:val="2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6,054</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A</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C</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3,697</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4,222</w:t>
            </w:r>
          </w:p>
        </w:tc>
        <w:tc>
          <w:tcPr>
            <w:tcW w:w="0" w:type="dxa"/>
            <w:vAlign w:val="bottom"/>
          </w:tcPr>
          <w:p>
            <w:pPr>
              <w:spacing w:after="0"/>
              <w:rPr>
                <w:sz w:val="1"/>
                <w:szCs w:val="1"/>
                <w:color w:val="auto"/>
              </w:rPr>
            </w:pPr>
          </w:p>
        </w:tc>
      </w:tr>
      <w:tr>
        <w:trPr>
          <w:trHeight w:val="166"/>
        </w:trPr>
        <w:tc>
          <w:tcPr>
            <w:tcW w:w="42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Total Class A &amp; C Motor Homes</w:t>
            </w:r>
          </w:p>
        </w:tc>
        <w:tc>
          <w:tcPr>
            <w:tcW w:w="45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11,054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9,076</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10,516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10,276</w:t>
            </w:r>
          </w:p>
        </w:tc>
        <w:tc>
          <w:tcPr>
            <w:tcW w:w="0" w:type="dxa"/>
            <w:vAlign w:val="bottom"/>
          </w:tcPr>
          <w:p>
            <w:pPr>
              <w:spacing w:after="0"/>
              <w:rPr>
                <w:sz w:val="1"/>
                <w:szCs w:val="1"/>
                <w:color w:val="auto"/>
              </w:rPr>
            </w:pPr>
          </w:p>
        </w:tc>
      </w:tr>
      <w:tr>
        <w:trPr>
          <w:trHeight w:val="242"/>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B Conversions (EuroVan Campers)</w:t>
            </w:r>
          </w:p>
        </w:tc>
        <w:tc>
          <w:tcPr>
            <w:tcW w:w="1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w:t>
            </w:r>
          </w:p>
        </w:tc>
        <w:tc>
          <w:tcPr>
            <w:tcW w:w="26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w:t>
            </w:r>
          </w:p>
        </w:tc>
        <w:tc>
          <w:tcPr>
            <w:tcW w:w="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854</w:t>
            </w:r>
          </w:p>
        </w:tc>
        <w:tc>
          <w:tcPr>
            <w:tcW w:w="2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10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$ 337,077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351,922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308,686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285,889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179,815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207,464</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174,909</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149,384</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144,995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174,248</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141,683</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123,720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2.6 to 1</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 to 1</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 to 1</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2.5 to 1</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1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3,685</w:t>
            </w:r>
          </w:p>
        </w:tc>
        <w:tc>
          <w:tcPr>
            <w:tcW w:w="26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3,325</w:t>
            </w:r>
          </w:p>
        </w:tc>
        <w:tc>
          <w:tcPr>
            <w:tcW w:w="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3,300</w:t>
            </w:r>
          </w:p>
        </w:tc>
        <w:tc>
          <w:tcPr>
            <w:tcW w:w="2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19" w:firstLine="8"/>
        <w:spacing w:after="0" w:line="313"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 These reclassifications have no impact on net income as previously reported.</w:t>
      </w:r>
    </w:p>
    <w:p>
      <w:pPr>
        <w:spacing w:after="0" w:line="42" w:lineRule="exact"/>
        <w:rPr>
          <w:rFonts w:ascii="Courier New" w:cs="Courier New" w:eastAsia="Courier New" w:hAnsi="Courier New"/>
          <w:sz w:val="14"/>
          <w:szCs w:val="14"/>
          <w:color w:val="auto"/>
        </w:rPr>
      </w:pPr>
    </w:p>
    <w:p>
      <w:pPr>
        <w:ind w:right="3779" w:firstLine="8"/>
        <w:spacing w:after="0" w:line="376"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years ended August 31, 2002 and August 31, 1996 contained 53 weeks; all other fiscal years contained 52 weeks.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56"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AUG. 29,</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AUG. 30,</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AUG. 31,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AUG. 26,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AUG. 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AUG. 28,</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1996(2)</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10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$ 529,363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437,961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487,545</w:t>
            </w:r>
          </w:p>
        </w:tc>
        <w:tc>
          <w:tcPr>
            <w:tcW w:w="124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$ 462,760</w:t>
            </w:r>
          </w:p>
        </w:tc>
        <w:tc>
          <w:tcPr>
            <w:tcW w:w="122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$ 436,870</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368,255</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revenues(4)</w:t>
            </w:r>
          </w:p>
        </w:tc>
        <w:tc>
          <w:tcPr>
            <w:tcW w:w="10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35,927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6,992</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21,063</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20,006</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15,264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11,018</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Pretax profit % of revenue</w:t>
            </w:r>
          </w:p>
        </w:tc>
        <w:tc>
          <w:tcPr>
            <w:tcW w:w="10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for income taxes (credits)</w:t>
            </w:r>
          </w:p>
        </w:tc>
        <w:tc>
          <w:tcPr>
            <w:tcW w:w="1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11,543</w:t>
            </w:r>
          </w:p>
        </w:tc>
        <w:tc>
          <w:tcPr>
            <w:tcW w:w="26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416</w:t>
            </w:r>
          </w:p>
        </w:tc>
        <w:tc>
          <w:tcPr>
            <w:tcW w:w="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6,639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($7,912)</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($1,312)</w:t>
            </w:r>
          </w:p>
        </w:tc>
        <w:tc>
          <w:tcPr>
            <w:tcW w:w="300" w:type="dxa"/>
            <w:vAlign w:val="bottom"/>
            <w:vMerge w:val="continue"/>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tax rate</w:t>
            </w:r>
          </w:p>
        </w:tc>
        <w:tc>
          <w:tcPr>
            <w:tcW w:w="10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24,384</w:t>
            </w:r>
          </w:p>
        </w:tc>
        <w:tc>
          <w:tcPr>
            <w:tcW w:w="26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6,576</w:t>
            </w:r>
          </w:p>
        </w:tc>
        <w:tc>
          <w:tcPr>
            <w:tcW w:w="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14,424</w:t>
            </w:r>
          </w:p>
        </w:tc>
        <w:tc>
          <w:tcPr>
            <w:tcW w:w="260" w:type="dxa"/>
            <w:vAlign w:val="bottom"/>
            <w:vMerge w:val="continue"/>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27,918</w:t>
            </w:r>
          </w:p>
        </w:tc>
        <w:tc>
          <w:tcPr>
            <w:tcW w:w="22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16,576</w:t>
            </w:r>
          </w:p>
        </w:tc>
        <w:tc>
          <w:tcPr>
            <w:tcW w:w="300" w:type="dxa"/>
            <w:vAlign w:val="bottom"/>
            <w:vMerge w:val="continue"/>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12,105</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Gain on sale of Cycle-Sat subsidiary</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16,472</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(Loss) income from discontinued operations</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869</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(2,827)</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(20,420)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708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27,756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9,278</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0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30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(.01)</w:t>
            </w:r>
          </w:p>
        </w:tc>
        <w:tc>
          <w:tcPr>
            <w:tcW w:w="22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30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30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income per share</w:t>
            </w:r>
          </w:p>
        </w:tc>
        <w:tc>
          <w:tcPr>
            <w:tcW w:w="708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10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242"/>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708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outstanding (in thousands)</w:t>
            </w:r>
          </w:p>
        </w:tc>
        <w:tc>
          <w:tcPr>
            <w:tcW w:w="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24,106</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25,435</w:t>
            </w:r>
          </w:p>
        </w:tc>
        <w:tc>
          <w:tcPr>
            <w:tcW w:w="3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25,349</w:t>
            </w:r>
          </w:p>
        </w:tc>
        <w:tc>
          <w:tcPr>
            <w:tcW w:w="260" w:type="dxa"/>
            <w:vAlign w:val="bottom"/>
          </w:tcPr>
          <w:p>
            <w:pPr>
              <w:spacing w:after="0"/>
              <w:rPr>
                <w:sz w:val="14"/>
                <w:szCs w:val="14"/>
                <w:color w:val="auto"/>
              </w:rPr>
            </w:pP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25,286</w:t>
            </w:r>
          </w:p>
        </w:tc>
        <w:tc>
          <w:tcPr>
            <w:tcW w:w="22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25,187</w:t>
            </w:r>
          </w:p>
        </w:tc>
        <w:tc>
          <w:tcPr>
            <w:tcW w:w="30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25,042</w:t>
            </w: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24,314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25,550</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25,524</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25,462</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25,481</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25,307</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1"/>
                <w:szCs w:val="21"/>
                <w:color w:val="auto"/>
              </w:rPr>
            </w:pPr>
          </w:p>
        </w:tc>
        <w:tc>
          <w:tcPr>
            <w:tcW w:w="708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dividends per share</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Return on assets (ROA)</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14.1%</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Return on equity (ROE)</w:t>
            </w:r>
          </w:p>
        </w:tc>
        <w:tc>
          <w:tcPr>
            <w:tcW w:w="10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w:t>
            </w:r>
          </w:p>
        </w:tc>
        <w:tc>
          <w:tcPr>
            <w:tcW w:w="260" w:type="dxa"/>
            <w:vAlign w:val="bottom"/>
          </w:tcPr>
          <w:p>
            <w:pPr>
              <w:spacing w:after="0"/>
              <w:rPr>
                <w:sz w:val="21"/>
                <w:szCs w:val="21"/>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w:t>
            </w:r>
          </w:p>
        </w:tc>
        <w:tc>
          <w:tcPr>
            <w:tcW w:w="300" w:type="dxa"/>
            <w:vAlign w:val="bottom"/>
          </w:tcPr>
          <w:p>
            <w:pPr>
              <w:spacing w:after="0"/>
              <w:rPr>
                <w:sz w:val="21"/>
                <w:szCs w:val="21"/>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21"/>
                <w:szCs w:val="21"/>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30.8%</w:t>
            </w:r>
          </w:p>
        </w:tc>
        <w:tc>
          <w:tcPr>
            <w:tcW w:w="22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w:t>
            </w:r>
          </w:p>
        </w:tc>
        <w:tc>
          <w:tcPr>
            <w:tcW w:w="0" w:type="dxa"/>
            <w:vAlign w:val="bottom"/>
          </w:tcPr>
          <w:p>
            <w:pPr>
              <w:spacing w:after="0"/>
              <w:rPr>
                <w:sz w:val="1"/>
                <w:szCs w:val="1"/>
                <w:color w:val="auto"/>
              </w:rPr>
            </w:pPr>
          </w:p>
        </w:tc>
      </w:tr>
      <w:tr>
        <w:trPr>
          <w:trHeight w:val="421"/>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Unit Sales</w:t>
            </w:r>
          </w:p>
        </w:tc>
        <w:tc>
          <w:tcPr>
            <w:tcW w:w="100" w:type="dxa"/>
            <w:vAlign w:val="bottom"/>
          </w:tcPr>
          <w:p>
            <w:pPr>
              <w:spacing w:after="0"/>
              <w:rPr>
                <w:sz w:val="24"/>
                <w:szCs w:val="2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5,381</w:t>
            </w:r>
          </w:p>
        </w:tc>
        <w:tc>
          <w:tcPr>
            <w:tcW w:w="260" w:type="dxa"/>
            <w:vAlign w:val="bottom"/>
          </w:tcPr>
          <w:p>
            <w:pPr>
              <w:spacing w:after="0"/>
              <w:rPr>
                <w:sz w:val="24"/>
                <w:szCs w:val="2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4,834</w:t>
            </w:r>
          </w:p>
        </w:tc>
        <w:tc>
          <w:tcPr>
            <w:tcW w:w="300" w:type="dxa"/>
            <w:vAlign w:val="bottom"/>
          </w:tcPr>
          <w:p>
            <w:pPr>
              <w:spacing w:after="0"/>
              <w:rPr>
                <w:sz w:val="24"/>
                <w:szCs w:val="2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5,893</w:t>
            </w:r>
          </w:p>
        </w:tc>
        <w:tc>
          <w:tcPr>
            <w:tcW w:w="260" w:type="dxa"/>
            <w:vAlign w:val="bottom"/>
          </w:tcPr>
          <w:p>
            <w:pPr>
              <w:spacing w:after="0"/>
              <w:rPr>
                <w:sz w:val="24"/>
                <w:szCs w:val="24"/>
                <w:color w:val="auto"/>
              </w:rPr>
            </w:pP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5,993</w:t>
            </w:r>
          </w:p>
        </w:tc>
        <w:tc>
          <w:tcPr>
            <w:tcW w:w="220" w:type="dxa"/>
            <w:vAlign w:val="bottom"/>
          </w:tcPr>
          <w:p>
            <w:pPr>
              <w:spacing w:after="0"/>
              <w:rPr>
                <w:sz w:val="24"/>
                <w:szCs w:val="2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6,820</w:t>
            </w:r>
          </w:p>
        </w:tc>
        <w:tc>
          <w:tcPr>
            <w:tcW w:w="300" w:type="dxa"/>
            <w:vAlign w:val="bottom"/>
          </w:tcPr>
          <w:p>
            <w:pPr>
              <w:spacing w:after="0"/>
              <w:rPr>
                <w:sz w:val="24"/>
                <w:szCs w:val="2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6,095</w:t>
            </w: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A</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C</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2,724</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2,857</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2,853</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66"/>
        </w:trPr>
        <w:tc>
          <w:tcPr>
            <w:tcW w:w="42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Total Class A &amp; C Motor Homes</w:t>
            </w:r>
          </w:p>
        </w:tc>
        <w:tc>
          <w:tcPr>
            <w:tcW w:w="708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8,771</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7,558</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8,750</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8,846</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8,682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8,093</w:t>
            </w:r>
          </w:p>
        </w:tc>
        <w:tc>
          <w:tcPr>
            <w:tcW w:w="0" w:type="dxa"/>
            <w:vAlign w:val="bottom"/>
          </w:tcPr>
          <w:p>
            <w:pPr>
              <w:spacing w:after="0"/>
              <w:rPr>
                <w:sz w:val="1"/>
                <w:szCs w:val="1"/>
                <w:color w:val="auto"/>
              </w:rPr>
            </w:pPr>
          </w:p>
        </w:tc>
      </w:tr>
      <w:tr>
        <w:trPr>
          <w:trHeight w:val="242"/>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Class B Conversions (EuroVan Campers)</w:t>
            </w:r>
          </w:p>
        </w:tc>
        <w:tc>
          <w:tcPr>
            <w:tcW w:w="1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26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1,205</w:t>
            </w:r>
          </w:p>
        </w:tc>
        <w:tc>
          <w:tcPr>
            <w:tcW w:w="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w:t>
            </w:r>
          </w:p>
        </w:tc>
        <w:tc>
          <w:tcPr>
            <w:tcW w:w="260" w:type="dxa"/>
            <w:vAlign w:val="bottom"/>
          </w:tcPr>
          <w:p>
            <w:pPr>
              <w:spacing w:after="0"/>
              <w:rPr>
                <w:sz w:val="21"/>
                <w:szCs w:val="21"/>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w:t>
            </w:r>
          </w:p>
        </w:tc>
        <w:tc>
          <w:tcPr>
            <w:tcW w:w="22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w:t>
            </w:r>
          </w:p>
        </w:tc>
        <w:tc>
          <w:tcPr>
            <w:tcW w:w="30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10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$ 230,612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213,475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220,596</w:t>
            </w:r>
          </w:p>
        </w:tc>
        <w:tc>
          <w:tcPr>
            <w:tcW w:w="124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$ 211,630</w:t>
            </w:r>
          </w:p>
        </w:tc>
        <w:tc>
          <w:tcPr>
            <w:tcW w:w="122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$ 181,748</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157,050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116,523</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123,882</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105,311</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100,448</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79,710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81,693</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92,800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99,935</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62,155</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69,694</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58,523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44,669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3,810</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2.5 to 1</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 to 1</w:t>
            </w:r>
          </w:p>
        </w:tc>
        <w:tc>
          <w:tcPr>
            <w:tcW w:w="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2.0 to 1</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 to 1</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 to 1</w:t>
            </w:r>
          </w:p>
        </w:tc>
        <w:tc>
          <w:tcPr>
            <w:tcW w:w="1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 to 1</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1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3,010</w:t>
            </w:r>
          </w:p>
        </w:tc>
        <w:tc>
          <w:tcPr>
            <w:tcW w:w="26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2,830</w:t>
            </w:r>
          </w:p>
        </w:tc>
        <w:tc>
          <w:tcPr>
            <w:tcW w:w="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3,150</w:t>
            </w:r>
          </w:p>
        </w:tc>
        <w:tc>
          <w:tcPr>
            <w:tcW w:w="260" w:type="dxa"/>
            <w:vAlign w:val="bottom"/>
          </w:tcPr>
          <w:p>
            <w:pPr>
              <w:spacing w:after="0"/>
              <w:rPr>
                <w:sz w:val="21"/>
                <w:szCs w:val="21"/>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3,010</w:t>
            </w:r>
          </w:p>
        </w:tc>
        <w:tc>
          <w:tcPr>
            <w:tcW w:w="22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3,150</w:t>
            </w:r>
          </w:p>
        </w:tc>
        <w:tc>
          <w:tcPr>
            <w:tcW w:w="30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noncash after-tax cumulative effect of change in accounting</w:t>
      </w:r>
    </w:p>
    <w:p>
      <w:pPr>
        <w:spacing w:after="0" w:line="33" w:lineRule="exact"/>
        <w:rPr>
          <w:rFonts w:ascii="Courier New" w:cs="Courier New" w:eastAsia="Courier New" w:hAnsi="Courier New"/>
          <w:sz w:val="14"/>
          <w:szCs w:val="14"/>
          <w:color w:val="auto"/>
        </w:rPr>
      </w:pPr>
    </w:p>
    <w:p>
      <w:pPr>
        <w:ind w:right="4580"/>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 of $1.1 million expense or $.05 per share due to the adoption of SAB No. 101, REVENUE RECOGNITION IN FINANCIAL STATEMENTS.</w:t>
      </w:r>
    </w:p>
    <w:p>
      <w:pPr>
        <w:spacing w:after="0" w:line="26" w:lineRule="exact"/>
        <w:rPr>
          <w:rFonts w:ascii="Courier New" w:cs="Courier New" w:eastAsia="Courier New" w:hAnsi="Courier New"/>
          <w:sz w:val="14"/>
          <w:szCs w:val="14"/>
          <w:color w:val="auto"/>
        </w:rPr>
      </w:pPr>
    </w:p>
    <w:p>
      <w:pPr>
        <w:ind w:right="4400" w:firstLine="8"/>
        <w:spacing w:after="0" w:line="282"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revenues for fiscal 2002 required adoption of EITF No. 01-9 ACCOUNTING FOR CONSIDERATION GIVEN BY A VENDOR FOR A CUSTOMER (INCLUDING A RESELLER OF THE VENDOR'S PRODUCT) which requires the reduction of net revenues by certain payments to customers for certain sales incentive offers and fiscal 2001 required adoption of EITF 00-10 related to shipping and handling fees and costs.</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300"/>
          </w:cols>
          <w:pgMar w:left="220" w:top="1418" w:right="37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NATURE OF BUSINESS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7"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4"/>
          <w:szCs w:val="14"/>
          <w:color w:val="auto"/>
        </w:rPr>
        <w:t>Winnebago Industries, Inc.'s (the Company) operations are conducted predominantly in two industry segments: the manufacture and sale of recreation vehicles and other manufactured products, and floor plan financing for selected Winnebago, Itasca, Rialta, and Ultimate dealers. The recreation vehicle market is highly competitive, both as to price and quality of the product. The Company believes its principal marketing advantages are its brand name recognition, the quality of its products, its dealer organization, its warranty and service capability and its marketing techniques. The Company also believes that its prices are competitive with the competition's units of comparable size and quality.</w:t>
      </w:r>
    </w:p>
    <w:p>
      <w:pPr>
        <w:spacing w:after="0" w:line="250"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parent company and subsidiary companies. All material intercompany balances and transactions with subsidiaries have been eliminated.</w:t>
      </w:r>
    </w:p>
    <w:p>
      <w:pPr>
        <w:spacing w:after="0" w:line="4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STATEMENTS OF CASH FLOWS. For purposes of these statements, cash equivalents primarily consisted of commercial paper, tax-exempt money market preferreds, and variable rate auction preferred stock with an original maturity of three months or less. For cash equivalents, the carrying amount is a reasonable estimate of fair value.</w:t>
      </w:r>
    </w:p>
    <w:p>
      <w:pPr>
        <w:spacing w:after="0" w:line="6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FISCAL PERIOD. The Company follows a 52/53-week fiscal year period. The financial statements for fiscal 2002 are based on a 53-week period; the others are on a 52-week basis.</w:t>
      </w:r>
    </w:p>
    <w:p>
      <w:pPr>
        <w:spacing w:after="0" w:line="42"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REVENUE RECOGNITION. The Company adopted Staff Accounting Bulletin (SAB) No. 101, Revenue Recognition, as of the beginning of fiscal 2001. This accounting principle requires the Company to recognize revenue upon delivery of products to the dealer, which is when title passes, instead of when shipped by the Company. Interest income from dealer floor plan receivables is recorded on the accrual basis in accordance with the terms of the loan agreements.</w:t>
      </w:r>
    </w:p>
    <w:p>
      <w:pPr>
        <w:spacing w:after="0" w:line="69"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SHIPPING REVENUES AND EXPENSES. Shipping revenues for products shipped are included within sales, while shipping expenses are included within cost of goods sold, in accordance with Emerging Issues Task Force (EITF) No. 00-10, Accounting for Shipping and Handling Fees and Costs.</w:t>
      </w:r>
    </w:p>
    <w:p>
      <w:pPr>
        <w:spacing w:after="0" w:line="56"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CONSIDERATIONS GIVEN BY THE COMPANY TO ITS DEALERS. Certain payments to customers for cooperative advertising and certain sales incentive offers are shown as a reduction in net revenues, in accordance with EITF No. 01-9, Accounting for Consideration Given by a Vendor to a Customer or a Reseller of the Vendor's Products. Cooperative advertising expense and sales incentives were previously reported as selling expense. Prior period expenses have been reclassified, which had no effect on previously reported net income.</w:t>
      </w:r>
    </w:p>
    <w:p>
      <w:pPr>
        <w:spacing w:after="0" w:line="72"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INVENTORIES. Inventories are valued at the lower of cost or market, with cost being determined by using the last-in, first-out (LIFO) method and market defined as net realizable value.</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as follows:</w:t>
      </w:r>
    </w:p>
    <w:p>
      <w:pPr>
        <w:spacing w:after="0" w:line="56" w:lineRule="exact"/>
        <w:rPr>
          <w:sz w:val="20"/>
          <w:szCs w:val="20"/>
          <w:color w:val="auto"/>
        </w:rPr>
      </w:pPr>
    </w:p>
    <w:p>
      <w:pPr>
        <w:ind w:left="520"/>
        <w:spacing w:after="0"/>
        <w:tabs>
          <w:tab w:leader="none" w:pos="5760" w:val="left"/>
        </w:tabs>
        <w:rPr>
          <w:sz w:val="20"/>
          <w:szCs w:val="20"/>
          <w:color w:val="auto"/>
        </w:rPr>
      </w:pPr>
      <w:r>
        <w:rPr>
          <w:rFonts w:ascii="Courier New" w:cs="Courier New" w:eastAsia="Courier New" w:hAnsi="Courier New"/>
          <w:sz w:val="14"/>
          <w:szCs w:val="14"/>
          <w:color w:val="auto"/>
        </w:rPr>
        <w:t>ASSET CLASS</w:t>
      </w:r>
      <w:r>
        <w:rPr>
          <w:sz w:val="20"/>
          <w:szCs w:val="20"/>
          <w:color w:val="auto"/>
        </w:rPr>
        <w:tab/>
      </w:r>
      <w:r>
        <w:rPr>
          <w:rFonts w:ascii="Courier New" w:cs="Courier New" w:eastAsia="Courier New" w:hAnsi="Courier New"/>
          <w:sz w:val="14"/>
          <w:szCs w:val="14"/>
          <w:color w:val="auto"/>
        </w:rPr>
        <w:t>ASSET LIFE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920" w:type="dxa"/>
            <w:vAlign w:val="bottom"/>
          </w:tcPr>
          <w:p>
            <w:pPr>
              <w:spacing w:after="0" w:line="147" w:lineRule="exact"/>
              <w:rPr>
                <w:sz w:val="20"/>
                <w:szCs w:val="20"/>
                <w:color w:val="auto"/>
              </w:rPr>
            </w:pPr>
            <w:r>
              <w:rPr>
                <w:rFonts w:ascii="Courier New" w:cs="Courier New" w:eastAsia="Courier New" w:hAnsi="Courier New"/>
                <w:sz w:val="14"/>
                <w:szCs w:val="14"/>
                <w:color w:val="auto"/>
              </w:rPr>
              <w:t>Buildings</w:t>
            </w:r>
          </w:p>
        </w:tc>
        <w:tc>
          <w:tcPr>
            <w:tcW w:w="23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10-30</w:t>
            </w:r>
          </w:p>
        </w:tc>
        <w:tc>
          <w:tcPr>
            <w:tcW w:w="3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w w:val="95"/>
              </w:rPr>
              <w:t>yrs.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yrs.</w:t>
            </w:r>
          </w:p>
        </w:tc>
      </w:tr>
      <w:tr>
        <w:trPr>
          <w:trHeight w:val="24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yrs.</w:t>
            </w:r>
          </w:p>
        </w:tc>
      </w:tr>
    </w:tbl>
    <w:p>
      <w:pPr>
        <w:spacing w:after="0" w:line="90"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w:t>
      </w:r>
    </w:p>
    <w:p>
      <w:pPr>
        <w:spacing w:after="0" w:line="6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PROVISION FOR WARRANTY CLAIMS. Estimated warranty costs are provided at the time of sale of the warranted products. Estimates of future warranty costs are based on prior experience and known current events.</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INCOME TAXES. The Company accounts for income taxes under Statement of Financial Accounting Standards (SFAS) No. 109, Accounting for Income Taxes. This Statement requires recognition of deferred assets and liabilities for the expected future tax consequences of events that have been</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56" w:right="1440" w:bottom="1440" w:gutter="0" w:footer="0" w:header="0"/>
        </w:sectPr>
      </w:pPr>
    </w:p>
    <w:bookmarkStart w:id="58" w:name="page59"/>
    <w:bookmarkEnd w:id="58"/>
    <w:p>
      <w:pPr>
        <w:jc w:val="right"/>
        <w:ind w:right="3339"/>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56"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DERIVATIVE INSTRUMENTS AND HEDGING ACTIVITIES. All contracts that contain provisions meeting the definition of a derivative also meet the requirements of, and have been designated as, normal purchases or sales. The Company's policy is to not enter into contracts with terms that cannot be designated as normal purchases or sales.</w:t>
      </w:r>
    </w:p>
    <w:p>
      <w:pPr>
        <w:spacing w:after="0" w:line="62"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ALLOWANCE FOR DOUBTFUL ACCOUNTS. The allowance for doubtful accounts is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69"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RESEARCH AND DEVELOPMENT. Research and development expenditures are expensed as incurred. Development activities generally relate to creating new products and improving or creating variations of existing products to meet new applications. During fiscal 2002, 2001 and 2000, the Company spent approximately $3,190,000, $3,397,000 and $3,374,000, respectively, on research and development activities.</w:t>
      </w:r>
    </w:p>
    <w:p>
      <w:pPr>
        <w:spacing w:after="0" w:line="6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INCOME PER COMMON SHARE. Basic income per common share is computed by dividing net income by the weighted average common shares outstanding during the period.</w:t>
      </w:r>
    </w:p>
    <w:p>
      <w:pPr>
        <w:spacing w:after="0" w:line="1"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Diluted income per common share is computed by dividing net income by the weighted average common shares outstanding plus the incremental shares that would have been outstanding upon the assumed exercise of dilutive stock options (See Note 13).</w:t>
      </w:r>
    </w:p>
    <w:p>
      <w:pPr>
        <w:spacing w:after="0" w:line="56"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FAIR VALUE DISCLOSURES OF FINANCIAL INSTRUMENTS. All financial instruments are carried at amounts believed to approximate fair value.</w:t>
      </w:r>
    </w:p>
    <w:p>
      <w:pPr>
        <w:spacing w:after="0" w:line="1"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RECLASSIFICATIONS. Certain prior year information has been reclassified to conform to the current year presentation. This reclassification had no affect on net income or stockholders' equity as previously reported.</w:t>
      </w:r>
    </w:p>
    <w:p>
      <w:pPr>
        <w:spacing w:after="0" w:line="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2:</w:t>
        <w:tab/>
        <w:t>DEALER FINANCING RECEIVABLES</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Dealer floor plan receivables are collateralized by recreation vehicles and are due upon the dealer's sale of the vehicle, with the entire balance generally due at the end of one year. At August 31, 2002 and August 25, 2001, the Company had a concentration of credit risks whereby $37,388,000 and $39,243,000, respectively, of dealer financing receivables were due from one dealer.</w:t>
      </w:r>
    </w:p>
    <w:p>
      <w:pPr>
        <w:spacing w:after="0" w:line="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3:</w:t>
        <w:tab/>
        <w:t>INVENTORIES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AUGUST 25,</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900" w:type="dxa"/>
            <w:vAlign w:val="bottom"/>
          </w:tcPr>
          <w:p>
            <w:pPr>
              <w:spacing w:after="0" w:line="147" w:lineRule="exact"/>
              <w:rPr>
                <w:sz w:val="20"/>
                <w:szCs w:val="20"/>
                <w:color w:val="auto"/>
              </w:rPr>
            </w:pPr>
            <w:r>
              <w:rPr>
                <w:rFonts w:ascii="Courier New" w:cs="Courier New" w:eastAsia="Courier New" w:hAnsi="Courier New"/>
                <w:sz w:val="14"/>
                <w:szCs w:val="14"/>
                <w:color w:val="auto"/>
              </w:rPr>
              <w:t>Finished goods</w:t>
            </w:r>
          </w:p>
        </w:tc>
        <w:tc>
          <w:tcPr>
            <w:tcW w:w="164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  48,037</w:t>
            </w:r>
          </w:p>
        </w:tc>
        <w:tc>
          <w:tcPr>
            <w:tcW w:w="3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36,930</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26,995</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21,725</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62,194</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44,232</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26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00" w:type="dxa"/>
            <w:vAlign w:val="bottom"/>
            <w:vMerge w:val="restart"/>
          </w:tcPr>
          <w:p>
            <w:pPr>
              <w:spacing w:after="0"/>
              <w:rPr>
                <w:sz w:val="20"/>
                <w:szCs w:val="20"/>
                <w:color w:val="auto"/>
              </w:rPr>
            </w:pPr>
            <w:r>
              <w:rPr>
                <w:rFonts w:ascii="Courier New" w:cs="Courier New" w:eastAsia="Courier New" w:hAnsi="Courier New"/>
                <w:sz w:val="14"/>
                <w:szCs w:val="14"/>
                <w:color w:val="auto"/>
              </w:rPr>
              <w:t>LIFO reserve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137,226</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102,887</w:t>
            </w:r>
          </w:p>
        </w:tc>
        <w:tc>
          <w:tcPr>
            <w:tcW w:w="0" w:type="dxa"/>
            <w:vAlign w:val="bottom"/>
          </w:tcPr>
          <w:p>
            <w:pPr>
              <w:spacing w:after="0"/>
              <w:rPr>
                <w:sz w:val="1"/>
                <w:szCs w:val="1"/>
                <w:color w:val="auto"/>
              </w:rPr>
            </w:pPr>
          </w:p>
        </w:tc>
      </w:tr>
      <w:tr>
        <w:trPr>
          <w:trHeight w:val="166"/>
        </w:trPr>
        <w:tc>
          <w:tcPr>
            <w:tcW w:w="1900" w:type="dxa"/>
            <w:vAlign w:val="bottom"/>
            <w:vMerge w:val="continue"/>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(23,572)</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(23,072)</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26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$ 113,654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79,815</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26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199"/>
        <w:spacing w:after="0" w:line="376" w:lineRule="auto"/>
        <w:rPr>
          <w:sz w:val="20"/>
          <w:szCs w:val="20"/>
          <w:color w:val="auto"/>
        </w:rPr>
      </w:pPr>
      <w:r>
        <w:rPr>
          <w:rFonts w:ascii="Courier New" w:cs="Courier New" w:eastAsia="Courier New" w:hAnsi="Courier New"/>
          <w:sz w:val="14"/>
          <w:szCs w:val="14"/>
          <w:color w:val="auto"/>
        </w:rPr>
        <w:t>The above value of inventories, before reduction for the LIFO reserve, approximates replacement cost at the respective dates.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5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tab/>
        <w:t>NOTES PAYABLE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lines of credit and related borrowings outstanding at fiscal year-end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AUGUST 25,</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Available credit lines</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20,000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66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242"/>
        </w:trPr>
        <w:tc>
          <w:tcPr>
            <w:tcW w:w="220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660" w:type="dxa"/>
            <w:vAlign w:val="bottom"/>
          </w:tcPr>
          <w:p>
            <w:pPr>
              <w:spacing w:after="0"/>
              <w:rPr>
                <w:sz w:val="21"/>
                <w:szCs w:val="21"/>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bl>
    <w:p>
      <w:pPr>
        <w:spacing w:after="0" w:line="90"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 October 19, 2000, the Company entered into an unsecured credit agreement with Wells Fargo Bank Iowa, National Association. The credit agreement provided the Company with a line of credit of $20,000,000 until January 31, 2002. There were no outstanding borrowings under the credit agreement during fiscal 2002 or 2001. The Company did not renew this agreement when it expired on January 31, 2002.</w:t>
      </w:r>
    </w:p>
    <w:p>
      <w:pPr>
        <w:spacing w:after="0" w:line="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tab/>
        <w:t>EMPLOYEE RETIREMENT PLANS</w:t>
      </w:r>
    </w:p>
    <w:p>
      <w:pPr>
        <w:spacing w:after="0" w:line="33"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The Company has a qualified profit sharing and contributory 401(k) plan for eligible employees. The plan provides for contributions by the Company in such amounts as the Board of Directors may determine. Contributions to the plan in cash for fiscal 2002, 2001 and 2000 were $2,668,000, $2,283,000 and $2,685,000, respectively.</w:t>
      </w:r>
    </w:p>
    <w:p>
      <w:pPr>
        <w:spacing w:after="0" w:line="69"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 Company also has a nonqualified deferred compensation program which permits key employees to annually elect (via individual contracts) to defer a portion of their compensation until their retirement.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$1,642,000, $1,659,000 and $1,645,000, in fiscal 2002, 2001 and 2000, respectively. Total deferred compensation liabilities were $24,711,000 and $24,646,000 at August 31, 2002 and August 25, 2001, respectively.</w:t>
      </w:r>
    </w:p>
    <w:p>
      <w:pPr>
        <w:spacing w:after="0" w:line="249"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To assist in funding the deferred compensation liability, the Company has invested in corporate-owned life insurance policies. The cash surrender value of these policies (net of borrowings of $14,825,000 and $13,637,000 at August 31, 2002 and August 25, 2001, respectively) are presented as assets of the Company in the accompanying consolidated balance sheets.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provides certain</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health care</w:t>
            </w: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and other benefits for retired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employees who have fulfilled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eligibility</w:t>
            </w:r>
          </w:p>
        </w:tc>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requirements at age 55 with 15 years of</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continuous service. Retirees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are required</w:t>
            </w: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 pay a monthly premium for</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medical</w:t>
            </w:r>
          </w:p>
        </w:tc>
        <w:tc>
          <w:tcPr>
            <w:tcW w:w="0" w:type="dxa"/>
            <w:vAlign w:val="bottom"/>
          </w:tcPr>
          <w:p>
            <w:pPr>
              <w:spacing w:after="0"/>
              <w:rPr>
                <w:sz w:val="1"/>
                <w:szCs w:val="1"/>
                <w:color w:val="auto"/>
              </w:rPr>
            </w:pPr>
          </w:p>
        </w:tc>
      </w:tr>
      <w:tr>
        <w:trPr>
          <w:trHeight w:val="166"/>
        </w:trPr>
        <w:tc>
          <w:tcPr>
            <w:tcW w:w="6120" w:type="dxa"/>
            <w:vAlign w:val="bottom"/>
            <w:gridSpan w:val="5"/>
          </w:tcPr>
          <w:p>
            <w:pPr>
              <w:spacing w:after="0"/>
              <w:rPr>
                <w:sz w:val="20"/>
                <w:szCs w:val="20"/>
                <w:color w:val="auto"/>
              </w:rPr>
            </w:pPr>
            <w:r>
              <w:rPr>
                <w:rFonts w:ascii="Courier New" w:cs="Courier New" w:eastAsia="Courier New" w:hAnsi="Courier New"/>
                <w:sz w:val="14"/>
                <w:szCs w:val="14"/>
                <w:color w:val="auto"/>
              </w:rPr>
              <w:t>coverage based on years of service at retirement and then current age.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0" w:type="dxa"/>
            <w:vAlign w:val="bottom"/>
          </w:tcPr>
          <w:p>
            <w:pPr>
              <w:spacing w:after="0"/>
              <w:rPr>
                <w:sz w:val="1"/>
                <w:szCs w:val="1"/>
                <w:color w:val="auto"/>
              </w:rPr>
            </w:pPr>
          </w:p>
        </w:tc>
      </w:tr>
      <w:tr>
        <w:trPr>
          <w:trHeight w:val="166"/>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Company's postretirement health care plan</w:t>
            </w: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currently is not funded. The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status of</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plan is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as follows: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w:t>
            </w:r>
          </w:p>
        </w:tc>
        <w:tc>
          <w:tcPr>
            <w:tcW w:w="14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THOUSANDS)</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AUGUST</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214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AUGUST 25,</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80" w:type="dxa"/>
            <w:vAlign w:val="bottom"/>
          </w:tcPr>
          <w:p>
            <w:pPr>
              <w:ind w:left="740"/>
              <w:spacing w:after="0"/>
              <w:rPr>
                <w:sz w:val="20"/>
                <w:szCs w:val="20"/>
                <w:color w:val="auto"/>
              </w:rPr>
            </w:pPr>
            <w:r>
              <w:rPr>
                <w:rFonts w:ascii="Courier New" w:cs="Courier New" w:eastAsia="Courier New" w:hAnsi="Courier New"/>
                <w:sz w:val="14"/>
                <w:szCs w:val="14"/>
                <w:color w:val="auto"/>
                <w:w w:val="95"/>
              </w:rPr>
              <w:t>2002</w:t>
            </w:r>
          </w:p>
        </w:tc>
        <w:tc>
          <w:tcPr>
            <w:tcW w:w="440" w:type="dxa"/>
            <w:vAlign w:val="bottom"/>
          </w:tcPr>
          <w:p>
            <w:pPr>
              <w:spacing w:after="0"/>
              <w:rPr>
                <w:sz w:val="16"/>
                <w:szCs w:val="16"/>
                <w:color w:val="auto"/>
              </w:rPr>
            </w:pPr>
          </w:p>
        </w:tc>
        <w:tc>
          <w:tcPr>
            <w:tcW w:w="21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1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benefit obligation Accumulated benefit</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beginning of</w:t>
      </w:r>
    </w:p>
    <w:tbl>
      <w:tblPr>
        <w:tblLayout w:type="fixed"/>
        <w:tblInd w:w="0" w:type="dxa"/>
        <w:tblCellMar>
          <w:top w:w="0" w:type="dxa"/>
          <w:left w:w="0" w:type="dxa"/>
          <w:bottom w:w="0" w:type="dxa"/>
          <w:right w:w="0" w:type="dxa"/>
        </w:tblCellMar>
      </w:tblPr>
      <w:tr>
        <w:trPr>
          <w:trHeight w:val="147"/>
        </w:trPr>
        <w:tc>
          <w:tcPr>
            <w:tcW w:w="2600" w:type="dxa"/>
            <w:vAlign w:val="bottom"/>
          </w:tcPr>
          <w:p>
            <w:pPr>
              <w:ind w:left="260"/>
              <w:spacing w:after="0" w:line="147" w:lineRule="exact"/>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41,179</w:t>
            </w:r>
          </w:p>
        </w:tc>
        <w:tc>
          <w:tcPr>
            <w:tcW w:w="34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36,925</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Actuarial loss</w:t>
            </w:r>
          </w:p>
        </w:tc>
        <w:tc>
          <w:tcPr>
            <w:tcW w:w="5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6,675</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1,225</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5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2,836</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2,750</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5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1,955</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Net benefits paid</w:t>
            </w:r>
          </w:p>
        </w:tc>
        <w:tc>
          <w:tcPr>
            <w:tcW w:w="5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Plan amendment</w:t>
            </w:r>
          </w:p>
        </w:tc>
        <w:tc>
          <w:tcPr>
            <w:tcW w:w="5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(1,089)</w:t>
            </w:r>
          </w:p>
        </w:tc>
        <w:tc>
          <w:tcPr>
            <w:tcW w:w="0" w:type="dxa"/>
            <w:vAlign w:val="bottom"/>
          </w:tcPr>
          <w:p>
            <w:pPr>
              <w:spacing w:after="0"/>
              <w:rPr>
                <w:sz w:val="1"/>
                <w:szCs w:val="1"/>
                <w:color w:val="auto"/>
              </w:rPr>
            </w:pPr>
          </w:p>
        </w:tc>
      </w:tr>
      <w:tr>
        <w:trPr>
          <w:trHeight w:val="242"/>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Benefit obligation, end of</w:t>
            </w: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00" w:type="dxa"/>
            <w:vAlign w:val="bottom"/>
            <w:vMerge w:val="continue"/>
          </w:tcPr>
          <w:p>
            <w:pPr>
              <w:spacing w:after="0"/>
              <w:rPr>
                <w:sz w:val="7"/>
                <w:szCs w:val="7"/>
                <w:color w:val="auto"/>
              </w:rPr>
            </w:pPr>
          </w:p>
        </w:tc>
        <w:tc>
          <w:tcPr>
            <w:tcW w:w="5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44,968</w:t>
            </w:r>
          </w:p>
        </w:tc>
        <w:tc>
          <w:tcPr>
            <w:tcW w:w="3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41,179</w:t>
            </w:r>
          </w:p>
        </w:tc>
        <w:tc>
          <w:tcPr>
            <w:tcW w:w="0" w:type="dxa"/>
            <w:vAlign w:val="bottom"/>
          </w:tcPr>
          <w:p>
            <w:pPr>
              <w:spacing w:after="0"/>
              <w:rPr>
                <w:sz w:val="1"/>
                <w:szCs w:val="1"/>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year</w:t>
            </w:r>
          </w:p>
        </w:tc>
        <w:tc>
          <w:tcPr>
            <w:tcW w:w="5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Funded status</w:t>
            </w: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Accumulated benefit</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obligation in excess of</w:t>
            </w:r>
          </w:p>
        </w:tc>
        <w:tc>
          <w:tcPr>
            <w:tcW w:w="5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44,968</w:t>
            </w:r>
          </w:p>
        </w:tc>
        <w:tc>
          <w:tcPr>
            <w:tcW w:w="3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41,179</w:t>
            </w:r>
          </w:p>
        </w:tc>
        <w:tc>
          <w:tcPr>
            <w:tcW w:w="0" w:type="dxa"/>
            <w:vAlign w:val="bottom"/>
          </w:tcPr>
          <w:p>
            <w:pPr>
              <w:spacing w:after="0"/>
              <w:rPr>
                <w:sz w:val="1"/>
                <w:szCs w:val="1"/>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plan assets</w:t>
            </w:r>
          </w:p>
        </w:tc>
        <w:tc>
          <w:tcPr>
            <w:tcW w:w="5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Unrecognized cost</w:t>
            </w:r>
          </w:p>
        </w:tc>
        <w:tc>
          <w:tcPr>
            <w:tcW w:w="50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(9,463)</w:t>
            </w:r>
          </w:p>
        </w:tc>
        <w:tc>
          <w:tcPr>
            <w:tcW w:w="3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(2,777)</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Net actuarial loss</w:t>
            </w: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Prior service cost</w:t>
            </w:r>
          </w:p>
        </w:tc>
        <w:tc>
          <w:tcPr>
            <w:tcW w:w="5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8,445</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1,402</w:t>
            </w:r>
          </w:p>
        </w:tc>
        <w:tc>
          <w:tcPr>
            <w:tcW w:w="0" w:type="dxa"/>
            <w:vAlign w:val="bottom"/>
          </w:tcPr>
          <w:p>
            <w:pPr>
              <w:spacing w:after="0"/>
              <w:rPr>
                <w:sz w:val="1"/>
                <w:szCs w:val="1"/>
                <w:color w:val="auto"/>
              </w:rPr>
            </w:pPr>
          </w:p>
        </w:tc>
      </w:tr>
      <w:tr>
        <w:trPr>
          <w:trHeight w:val="166"/>
        </w:trPr>
        <w:tc>
          <w:tcPr>
            <w:tcW w:w="2600" w:type="dxa"/>
            <w:vAlign w:val="bottom"/>
            <w:vMerge w:val="restart"/>
          </w:tcPr>
          <w:p>
            <w:pPr>
              <w:spacing w:after="0"/>
              <w:rPr>
                <w:sz w:val="20"/>
                <w:szCs w:val="20"/>
                <w:color w:val="auto"/>
              </w:rPr>
            </w:pPr>
            <w:r>
              <w:rPr>
                <w:rFonts w:ascii="Courier New" w:cs="Courier New" w:eastAsia="Courier New" w:hAnsi="Courier New"/>
                <w:sz w:val="14"/>
                <w:szCs w:val="14"/>
                <w:color w:val="auto"/>
              </w:rPr>
              <w:t>Accrued benefit cost</w:t>
            </w: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43,950</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39,804</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2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6.75 percent at August 31, 2002 and 7.0 percent at August 25, 2001. The average assumed health care cost trend rate used in measuring the accumulated postretirement benefit obligations as of August 31, 2002 was 9.4 percent, decreasing each successive year until it reaches 5.0 percent in 2023 after which it remains constant.</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56" w:right="1440" w:bottom="617" w:gutter="0" w:footer="0" w:header="0"/>
        </w:sectPr>
      </w:pPr>
    </w:p>
    <w:bookmarkStart w:id="60" w:name="page61"/>
    <w:bookmarkEnd w:id="60"/>
    <w:p>
      <w:pPr>
        <w:jc w:val="right"/>
        <w:ind w:right="3339"/>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postretirement benefit expense for the fiscal years ended August 31, 2002,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2001 and August 26, 2000 consisted of the following components:</w:t>
      </w:r>
    </w:p>
    <w:p>
      <w:pPr>
        <w:spacing w:after="0" w:line="147" w:lineRule="exact"/>
        <w:rPr>
          <w:sz w:val="20"/>
          <w:szCs w:val="20"/>
          <w:color w:val="auto"/>
        </w:rPr>
      </w:pPr>
    </w:p>
    <w:p>
      <w:pPr>
        <w:ind w:right="5059"/>
        <w:spacing w:after="0" w:line="270" w:lineRule="auto"/>
        <w:rPr>
          <w:sz w:val="20"/>
          <w:szCs w:val="20"/>
          <w:color w:val="auto"/>
        </w:rPr>
      </w:pPr>
      <w:r>
        <w:rPr>
          <w:rFonts w:ascii="Courier New" w:cs="Courier New" w:eastAsia="Courier New" w:hAnsi="Courier New"/>
          <w:sz w:val="14"/>
          <w:szCs w:val="14"/>
          <w:color w:val="auto"/>
        </w:rPr>
        <w:t>(DOLLARS IN AUG. 31, AUG. 25, AUG. 26, THOUSANDS) 2002 2001 2000</w:t>
      </w: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67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Components of net periodic benefit cost</w:t>
      </w:r>
    </w:p>
    <w:tbl>
      <w:tblPr>
        <w:tblLayout w:type="fixed"/>
        <w:tblInd w:w="0" w:type="dxa"/>
        <w:tblCellMar>
          <w:top w:w="0" w:type="dxa"/>
          <w:left w:w="0" w:type="dxa"/>
          <w:bottom w:w="0" w:type="dxa"/>
          <w:right w:w="0" w:type="dxa"/>
        </w:tblCellMar>
      </w:tblPr>
      <w:tr>
        <w:trPr>
          <w:trHeight w:val="141"/>
        </w:trPr>
        <w:tc>
          <w:tcPr>
            <w:tcW w:w="1940" w:type="dxa"/>
            <w:vAlign w:val="bottom"/>
          </w:tcPr>
          <w:p>
            <w:pPr>
              <w:ind w:left="360"/>
              <w:spacing w:after="0" w:line="141" w:lineRule="exact"/>
              <w:rPr>
                <w:sz w:val="20"/>
                <w:szCs w:val="20"/>
                <w:color w:val="auto"/>
              </w:rPr>
            </w:pPr>
            <w:r>
              <w:rPr>
                <w:rFonts w:ascii="Courier New" w:cs="Courier New" w:eastAsia="Courier New" w:hAnsi="Courier New"/>
                <w:sz w:val="14"/>
                <w:szCs w:val="14"/>
                <w:color w:val="auto"/>
              </w:rPr>
              <w:t>Interest cost</w:t>
            </w:r>
          </w:p>
        </w:tc>
        <w:tc>
          <w:tcPr>
            <w:tcW w:w="400" w:type="dxa"/>
            <w:vAlign w:val="bottom"/>
          </w:tcPr>
          <w:p>
            <w:pPr>
              <w:jc w:val="right"/>
              <w:ind w:right="28"/>
              <w:spacing w:after="0" w:line="141"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line="141" w:lineRule="exact"/>
              <w:rPr>
                <w:sz w:val="20"/>
                <w:szCs w:val="20"/>
                <w:color w:val="auto"/>
              </w:rPr>
            </w:pPr>
            <w:r>
              <w:rPr>
                <w:rFonts w:ascii="Courier New" w:cs="Courier New" w:eastAsia="Courier New" w:hAnsi="Courier New"/>
                <w:sz w:val="14"/>
                <w:szCs w:val="14"/>
                <w:color w:val="auto"/>
              </w:rPr>
              <w:t>2,836</w:t>
            </w:r>
          </w:p>
        </w:tc>
        <w:tc>
          <w:tcPr>
            <w:tcW w:w="360" w:type="dxa"/>
            <w:vAlign w:val="bottom"/>
          </w:tcPr>
          <w:p>
            <w:pPr>
              <w:jc w:val="right"/>
              <w:ind w:right="28"/>
              <w:spacing w:after="0" w:line="141"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line="141" w:lineRule="exact"/>
              <w:rPr>
                <w:sz w:val="20"/>
                <w:szCs w:val="20"/>
                <w:color w:val="auto"/>
              </w:rPr>
            </w:pPr>
            <w:r>
              <w:rPr>
                <w:rFonts w:ascii="Courier New" w:cs="Courier New" w:eastAsia="Courier New" w:hAnsi="Courier New"/>
                <w:sz w:val="14"/>
                <w:szCs w:val="14"/>
                <w:color w:val="auto"/>
              </w:rPr>
              <w:t>2,750</w:t>
            </w:r>
          </w:p>
        </w:tc>
        <w:tc>
          <w:tcPr>
            <w:tcW w:w="380" w:type="dxa"/>
            <w:vAlign w:val="bottom"/>
          </w:tcPr>
          <w:p>
            <w:pPr>
              <w:jc w:val="right"/>
              <w:ind w:right="8"/>
              <w:spacing w:after="0" w:line="141"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line="141" w:lineRule="exact"/>
              <w:rPr>
                <w:sz w:val="20"/>
                <w:szCs w:val="20"/>
                <w:color w:val="auto"/>
              </w:rPr>
            </w:pPr>
            <w:r>
              <w:rPr>
                <w:rFonts w:ascii="Courier New" w:cs="Courier New" w:eastAsia="Courier New" w:hAnsi="Courier New"/>
                <w:sz w:val="14"/>
                <w:szCs w:val="14"/>
                <w:color w:val="auto"/>
              </w:rPr>
              <w:t>1,953</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Service cost</w:t>
            </w:r>
          </w:p>
        </w:tc>
        <w:tc>
          <w:tcPr>
            <w:tcW w:w="40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2,079</w:t>
            </w:r>
          </w:p>
        </w:tc>
        <w:tc>
          <w:tcPr>
            <w:tcW w:w="3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1,955</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1,714</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Net amortization</w:t>
            </w:r>
          </w:p>
        </w:tc>
        <w:tc>
          <w:tcPr>
            <w:tcW w:w="40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36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3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(129)</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and deferral</w:t>
            </w: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40" w:type="dxa"/>
            <w:vAlign w:val="bottom"/>
            <w:vMerge w:val="restart"/>
          </w:tcPr>
          <w:p>
            <w:pPr>
              <w:spacing w:after="0"/>
              <w:rPr>
                <w:sz w:val="20"/>
                <w:szCs w:val="20"/>
                <w:color w:val="auto"/>
              </w:rPr>
            </w:pPr>
            <w:r>
              <w:rPr>
                <w:rFonts w:ascii="Courier New" w:cs="Courier New" w:eastAsia="Courier New" w:hAnsi="Courier New"/>
                <w:sz w:val="14"/>
                <w:szCs w:val="14"/>
                <w:color w:val="auto"/>
              </w:rPr>
              <w:t>Net periodic</w:t>
            </w:r>
          </w:p>
        </w:tc>
        <w:tc>
          <w:tcPr>
            <w:tcW w:w="33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940" w:type="dxa"/>
            <w:vAlign w:val="bottom"/>
            <w:vMerge w:val="continue"/>
          </w:tcPr>
          <w:p>
            <w:pPr>
              <w:spacing w:after="0"/>
              <w:rPr>
                <w:sz w:val="7"/>
                <w:szCs w:val="7"/>
                <w:color w:val="auto"/>
              </w:rPr>
            </w:pPr>
          </w:p>
        </w:tc>
        <w:tc>
          <w:tcPr>
            <w:tcW w:w="4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4,722</w:t>
            </w:r>
          </w:p>
        </w:tc>
        <w:tc>
          <w:tcPr>
            <w:tcW w:w="3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4,640</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3,538</w:t>
            </w:r>
          </w:p>
        </w:tc>
        <w:tc>
          <w:tcPr>
            <w:tcW w:w="0" w:type="dxa"/>
            <w:vAlign w:val="bottom"/>
          </w:tcPr>
          <w:p>
            <w:pPr>
              <w:spacing w:after="0"/>
              <w:rPr>
                <w:sz w:val="1"/>
                <w:szCs w:val="1"/>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benefit cost</w:t>
            </w:r>
          </w:p>
        </w:tc>
        <w:tc>
          <w:tcPr>
            <w:tcW w:w="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33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plans. A one percentage point change in assumed health care cost trend rates would have the following effects: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ONE</w:t>
            </w:r>
          </w:p>
        </w:tc>
        <w:tc>
          <w:tcPr>
            <w:tcW w:w="10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ONE</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PERCENTAGE</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PERCENTAGE</w:t>
            </w: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POINT</w:t>
            </w:r>
          </w:p>
        </w:tc>
        <w:tc>
          <w:tcPr>
            <w:tcW w:w="1080" w:type="dxa"/>
            <w:vAlign w:val="bottom"/>
          </w:tcPr>
          <w:p>
            <w:pPr>
              <w:jc w:val="center"/>
              <w:ind w:left="228"/>
              <w:spacing w:after="0"/>
              <w:rPr>
                <w:sz w:val="20"/>
                <w:szCs w:val="20"/>
                <w:color w:val="auto"/>
              </w:rPr>
            </w:pPr>
            <w:r>
              <w:rPr>
                <w:rFonts w:ascii="Courier New" w:cs="Courier New" w:eastAsia="Courier New" w:hAnsi="Courier New"/>
                <w:sz w:val="14"/>
                <w:szCs w:val="14"/>
                <w:color w:val="auto"/>
                <w:w w:val="99"/>
              </w:rPr>
              <w:t>POINT</w:t>
            </w:r>
          </w:p>
        </w:tc>
        <w:tc>
          <w:tcPr>
            <w:tcW w:w="0" w:type="dxa"/>
            <w:vAlign w:val="bottom"/>
          </w:tcPr>
          <w:p>
            <w:pPr>
              <w:spacing w:after="0"/>
              <w:rPr>
                <w:sz w:val="1"/>
                <w:szCs w:val="1"/>
                <w:color w:val="auto"/>
              </w:rPr>
            </w:pPr>
          </w:p>
        </w:tc>
      </w:tr>
      <w:tr>
        <w:trPr>
          <w:trHeight w:val="192"/>
        </w:trPr>
        <w:tc>
          <w:tcPr>
            <w:tcW w:w="21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INCREASE</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DECREASE</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3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total of service and interest</w:t>
      </w:r>
    </w:p>
    <w:tbl>
      <w:tblPr>
        <w:tblLayout w:type="fixed"/>
        <w:tblInd w:w="0" w:type="dxa"/>
        <w:tblCellMar>
          <w:top w:w="0" w:type="dxa"/>
          <w:left w:w="0" w:type="dxa"/>
          <w:bottom w:w="0" w:type="dxa"/>
          <w:right w:w="0" w:type="dxa"/>
        </w:tblCellMar>
      </w:tblPr>
      <w:tr>
        <w:trPr>
          <w:trHeight w:val="141"/>
        </w:trPr>
        <w:tc>
          <w:tcPr>
            <w:tcW w:w="2300" w:type="dxa"/>
            <w:vAlign w:val="bottom"/>
          </w:tcPr>
          <w:p>
            <w:pPr>
              <w:ind w:left="180"/>
              <w:spacing w:after="0" w:line="141" w:lineRule="exact"/>
              <w:rPr>
                <w:sz w:val="20"/>
                <w:szCs w:val="20"/>
                <w:color w:val="auto"/>
              </w:rPr>
            </w:pPr>
            <w:r>
              <w:rPr>
                <w:rFonts w:ascii="Courier New" w:cs="Courier New" w:eastAsia="Courier New" w:hAnsi="Courier New"/>
                <w:sz w:val="14"/>
                <w:szCs w:val="14"/>
                <w:color w:val="auto"/>
              </w:rPr>
              <w:t>cost components</w:t>
            </w:r>
          </w:p>
        </w:tc>
        <w:tc>
          <w:tcPr>
            <w:tcW w:w="380" w:type="dxa"/>
            <w:vAlign w:val="bottom"/>
          </w:tcPr>
          <w:p>
            <w:pPr>
              <w:jc w:val="right"/>
              <w:ind w:right="8"/>
              <w:spacing w:after="0" w:line="141"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line="141" w:lineRule="exact"/>
              <w:rPr>
                <w:sz w:val="20"/>
                <w:szCs w:val="20"/>
                <w:color w:val="auto"/>
              </w:rPr>
            </w:pPr>
            <w:r>
              <w:rPr>
                <w:rFonts w:ascii="Courier New" w:cs="Courier New" w:eastAsia="Courier New" w:hAnsi="Courier New"/>
                <w:sz w:val="14"/>
                <w:szCs w:val="14"/>
                <w:color w:val="auto"/>
              </w:rPr>
              <w:t>1,401</w:t>
            </w:r>
          </w:p>
        </w:tc>
        <w:tc>
          <w:tcPr>
            <w:tcW w:w="380" w:type="dxa"/>
            <w:vAlign w:val="bottom"/>
          </w:tcPr>
          <w:p>
            <w:pPr>
              <w:jc w:val="right"/>
              <w:ind w:right="8"/>
              <w:spacing w:after="0" w:line="141"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rPr>
              <w:t>(1,034)</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Effect on postretirement</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11,369</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(8,535)</w:t>
            </w:r>
          </w:p>
        </w:tc>
        <w:tc>
          <w:tcPr>
            <w:tcW w:w="0" w:type="dxa"/>
            <w:vAlign w:val="bottom"/>
          </w:tcPr>
          <w:p>
            <w:pPr>
              <w:spacing w:after="0"/>
              <w:rPr>
                <w:sz w:val="1"/>
                <w:szCs w:val="1"/>
                <w:color w:val="auto"/>
              </w:rPr>
            </w:pPr>
          </w:p>
        </w:tc>
      </w:tr>
      <w:tr>
        <w:trPr>
          <w:trHeight w:val="242"/>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3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Summary of postretirement health care and deferred compensation benefits at fiscal year-end are as follows:</w:t>
      </w:r>
    </w:p>
    <w:p>
      <w:pPr>
        <w:spacing w:after="0" w:line="1" w:lineRule="exact"/>
        <w:rPr>
          <w:sz w:val="20"/>
          <w:szCs w:val="20"/>
          <w:color w:val="auto"/>
        </w:rPr>
      </w:pPr>
    </w:p>
    <w:p>
      <w:pPr>
        <w:spacing w:after="0"/>
        <w:tabs>
          <w:tab w:leader="none" w:pos="2740" w:val="left"/>
          <w:tab w:leader="none" w:pos="3860" w:val="left"/>
        </w:tabs>
        <w:rPr>
          <w:sz w:val="20"/>
          <w:szCs w:val="20"/>
          <w:color w:val="auto"/>
        </w:rPr>
      </w:pPr>
      <w:r>
        <w:rPr>
          <w:rFonts w:ascii="Courier New" w:cs="Courier New" w:eastAsia="Courier New" w:hAnsi="Courier New"/>
          <w:sz w:val="14"/>
          <w:szCs w:val="14"/>
          <w:color w:val="auto"/>
        </w:rPr>
        <w:t>(DOLLARS IN</w:t>
      </w:r>
      <w:r>
        <w:rPr>
          <w:sz w:val="20"/>
          <w:szCs w:val="20"/>
          <w:color w:val="auto"/>
        </w:rPr>
        <w:tab/>
      </w:r>
      <w:r>
        <w:rPr>
          <w:rFonts w:ascii="Courier New" w:cs="Courier New" w:eastAsia="Courier New" w:hAnsi="Courier New"/>
          <w:sz w:val="14"/>
          <w:szCs w:val="14"/>
          <w:color w:val="auto"/>
        </w:rPr>
        <w:t>AUG. 31,</w:t>
      </w:r>
      <w:r>
        <w:rPr>
          <w:sz w:val="20"/>
          <w:szCs w:val="20"/>
          <w:color w:val="auto"/>
        </w:rPr>
        <w:tab/>
      </w:r>
      <w:r>
        <w:rPr>
          <w:rFonts w:ascii="Courier New" w:cs="Courier New" w:eastAsia="Courier New" w:hAnsi="Courier New"/>
          <w:sz w:val="14"/>
          <w:szCs w:val="14"/>
          <w:color w:val="auto"/>
        </w:rPr>
        <w:t>AUG. 25,</w:t>
      </w:r>
    </w:p>
    <w:p>
      <w:pPr>
        <w:spacing w:after="0" w:line="33" w:lineRule="exact"/>
        <w:rPr>
          <w:sz w:val="20"/>
          <w:szCs w:val="20"/>
          <w:color w:val="auto"/>
        </w:rPr>
      </w:pPr>
    </w:p>
    <w:p>
      <w:pPr>
        <w:spacing w:after="0"/>
        <w:tabs>
          <w:tab w:leader="none" w:pos="2920" w:val="left"/>
          <w:tab w:leader="none" w:pos="4040" w:val="left"/>
        </w:tabs>
        <w:rPr>
          <w:sz w:val="20"/>
          <w:szCs w:val="20"/>
          <w:color w:val="auto"/>
        </w:rPr>
      </w:pPr>
      <w:r>
        <w:rPr>
          <w:rFonts w:ascii="Courier New" w:cs="Courier New" w:eastAsia="Courier New" w:hAnsi="Courier New"/>
          <w:sz w:val="14"/>
          <w:szCs w:val="14"/>
          <w:color w:val="auto"/>
        </w:rPr>
        <w:t>THOUSANDS)</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340" w:type="dxa"/>
            <w:vAlign w:val="bottom"/>
          </w:tcPr>
          <w:p>
            <w:pPr>
              <w:spacing w:after="0" w:line="147" w:lineRule="exact"/>
              <w:rPr>
                <w:sz w:val="20"/>
                <w:szCs w:val="20"/>
                <w:color w:val="auto"/>
              </w:rPr>
            </w:pPr>
            <w:r>
              <w:rPr>
                <w:rFonts w:ascii="Courier New" w:cs="Courier New" w:eastAsia="Courier New" w:hAnsi="Courier New"/>
                <w:sz w:val="14"/>
                <w:szCs w:val="14"/>
                <w:color w:val="auto"/>
              </w:rPr>
              <w:t>Accrued benefit cost</w:t>
            </w:r>
          </w:p>
        </w:tc>
        <w:tc>
          <w:tcPr>
            <w:tcW w:w="52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line="147" w:lineRule="exact"/>
              <w:rPr>
                <w:sz w:val="20"/>
                <w:szCs w:val="20"/>
                <w:color w:val="auto"/>
              </w:rPr>
            </w:pPr>
            <w:r>
              <w:rPr>
                <w:rFonts w:ascii="Courier New" w:cs="Courier New" w:eastAsia="Courier New" w:hAnsi="Courier New"/>
                <w:sz w:val="14"/>
                <w:szCs w:val="14"/>
                <w:color w:val="auto"/>
              </w:rPr>
              <w:t>43,950</w:t>
            </w:r>
          </w:p>
        </w:tc>
        <w:tc>
          <w:tcPr>
            <w:tcW w:w="36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39,804</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52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24,711</w:t>
            </w:r>
          </w:p>
        </w:tc>
        <w:tc>
          <w:tcPr>
            <w:tcW w:w="3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24,646</w:t>
            </w:r>
          </w:p>
        </w:tc>
        <w:tc>
          <w:tcPr>
            <w:tcW w:w="0" w:type="dxa"/>
            <w:vAlign w:val="bottom"/>
          </w:tcPr>
          <w:p>
            <w:pPr>
              <w:spacing w:after="0"/>
              <w:rPr>
                <w:sz w:val="1"/>
                <w:szCs w:val="1"/>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liability</w:t>
            </w: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Total postretirement</w:t>
            </w: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health care and</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deferred compensation</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68,661</w:t>
            </w:r>
          </w:p>
        </w:tc>
        <w:tc>
          <w:tcPr>
            <w:tcW w:w="3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64,450</w:t>
            </w:r>
          </w:p>
        </w:tc>
        <w:tc>
          <w:tcPr>
            <w:tcW w:w="0" w:type="dxa"/>
            <w:vAlign w:val="bottom"/>
          </w:tcPr>
          <w:p>
            <w:pPr>
              <w:spacing w:after="0"/>
              <w:rPr>
                <w:sz w:val="1"/>
                <w:szCs w:val="1"/>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1"/>
                <w:szCs w:val="21"/>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CONTINGENT LIABILITIES AND COMMITMENTS</w:t>
      </w:r>
    </w:p>
    <w:p>
      <w:pPr>
        <w:spacing w:after="0" w:line="3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 repurchase agreement. These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obligations under these repurchase agreements are reduced by the proceeds received upon the sale of any repurchased unit. The Company's contingent liability on all repurchase agreements was approximately $245,828,000 and $216,784,000 at August 31, 2002 and August 25, 2001, respectively. The Company's losses under repurchase agreements were approximately $81,000, $197,000, and $282,000 during fiscal 2002, 2001 and 2000, respectively.</w:t>
      </w:r>
    </w:p>
    <w:p>
      <w:pPr>
        <w:spacing w:after="0" w:line="251"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Included in these contingent liabilities are certain dealer receivables subject to full recourse to the Company with Bank of America Specialty Group and Conseco Financing Servicing Group. Contingent liabilities under these recourse agreements were $1,049,000 and $3,276,000 at August 31, 2002 and August 25, 2001, respectively. The Company did not incur any actual losses under these recourse agreements during fiscal 2002, 2001 and 2000.</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self-insures for a portion of product liability claims.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Self-insurance retention liability varies annually based on market 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for the past five fiscal years was at $2,500,000 per occurrence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$6,000,000 in aggregate per policy year. Liabilities in excess of these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the responsibility of the insurer.</w:t>
      </w:r>
    </w:p>
    <w:p>
      <w:pPr>
        <w:spacing w:after="0" w:line="147"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The Company and the Winnebago Industries, Inc. Deferred Compensation Plan, Winnebago Industries, Inc. Deferred</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756" w:right="1440" w:bottom="12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right="3419"/>
        <w:spacing w:after="0" w:line="256" w:lineRule="auto"/>
        <w:rPr>
          <w:sz w:val="20"/>
          <w:szCs w:val="20"/>
          <w:color w:val="auto"/>
        </w:rPr>
      </w:pPr>
      <w:r>
        <w:rPr>
          <w:rFonts w:ascii="Courier New" w:cs="Courier New" w:eastAsia="Courier New" w:hAnsi="Courier New"/>
          <w:sz w:val="14"/>
          <w:szCs w:val="14"/>
          <w:color w:val="auto"/>
        </w:rPr>
        <w:t>Incentive Formula Bonus Plan and Winnebago Industries, Inc. Deferred Compensation Plan and Deferred Bonus Plan Trust are Defendants in a purported class action title Sanft, et al vs. Winnebago Industries, Inc., at al which was filed in the United States District Court, Northern District of Iowa, Central Division, on August 30, 2001 and is currently pending. The Complaint alleges a class consisting of participants in the Winnebago Industries, Inc. Deferred Compensation Plan and the Winnebago Industries, Inc. Deferred Incentive Formula Bonus Plan (the "Plans") and alleges 23 separate causes of action including declaratory and injunctive relief, Federal common law unjust enrichment, breach of fiduciary duty and violation of ERISA vesting provisions and ERISA funding requirements. The suit seeks to negate certain amendments made to the Plans in 1994 which reduced the benefits which some participants would receive under the Plans. This action has not been certified as a class action. The Company believes that the Defendants have meritorious defenses to class certification and as to the Plaintiff's substantive claims. The Company is vigorously defending the lawsuit and will oppose any attempt by the Plaintiffs to have the case certified as a class action. The case is currently set for trial in June 2004. As of August 31, 2002, the Company has accrued estimated legal fees for the defense of the case. However, no other amounts have been accrued for the case because it is not possible at this time to properly assess the risk of an adverse verdict or the magnitude of possible exposure.</w:t>
      </w:r>
    </w:p>
    <w:p>
      <w:pPr>
        <w:spacing w:after="0" w:line="9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The Company is also involved in other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7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7:</w:t>
        <w:tab/>
        <w:t>INCOME TAXES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w:t>
            </w:r>
          </w:p>
        </w:tc>
        <w:tc>
          <w:tcPr>
            <w:tcW w:w="1680" w:type="dxa"/>
            <w:vAlign w:val="bottom"/>
            <w:vMerge w:val="restart"/>
          </w:tcPr>
          <w:p>
            <w:pPr>
              <w:jc w:val="center"/>
              <w:ind w:left="648"/>
              <w:spacing w:after="0"/>
              <w:rPr>
                <w:sz w:val="20"/>
                <w:szCs w:val="20"/>
                <w:color w:val="auto"/>
              </w:rPr>
            </w:pPr>
            <w:r>
              <w:rPr>
                <w:rFonts w:ascii="Courier New" w:cs="Courier New" w:eastAsia="Courier New" w:hAnsi="Courier New"/>
                <w:sz w:val="14"/>
                <w:szCs w:val="14"/>
                <w:color w:val="auto"/>
              </w:rPr>
              <w:t>AUG. 31,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vMerge w:val="restart"/>
          </w:tcPr>
          <w:p>
            <w:pPr>
              <w:jc w:val="center"/>
              <w:ind w:left="188"/>
              <w:spacing w:after="0"/>
              <w:rPr>
                <w:sz w:val="20"/>
                <w:szCs w:val="20"/>
                <w:color w:val="auto"/>
              </w:rPr>
            </w:pPr>
            <w:r>
              <w:rPr>
                <w:rFonts w:ascii="Courier New" w:cs="Courier New" w:eastAsia="Courier New" w:hAnsi="Courier New"/>
                <w:sz w:val="14"/>
                <w:szCs w:val="14"/>
                <w:color w:val="auto"/>
              </w:rPr>
              <w:t>AUG. 26,</w:t>
            </w:r>
          </w:p>
        </w:tc>
        <w:tc>
          <w:tcPr>
            <w:tcW w:w="0" w:type="dxa"/>
            <w:vAlign w:val="bottom"/>
          </w:tcPr>
          <w:p>
            <w:pPr>
              <w:spacing w:after="0"/>
              <w:rPr>
                <w:sz w:val="1"/>
                <w:szCs w:val="1"/>
                <w:color w:val="auto"/>
              </w:rPr>
            </w:pPr>
          </w:p>
        </w:tc>
      </w:tr>
      <w:tr>
        <w:trPr>
          <w:trHeight w:val="166"/>
        </w:trPr>
        <w:tc>
          <w:tcPr>
            <w:tcW w:w="18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 25,</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tbl>
      <w:tblPr>
        <w:tblLayout w:type="fixed"/>
        <w:tblInd w:w="0" w:type="dxa"/>
        <w:tblCellMar>
          <w:top w:w="0" w:type="dxa"/>
          <w:left w:w="0" w:type="dxa"/>
          <w:bottom w:w="0" w:type="dxa"/>
          <w:right w:w="0" w:type="dxa"/>
        </w:tblCellMar>
      </w:tblPr>
      <w:tr>
        <w:trPr>
          <w:trHeight w:val="147"/>
        </w:trPr>
        <w:tc>
          <w:tcPr>
            <w:tcW w:w="1980" w:type="dxa"/>
            <w:vAlign w:val="bottom"/>
          </w:tcPr>
          <w:p>
            <w:pPr>
              <w:ind w:left="360"/>
              <w:spacing w:after="0" w:line="147" w:lineRule="exact"/>
              <w:rPr>
                <w:sz w:val="20"/>
                <w:szCs w:val="20"/>
                <w:color w:val="auto"/>
              </w:rPr>
            </w:pPr>
            <w:r>
              <w:rPr>
                <w:rFonts w:ascii="Courier New" w:cs="Courier New" w:eastAsia="Courier New" w:hAnsi="Courier New"/>
                <w:sz w:val="14"/>
                <w:szCs w:val="14"/>
                <w:color w:val="auto"/>
              </w:rPr>
              <w:t>Federal</w:t>
            </w:r>
          </w:p>
        </w:tc>
        <w:tc>
          <w:tcPr>
            <w:tcW w:w="164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$ 29,666</w:t>
            </w:r>
          </w:p>
        </w:tc>
        <w:tc>
          <w:tcPr>
            <w:tcW w:w="116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$ 16,448</w:t>
            </w:r>
          </w:p>
        </w:tc>
        <w:tc>
          <w:tcPr>
            <w:tcW w:w="3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27,162</w:t>
            </w:r>
          </w:p>
        </w:tc>
        <w:tc>
          <w:tcPr>
            <w:tcW w:w="0" w:type="dxa"/>
            <w:vAlign w:val="bottom"/>
          </w:tcPr>
          <w:p>
            <w:pPr>
              <w:spacing w:after="0"/>
              <w:rPr>
                <w:sz w:val="1"/>
                <w:szCs w:val="1"/>
                <w:color w:val="auto"/>
              </w:rPr>
            </w:pPr>
          </w:p>
        </w:tc>
      </w:tr>
      <w:tr>
        <w:trPr>
          <w:trHeight w:val="166"/>
        </w:trPr>
        <w:tc>
          <w:tcPr>
            <w:tcW w:w="198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w:t>
            </w:r>
          </w:p>
        </w:tc>
        <w:tc>
          <w:tcPr>
            <w:tcW w:w="3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30,512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16,972</w:t>
            </w:r>
          </w:p>
        </w:tc>
        <w:tc>
          <w:tcPr>
            <w:tcW w:w="36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28,267</w:t>
            </w: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Deferred -</w:t>
            </w: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(principally</w:t>
            </w:r>
          </w:p>
        </w:tc>
        <w:tc>
          <w:tcPr>
            <w:tcW w:w="16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(1,127)</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(1,498)</w:t>
            </w:r>
          </w:p>
        </w:tc>
        <w:tc>
          <w:tcPr>
            <w:tcW w:w="3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(2,674)</w:t>
            </w:r>
          </w:p>
        </w:tc>
        <w:tc>
          <w:tcPr>
            <w:tcW w:w="0" w:type="dxa"/>
            <w:vAlign w:val="bottom"/>
          </w:tcPr>
          <w:p>
            <w:pPr>
              <w:spacing w:after="0"/>
              <w:rPr>
                <w:sz w:val="1"/>
                <w:szCs w:val="1"/>
                <w:color w:val="auto"/>
              </w:rPr>
            </w:pP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16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8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Total provision</w:t>
            </w:r>
          </w:p>
        </w:tc>
        <w:tc>
          <w:tcPr>
            <w:tcW w:w="3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80" w:type="dxa"/>
            <w:vAlign w:val="bottom"/>
            <w:vMerge w:val="continue"/>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$ 29,385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$ 15,474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25,593</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3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119"/>
        <w:spacing w:after="0" w:line="376" w:lineRule="auto"/>
        <w:rPr>
          <w:sz w:val="20"/>
          <w:szCs w:val="20"/>
          <w:color w:val="auto"/>
        </w:rPr>
      </w:pPr>
      <w:r>
        <w:rPr>
          <w:rFonts w:ascii="Courier New" w:cs="Courier New" w:eastAsia="Courier New" w:hAnsi="Courier New"/>
          <w:sz w:val="14"/>
          <w:szCs w:val="14"/>
          <w:color w:val="auto"/>
        </w:rPr>
        <w:t>The following is a reconciliation of the U.S. statutory tax rate to the effective income tax rates (benefit) provided:</w:t>
      </w:r>
    </w:p>
    <w:p>
      <w:pPr>
        <w:spacing w:after="0" w:line="331" w:lineRule="exact"/>
        <w:rPr>
          <w:sz w:val="20"/>
          <w:szCs w:val="20"/>
          <w:color w:val="auto"/>
        </w:rPr>
      </w:pPr>
    </w:p>
    <w:tbl>
      <w:tblPr>
        <w:tblLayout w:type="fixed"/>
        <w:tblInd w:w="3540" w:type="dxa"/>
        <w:tblCellMar>
          <w:top w:w="0" w:type="dxa"/>
          <w:left w:w="0" w:type="dxa"/>
          <w:bottom w:w="0" w:type="dxa"/>
          <w:right w:w="0" w:type="dxa"/>
        </w:tblCellMar>
      </w:tblPr>
      <w:tr>
        <w:trPr>
          <w:trHeight w:val="166"/>
        </w:trPr>
        <w:tc>
          <w:tcPr>
            <w:tcW w:w="1720" w:type="dxa"/>
            <w:vAlign w:val="bottom"/>
            <w:vMerge w:val="restart"/>
          </w:tcPr>
          <w:p>
            <w:pPr>
              <w:spacing w:after="0"/>
              <w:rPr>
                <w:sz w:val="20"/>
                <w:szCs w:val="20"/>
                <w:color w:val="auto"/>
              </w:rPr>
            </w:pPr>
            <w:r>
              <w:rPr>
                <w:rFonts w:ascii="Courier New" w:cs="Courier New" w:eastAsia="Courier New" w:hAnsi="Courier New"/>
                <w:sz w:val="14"/>
                <w:szCs w:val="14"/>
                <w:color w:val="auto"/>
              </w:rPr>
              <w:t>AUGUST 31, 2002</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YEAR ENDED</w:t>
            </w:r>
          </w:p>
        </w:tc>
        <w:tc>
          <w:tcPr>
            <w:tcW w:w="1720" w:type="dxa"/>
            <w:vAlign w:val="bottom"/>
            <w:vMerge w:val="restart"/>
          </w:tcPr>
          <w:p>
            <w:pPr>
              <w:ind w:left="420"/>
              <w:spacing w:after="0"/>
              <w:rPr>
                <w:sz w:val="20"/>
                <w:szCs w:val="20"/>
                <w:color w:val="auto"/>
              </w:rPr>
            </w:pPr>
            <w:r>
              <w:rPr>
                <w:rFonts w:ascii="Courier New" w:cs="Courier New" w:eastAsia="Courier New" w:hAnsi="Courier New"/>
                <w:sz w:val="14"/>
                <w:szCs w:val="14"/>
                <w:color w:val="auto"/>
              </w:rPr>
              <w:t>AUGUST 26, 2000</w:t>
            </w:r>
          </w:p>
        </w:tc>
        <w:tc>
          <w:tcPr>
            <w:tcW w:w="0" w:type="dxa"/>
            <w:vAlign w:val="bottom"/>
          </w:tcPr>
          <w:p>
            <w:pPr>
              <w:spacing w:after="0"/>
              <w:rPr>
                <w:sz w:val="1"/>
                <w:szCs w:val="1"/>
                <w:color w:val="auto"/>
              </w:rPr>
            </w:pPr>
          </w:p>
        </w:tc>
      </w:tr>
      <w:tr>
        <w:trPr>
          <w:trHeight w:val="192"/>
        </w:trPr>
        <w:tc>
          <w:tcPr>
            <w:tcW w:w="1720" w:type="dxa"/>
            <w:vAlign w:val="bottom"/>
            <w:vMerge w:val="continue"/>
          </w:tcPr>
          <w:p>
            <w:pPr>
              <w:spacing w:after="0"/>
              <w:rPr>
                <w:sz w:val="16"/>
                <w:szCs w:val="16"/>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AUGUST 25, 2001</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U.S. federal statutory rate</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35.0%</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35.0%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w w:val="95"/>
              </w:rPr>
              <w:t>0.6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Life insurance premiums</w:t>
            </w: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0.1</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w w:val="95"/>
              </w:rPr>
              <w:t>0.1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Previously unrecorded tax benefits</w:t>
            </w:r>
          </w:p>
        </w:tc>
        <w:tc>
          <w:tcPr>
            <w:tcW w:w="19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(7.7)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(0.5)</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Foreign sales corporation commissions</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(0.2)</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surrender value</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(0.5)</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(0.7)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(0.5)</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(0.5)</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66"/>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58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80" w:type="dxa"/>
            <w:vAlign w:val="bottom"/>
            <w:vMerge w:val="continue"/>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35.0%</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26.1%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34.6%</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58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3"/>
        </w:trPr>
        <w:tc>
          <w:tcPr>
            <w:tcW w:w="3280" w:type="dxa"/>
            <w:vAlign w:val="bottom"/>
          </w:tcPr>
          <w:p>
            <w:pPr>
              <w:spacing w:after="0"/>
              <w:rPr>
                <w:sz w:val="24"/>
                <w:szCs w:val="24"/>
                <w:color w:val="auto"/>
              </w:rPr>
            </w:pPr>
          </w:p>
        </w:tc>
        <w:tc>
          <w:tcPr>
            <w:tcW w:w="19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32</w:t>
            </w:r>
          </w:p>
        </w:tc>
        <w:tc>
          <w:tcPr>
            <w:tcW w:w="2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62" w:name="page63"/>
    <w:bookmarkEnd w:id="62"/>
    <w:p>
      <w:pPr>
        <w:ind w:left="63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right="3599"/>
        <w:spacing w:after="0" w:line="376" w:lineRule="auto"/>
        <w:rPr>
          <w:sz w:val="20"/>
          <w:szCs w:val="20"/>
          <w:color w:val="auto"/>
        </w:rPr>
      </w:pPr>
      <w:r>
        <w:rPr>
          <w:rFonts w:ascii="Courier New" w:cs="Courier New" w:eastAsia="Courier New" w:hAnsi="Courier New"/>
          <w:sz w:val="14"/>
          <w:szCs w:val="14"/>
          <w:color w:val="auto"/>
        </w:rPr>
        <w:t>The tax effect of significant items comprising the Company's net deferred tax assets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126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ASSETS</w:t>
            </w: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AUGUST 31, 2002</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AUGUST 25, 2001</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LIABILITIES</w:t>
            </w:r>
          </w:p>
        </w:tc>
        <w:tc>
          <w:tcPr>
            <w:tcW w:w="900" w:type="dxa"/>
            <w:vAlign w:val="bottom"/>
            <w:vMerge w:val="continue"/>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2,847</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$ 2,847</w:t>
            </w:r>
          </w:p>
        </w:tc>
        <w:tc>
          <w:tcPr>
            <w:tcW w:w="16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$ 2,825</w:t>
            </w: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Warranty reserves</w:t>
            </w: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Self-insurance reserve</w:t>
            </w: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1,544</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1,544</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1,598</w:t>
            </w: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Accrued vacation</w:t>
            </w: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1,538</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1,404</w:t>
            </w: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Miscellaneous reserves</w:t>
            </w: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1,594</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896</w:t>
            </w:r>
          </w:p>
        </w:tc>
        <w:tc>
          <w:tcPr>
            <w:tcW w:w="0" w:type="dxa"/>
            <w:vAlign w:val="bottom"/>
          </w:tcPr>
          <w:p>
            <w:pPr>
              <w:spacing w:after="0"/>
              <w:rPr>
                <w:sz w:val="1"/>
                <w:szCs w:val="1"/>
                <w:color w:val="auto"/>
              </w:rPr>
            </w:pPr>
          </w:p>
        </w:tc>
      </w:tr>
      <w:tr>
        <w:trPr>
          <w:trHeight w:val="166"/>
        </w:trPr>
        <w:tc>
          <w:tcPr>
            <w:tcW w:w="35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Subtotal</w:t>
            </w: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7,523</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6,723</w:t>
            </w:r>
          </w:p>
        </w:tc>
        <w:tc>
          <w:tcPr>
            <w:tcW w:w="0" w:type="dxa"/>
            <w:vAlign w:val="bottom"/>
          </w:tcPr>
          <w:p>
            <w:pPr>
              <w:spacing w:after="0"/>
              <w:rPr>
                <w:sz w:val="1"/>
                <w:szCs w:val="1"/>
                <w:color w:val="auto"/>
              </w:rPr>
            </w:pPr>
          </w:p>
        </w:tc>
      </w:tr>
      <w:tr>
        <w:trPr>
          <w:trHeight w:val="242"/>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Noncurrent</w:t>
            </w: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15,382</w:t>
            </w:r>
          </w:p>
        </w:tc>
        <w:tc>
          <w:tcPr>
            <w:tcW w:w="340" w:type="dxa"/>
            <w:vAlign w:val="bottom"/>
          </w:tcPr>
          <w:p>
            <w:pPr>
              <w:spacing w:after="0"/>
              <w:rPr>
                <w:sz w:val="7"/>
                <w:szCs w:val="7"/>
                <w:color w:val="auto"/>
              </w:rPr>
            </w:pPr>
          </w:p>
        </w:tc>
        <w:tc>
          <w:tcPr>
            <w:tcW w:w="138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15,382</w:t>
            </w:r>
          </w:p>
        </w:tc>
        <w:tc>
          <w:tcPr>
            <w:tcW w:w="16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13,931</w:t>
            </w: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Postretirement health care benefits</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10,967</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10,967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10,788</w:t>
            </w:r>
          </w:p>
        </w:tc>
        <w:tc>
          <w:tcPr>
            <w:tcW w:w="0" w:type="dxa"/>
            <w:vAlign w:val="bottom"/>
          </w:tcPr>
          <w:p>
            <w:pPr>
              <w:spacing w:after="0"/>
              <w:rPr>
                <w:sz w:val="1"/>
                <w:szCs w:val="1"/>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(3,911)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(3,224)</w:t>
            </w:r>
          </w:p>
        </w:tc>
        <w:tc>
          <w:tcPr>
            <w:tcW w:w="0" w:type="dxa"/>
            <w:vAlign w:val="bottom"/>
          </w:tcPr>
          <w:p>
            <w:pPr>
              <w:spacing w:after="0"/>
              <w:rPr>
                <w:sz w:val="1"/>
                <w:szCs w:val="1"/>
                <w:color w:val="auto"/>
              </w:rPr>
            </w:pPr>
          </w:p>
        </w:tc>
      </w:tr>
      <w:tr>
        <w:trPr>
          <w:trHeight w:val="166"/>
        </w:trPr>
        <w:tc>
          <w:tcPr>
            <w:tcW w:w="35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Subtotal</w:t>
            </w: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26,349</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(3,911)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22,438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21,495</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$ 33,872</w:t>
            </w:r>
          </w:p>
        </w:tc>
        <w:tc>
          <w:tcPr>
            <w:tcW w:w="17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$(4,527)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$29,345</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$28,218</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3540" w:type="dxa"/>
            <w:vAlign w:val="bottom"/>
          </w:tcPr>
          <w:p>
            <w:pPr>
              <w:spacing w:after="0"/>
              <w:rPr>
                <w:sz w:val="20"/>
                <w:szCs w:val="20"/>
                <w:color w:val="auto"/>
              </w:rPr>
            </w:pPr>
            <w:r>
              <w:rPr>
                <w:rFonts w:ascii="Courier New" w:cs="Courier New" w:eastAsia="Courier New" w:hAnsi="Courier New"/>
                <w:sz w:val="14"/>
                <w:szCs w:val="14"/>
                <w:color w:val="auto"/>
              </w:rPr>
              <w:t>NOTE 8:  FINANCIAL INCOME AND EXPENSE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The following is a reconciliation of financial income (expense):</w:t>
            </w:r>
          </w:p>
        </w:tc>
        <w:tc>
          <w:tcPr>
            <w:tcW w:w="1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64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AUGUST 31, 2002</w:t>
            </w:r>
          </w:p>
        </w:tc>
        <w:tc>
          <w:tcPr>
            <w:tcW w:w="34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258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AUGUST 26, 2000</w:t>
            </w:r>
          </w:p>
        </w:tc>
        <w:tc>
          <w:tcPr>
            <w:tcW w:w="0" w:type="dxa"/>
            <w:vAlign w:val="bottom"/>
          </w:tcPr>
          <w:p>
            <w:pPr>
              <w:spacing w:after="0"/>
              <w:rPr>
                <w:sz w:val="1"/>
                <w:szCs w:val="1"/>
                <w:color w:val="auto"/>
              </w:rPr>
            </w:pPr>
          </w:p>
        </w:tc>
      </w:tr>
      <w:tr>
        <w:trPr>
          <w:trHeight w:val="166"/>
        </w:trPr>
        <w:tc>
          <w:tcPr>
            <w:tcW w:w="354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AUGUST 25, 2001</w:t>
            </w:r>
          </w:p>
        </w:tc>
        <w:tc>
          <w:tcPr>
            <w:tcW w:w="2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4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Dividend income</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2,488</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2,076</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 from investments and</w:t>
            </w:r>
          </w:p>
        </w:tc>
        <w:tc>
          <w:tcPr>
            <w:tcW w:w="38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369</w:t>
            </w:r>
          </w:p>
        </w:tc>
        <w:tc>
          <w:tcPr>
            <w:tcW w:w="340" w:type="dxa"/>
            <w:vAlign w:val="bottom"/>
          </w:tcPr>
          <w:p>
            <w:pPr>
              <w:spacing w:after="0"/>
              <w:rPr>
                <w:sz w:val="14"/>
                <w:szCs w:val="14"/>
                <w:color w:val="auto"/>
              </w:rPr>
            </w:pPr>
          </w:p>
        </w:tc>
        <w:tc>
          <w:tcPr>
            <w:tcW w:w="1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1,332</w:t>
            </w:r>
          </w:p>
        </w:tc>
        <w:tc>
          <w:tcPr>
            <w:tcW w:w="900" w:type="dxa"/>
            <w:vAlign w:val="bottom"/>
          </w:tcPr>
          <w:p>
            <w:pPr>
              <w:spacing w:after="0"/>
              <w:rPr>
                <w:sz w:val="14"/>
                <w:szCs w:val="14"/>
                <w:color w:val="auto"/>
              </w:rPr>
            </w:pPr>
          </w:p>
        </w:tc>
        <w:tc>
          <w:tcPr>
            <w:tcW w:w="168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1,478</w:t>
            </w:r>
          </w:p>
        </w:tc>
        <w:tc>
          <w:tcPr>
            <w:tcW w:w="0" w:type="dxa"/>
            <w:vAlign w:val="bottom"/>
          </w:tcPr>
          <w:p>
            <w:pPr>
              <w:spacing w:after="0"/>
              <w:rPr>
                <w:sz w:val="1"/>
                <w:szCs w:val="1"/>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Gains on foreign currency transactions</w:t>
            </w:r>
          </w:p>
        </w:tc>
        <w:tc>
          <w:tcPr>
            <w:tcW w:w="38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3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spacing w:after="0"/>
              <w:rPr>
                <w:sz w:val="14"/>
                <w:szCs w:val="14"/>
                <w:color w:val="auto"/>
              </w:rPr>
            </w:pPr>
          </w:p>
        </w:tc>
        <w:tc>
          <w:tcPr>
            <w:tcW w:w="16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c>
          <w:tcPr>
            <w:tcW w:w="3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spacing w:after="0"/>
              <w:rPr>
                <w:sz w:val="14"/>
                <w:szCs w:val="14"/>
                <w:color w:val="auto"/>
              </w:rPr>
            </w:pP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(274)</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3,754</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3,338</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594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tab/>
        <w:t>REPURCHASE OF RELATED PARTY STOCK</w:t>
      </w:r>
    </w:p>
    <w:p>
      <w:pPr>
        <w:spacing w:after="0" w:line="3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April 2002, pursuant to an authorization of the Board of Directors, the Company repurchased 2,100,000 shares of common stock from Hanson Capital Partners, LLC ("HCP"). HCP is a Delaware limited liability company whose members are the Luise V. Hanson Qualified Terminable Interest Property Marital Deduction Trust (the "QTIP Trust"), which has a 34.9 percent membership interest in HCP, and the Luise V. Hanson Revocable Trust, dated September 22, 1984 (the "Revocable Trust"), which has a 65.1 percent membership interest in HCP. John V. Hanson, a director of the Company, Mary Jo Boman, the wife of Gerald E. Boman, a director of the Company, Paul D. Hanson and Bessemer Trust Company, N.A. act as co-trustees under the QTIP trust. Mrs. Luise V. Hanson is trustee of the Revocable Trust. Mrs. Hanson is also a controlling person in the Company. Mrs. Hanson is the mother of John V. Hanson, Mary Jo Boman and Paul D. Hanson and the mother-in-law of Gerald E. Boman. The shares were repurchased for an aggregate purchase price of $77,700,000 ($37 per share), plus interest in the amount of $245,765. On the date of the share repurchase, the high and low prices of the Company's common stock on the New York Stock Exchange were $43.70 and $42.35, respectively. The Company utilized its cash on hand and cash becoming available from maturing fixed income securities to pay the purchase price of the stock in three installments with interest at the rate of 4 percent per annum on the outstanding balance.</w:t>
      </w: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5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10:</w:t>
        <w:tab/>
        <w:t>STOCK OPTION PLANS</w:t>
      </w:r>
    </w:p>
    <w:p>
      <w:pPr>
        <w:spacing w:after="0" w:line="33" w:lineRule="exact"/>
        <w:rPr>
          <w:sz w:val="20"/>
          <w:szCs w:val="20"/>
          <w:color w:val="auto"/>
        </w:rPr>
      </w:pPr>
    </w:p>
    <w:p>
      <w:pPr>
        <w:ind w:right="4300"/>
        <w:spacing w:after="0" w:line="272" w:lineRule="auto"/>
        <w:rPr>
          <w:sz w:val="20"/>
          <w:szCs w:val="20"/>
          <w:color w:val="auto"/>
        </w:rPr>
      </w:pPr>
      <w:r>
        <w:rPr>
          <w:rFonts w:ascii="Courier New" w:cs="Courier New" w:eastAsia="Courier New" w:hAnsi="Courier New"/>
          <w:sz w:val="14"/>
          <w:szCs w:val="14"/>
          <w:color w:val="auto"/>
        </w:rPr>
        <w:t>The Company's 1987 stock option plan allowed the granting of nonqualified and incentive stock options to key employees at prices not less than 100 percent of fair market value, determined by the mean of the high and low prices, on the date of grant. The plan expired in fiscal 1997; however, exercisable options representing 35,000 shares remain outstanding at August 31, 2002.</w:t>
      </w:r>
    </w:p>
    <w:p>
      <w:pPr>
        <w:spacing w:after="0" w:line="69" w:lineRule="exact"/>
        <w:rPr>
          <w:sz w:val="20"/>
          <w:szCs w:val="20"/>
          <w:color w:val="auto"/>
        </w:rPr>
      </w:pPr>
    </w:p>
    <w:p>
      <w:pPr>
        <w:ind w:right="4300"/>
        <w:spacing w:after="0" w:line="269" w:lineRule="auto"/>
        <w:rPr>
          <w:sz w:val="20"/>
          <w:szCs w:val="20"/>
          <w:color w:val="auto"/>
        </w:rPr>
      </w:pPr>
      <w:r>
        <w:rPr>
          <w:rFonts w:ascii="Courier New" w:cs="Courier New" w:eastAsia="Courier New" w:hAnsi="Courier New"/>
          <w:sz w:val="14"/>
          <w:szCs w:val="14"/>
          <w:color w:val="auto"/>
        </w:rPr>
        <w:t>The Company's stock option plan for outside directors provided that each director who was not a current or former full-time employee of the Company received an option to purchase 10,000 shares of the Company's common stock at prices equal to 100 percent of the fair market value, determined by the mean of the high and low prices on the date of grant. The Board of Directors has terminated this plan as to future grants. Future grants of options to outside directors are made under the Company's 1997 stock option plan described as follows.</w:t>
      </w:r>
    </w:p>
    <w:p>
      <w:pPr>
        <w:spacing w:after="0" w:line="246" w:lineRule="exact"/>
        <w:rPr>
          <w:sz w:val="20"/>
          <w:szCs w:val="20"/>
          <w:color w:val="auto"/>
        </w:rPr>
      </w:pPr>
    </w:p>
    <w:p>
      <w:pPr>
        <w:ind w:right="4220"/>
        <w:spacing w:after="0" w:line="257" w:lineRule="auto"/>
        <w:rPr>
          <w:sz w:val="20"/>
          <w:szCs w:val="20"/>
          <w:color w:val="auto"/>
        </w:rPr>
      </w:pPr>
      <w:r>
        <w:rPr>
          <w:rFonts w:ascii="Courier New" w:cs="Courier New" w:eastAsia="Courier New" w:hAnsi="Courier New"/>
          <w:sz w:val="14"/>
          <w:szCs w:val="14"/>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is administered by a committee appointed by the Company's Board of Directors.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 unless otherwise set forth in the agreement. Outstanding options granted to employees generally vest in three equal annual installments provided that all options granted under the 1997 stock option plan shall become vested in full and immediately upon the occurrence of a change in control of the Company.</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stock option activity for fiscal 2002, 2001 and 2000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2080" w:type="dxa"/>
        <w:tblCellMar>
          <w:top w:w="0" w:type="dxa"/>
          <w:left w:w="0" w:type="dxa"/>
          <w:bottom w:w="0" w:type="dxa"/>
          <w:right w:w="0" w:type="dxa"/>
        </w:tblCellMar>
      </w:tblPr>
      <w:tr>
        <w:trPr>
          <w:trHeight w:val="242"/>
        </w:trPr>
        <w:tc>
          <w:tcPr>
            <w:tcW w:w="780" w:type="dxa"/>
            <w:vAlign w:val="bottom"/>
          </w:tcPr>
          <w:p>
            <w:pPr>
              <w:spacing w:after="0"/>
              <w:rPr>
                <w:sz w:val="21"/>
                <w:szCs w:val="21"/>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WTD.</w:t>
            </w:r>
          </w:p>
        </w:tc>
        <w:tc>
          <w:tcPr>
            <w:tcW w:w="1040" w:type="dxa"/>
            <w:vAlign w:val="bottom"/>
          </w:tcPr>
          <w:p>
            <w:pPr>
              <w:spacing w:after="0"/>
              <w:rPr>
                <w:sz w:val="21"/>
                <w:szCs w:val="21"/>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112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WTD.</w:t>
            </w:r>
          </w:p>
        </w:tc>
        <w:tc>
          <w:tcPr>
            <w:tcW w:w="1020" w:type="dxa"/>
            <w:vAlign w:val="bottom"/>
          </w:tcPr>
          <w:p>
            <w:pPr>
              <w:spacing w:after="0"/>
              <w:rPr>
                <w:sz w:val="21"/>
                <w:szCs w:val="21"/>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900" w:type="dxa"/>
            <w:vAlign w:val="bottom"/>
            <w:vMerge w:val="restart"/>
          </w:tcPr>
          <w:p>
            <w:pPr>
              <w:jc w:val="center"/>
              <w:ind w:left="128"/>
              <w:spacing w:after="0"/>
              <w:rPr>
                <w:sz w:val="20"/>
                <w:szCs w:val="20"/>
                <w:color w:val="auto"/>
              </w:rPr>
            </w:pPr>
            <w:r>
              <w:rPr>
                <w:rFonts w:ascii="Courier New" w:cs="Courier New" w:eastAsia="Courier New" w:hAnsi="Courier New"/>
                <w:sz w:val="14"/>
                <w:szCs w:val="14"/>
                <w:color w:val="auto"/>
              </w:rPr>
              <w:t>WTD.</w:t>
            </w: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11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AVG.</w:t>
            </w:r>
          </w:p>
        </w:tc>
        <w:tc>
          <w:tcPr>
            <w:tcW w:w="10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AVG.</w:t>
            </w:r>
          </w:p>
        </w:tc>
        <w:tc>
          <w:tcPr>
            <w:tcW w:w="10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AVG.</w:t>
            </w:r>
          </w:p>
        </w:tc>
        <w:tc>
          <w:tcPr>
            <w:tcW w:w="0" w:type="dxa"/>
            <w:vAlign w:val="bottom"/>
          </w:tcPr>
          <w:p>
            <w:pPr>
              <w:spacing w:after="0"/>
              <w:rPr>
                <w:sz w:val="1"/>
                <w:szCs w:val="1"/>
                <w:color w:val="auto"/>
              </w:rPr>
            </w:pPr>
          </w:p>
        </w:tc>
      </w:tr>
      <w:tr>
        <w:trPr>
          <w:trHeight w:val="166"/>
        </w:trPr>
        <w:tc>
          <w:tcPr>
            <w:tcW w:w="780" w:type="dxa"/>
            <w:vAlign w:val="bottom"/>
            <w:vMerge w:val="restart"/>
          </w:tcPr>
          <w:p>
            <w:pPr>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0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0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92"/>
        </w:trPr>
        <w:tc>
          <w:tcPr>
            <w:tcW w:w="780" w:type="dxa"/>
            <w:vAlign w:val="bottom"/>
            <w:vMerge w:val="continue"/>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PRICE/SH</w:t>
            </w:r>
          </w:p>
        </w:tc>
        <w:tc>
          <w:tcPr>
            <w:tcW w:w="1040" w:type="dxa"/>
            <w:vAlign w:val="bottom"/>
            <w:vMerge w:val="continue"/>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PRICE/SH</w:t>
            </w:r>
          </w:p>
        </w:tc>
        <w:tc>
          <w:tcPr>
            <w:tcW w:w="1020" w:type="dxa"/>
            <w:vAlign w:val="bottom"/>
            <w:vMerge w:val="continue"/>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PRICE/SH</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788,168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12.51</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795,514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10.88</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680,176</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$15</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8.56</w:t>
            </w:r>
          </w:p>
        </w:tc>
        <w:tc>
          <w:tcPr>
            <w:tcW w:w="0" w:type="dxa"/>
            <w:vAlign w:val="bottom"/>
          </w:tcPr>
          <w:p>
            <w:pPr>
              <w:spacing w:after="0"/>
              <w:rPr>
                <w:sz w:val="1"/>
                <w:szCs w:val="1"/>
                <w:color w:val="auto"/>
              </w:rPr>
            </w:pPr>
          </w:p>
        </w:tc>
      </w:tr>
      <w:tr>
        <w:trPr>
          <w:trHeight w:val="242"/>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1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165,950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180,800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18.59</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(279,614)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(312,944)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(65,462)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8.15</w:t>
            </w:r>
          </w:p>
        </w:tc>
        <w:tc>
          <w:tcPr>
            <w:tcW w:w="0" w:type="dxa"/>
            <w:vAlign w:val="bottom"/>
          </w:tcPr>
          <w:p>
            <w:pPr>
              <w:spacing w:after="0"/>
              <w:rPr>
                <w:sz w:val="1"/>
                <w:szCs w:val="1"/>
                <w:color w:val="auto"/>
              </w:rPr>
            </w:pPr>
          </w:p>
        </w:tc>
      </w:tr>
      <w:tr>
        <w:trPr>
          <w:trHeight w:val="255"/>
        </w:trPr>
        <w:tc>
          <w:tcPr>
            <w:tcW w:w="178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22"/>
                <w:szCs w:val="22"/>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78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w:t>
            </w:r>
          </w:p>
        </w:tc>
        <w:tc>
          <w:tcPr>
            <w:tcW w:w="916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780" w:type="dxa"/>
            <w:vAlign w:val="bottom"/>
            <w:vMerge w:val="continue"/>
          </w:tcPr>
          <w:p>
            <w:pPr>
              <w:spacing w:after="0"/>
              <w:rPr>
                <w:sz w:val="7"/>
                <w:szCs w:val="7"/>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674,504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$39</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15.57</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788,168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12.51</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795,514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10.88</w:t>
            </w:r>
          </w:p>
        </w:tc>
        <w:tc>
          <w:tcPr>
            <w:tcW w:w="0" w:type="dxa"/>
            <w:vAlign w:val="bottom"/>
          </w:tcPr>
          <w:p>
            <w:pPr>
              <w:spacing w:after="0"/>
              <w:rPr>
                <w:sz w:val="1"/>
                <w:szCs w:val="1"/>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1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80" w:type="dxa"/>
            <w:vAlign w:val="bottom"/>
            <w:vMerge w:val="restart"/>
          </w:tcPr>
          <w:p>
            <w:pPr>
              <w:spacing w:after="0"/>
              <w:rPr>
                <w:sz w:val="20"/>
                <w:szCs w:val="20"/>
                <w:color w:val="auto"/>
              </w:rPr>
            </w:pPr>
            <w:r>
              <w:rPr>
                <w:rFonts w:ascii="Courier New" w:cs="Courier New" w:eastAsia="Courier New" w:hAnsi="Courier New"/>
                <w:sz w:val="14"/>
                <w:szCs w:val="14"/>
                <w:color w:val="auto"/>
              </w:rPr>
              <w:t>Exercisable at</w:t>
            </w:r>
          </w:p>
        </w:tc>
        <w:tc>
          <w:tcPr>
            <w:tcW w:w="916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780" w:type="dxa"/>
            <w:vAlign w:val="bottom"/>
            <w:vMerge w:val="continue"/>
          </w:tcPr>
          <w:p>
            <w:pPr>
              <w:spacing w:after="0"/>
              <w:rPr>
                <w:sz w:val="7"/>
                <w:szCs w:val="7"/>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302,271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$39</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13.89</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352,018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11.33</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469,214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w:t>
            </w:r>
          </w:p>
        </w:tc>
        <w:tc>
          <w:tcPr>
            <w:tcW w:w="60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$20</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8.40</w:t>
            </w:r>
          </w:p>
        </w:tc>
        <w:tc>
          <w:tcPr>
            <w:tcW w:w="0" w:type="dxa"/>
            <w:vAlign w:val="bottom"/>
          </w:tcPr>
          <w:p>
            <w:pPr>
              <w:spacing w:after="0"/>
              <w:rPr>
                <w:sz w:val="1"/>
                <w:szCs w:val="1"/>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1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916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3"/>
        </w:trPr>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34</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20" w:top="756" w:right="559" w:bottom="1440" w:gutter="0" w:footer="0" w:header="0"/>
        </w:sectPr>
      </w:pPr>
    </w:p>
    <w:bookmarkStart w:id="64" w:name="page65"/>
    <w:bookmarkEnd w:id="64"/>
    <w:p>
      <w:pPr>
        <w:ind w:left="63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 at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2002:</w:t>
      </w: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1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RANGE OF</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WEIGHTED REMAINING</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5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EXERCISE</w:t>
            </w:r>
          </w:p>
        </w:tc>
        <w:tc>
          <w:tcPr>
            <w:tcW w:w="19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OUTSTANDING AT</w:t>
            </w:r>
          </w:p>
        </w:tc>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YEARS OF</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AVERAGE</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EXERCISABLE AT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92"/>
        </w:trPr>
        <w:tc>
          <w:tcPr>
            <w:tcW w:w="10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PRICES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CONTRACTUAL LIFE</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EXERCISE PRICE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$7.19</w:t>
            </w:r>
          </w:p>
        </w:tc>
        <w:tc>
          <w:tcPr>
            <w:tcW w:w="8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$ 8.88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64,000</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8.16</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64,000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10.19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318,359</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11.94</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145,026</w:t>
            </w:r>
          </w:p>
        </w:tc>
        <w:tc>
          <w:tcPr>
            <w:tcW w:w="6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11.35</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18.00</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126,195</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18.55</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76,995</w:t>
            </w:r>
          </w:p>
        </w:tc>
        <w:tc>
          <w:tcPr>
            <w:tcW w:w="6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18.58</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21.62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165,950</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w:t>
            </w:r>
          </w:p>
        </w:tc>
        <w:tc>
          <w:tcPr>
            <w:tcW w:w="9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23.13</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16,250</w:t>
            </w:r>
          </w:p>
        </w:tc>
        <w:tc>
          <w:tcPr>
            <w:tcW w:w="6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37.00</w:t>
            </w:r>
          </w:p>
        </w:tc>
      </w:tr>
      <w:tr>
        <w:trPr>
          <w:trHeight w:val="166"/>
        </w:trPr>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242"/>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674,504</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15.57</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302,271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13.89</w:t>
            </w:r>
          </w:p>
        </w:tc>
      </w:tr>
    </w:tbl>
    <w:p>
      <w:pPr>
        <w:spacing w:after="0" w:line="255"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In 1997, the Company adopted SFAS No. 123, ACCOUNTING FOR STOCK-BASED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2002, 2001 and 2000 income and income per share would have been changed to the pro forma amounts indicated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54,671</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42,704</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52,881</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41,006</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47,143</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per share (basic)</w:t>
            </w:r>
          </w:p>
        </w:tc>
        <w:tc>
          <w:tcPr>
            <w:tcW w:w="1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2.74</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2.23</w:t>
            </w:r>
          </w:p>
        </w:tc>
        <w:tc>
          <w:tcPr>
            <w:tcW w:w="0" w:type="dxa"/>
            <w:vAlign w:val="bottom"/>
          </w:tcPr>
          <w:p>
            <w:pPr>
              <w:spacing w:after="0"/>
              <w:rPr>
                <w:sz w:val="1"/>
                <w:szCs w:val="1"/>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per share (diluted)</w:t>
            </w:r>
          </w:p>
        </w:tc>
        <w:tc>
          <w:tcPr>
            <w:tcW w:w="1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2.68</w:t>
            </w:r>
          </w:p>
        </w:tc>
        <w:tc>
          <w:tcPr>
            <w:tcW w:w="4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2.03</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2.20</w:t>
            </w:r>
          </w:p>
        </w:tc>
        <w:tc>
          <w:tcPr>
            <w:tcW w:w="0" w:type="dxa"/>
            <w:vAlign w:val="bottom"/>
          </w:tcPr>
          <w:p>
            <w:pPr>
              <w:spacing w:after="0"/>
              <w:rPr>
                <w:sz w:val="1"/>
                <w:szCs w:val="1"/>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1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1420" w:type="dxa"/>
            <w:vAlign w:val="bottom"/>
          </w:tcPr>
          <w:p>
            <w:pPr>
              <w:spacing w:after="0"/>
              <w:rPr>
                <w:sz w:val="21"/>
                <w:szCs w:val="21"/>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w:t>
            </w:r>
          </w:p>
        </w:tc>
        <w:tc>
          <w:tcPr>
            <w:tcW w:w="480" w:type="dxa"/>
            <w:vAlign w:val="bottom"/>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value of each option grant is estimated on the date of grant using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Black-Scholes option-pricing model with the following assumptions:</w:t>
      </w:r>
    </w:p>
    <w:p>
      <w:pPr>
        <w:spacing w:after="0" w:line="200" w:lineRule="exact"/>
        <w:rPr>
          <w:sz w:val="20"/>
          <w:szCs w:val="20"/>
          <w:color w:val="auto"/>
        </w:rPr>
      </w:pPr>
    </w:p>
    <w:p>
      <w:pPr>
        <w:spacing w:after="0" w:line="278" w:lineRule="exact"/>
        <w:rPr>
          <w:sz w:val="20"/>
          <w:szCs w:val="20"/>
          <w:color w:val="auto"/>
        </w:rPr>
      </w:pPr>
    </w:p>
    <w:p>
      <w:pPr>
        <w:ind w:left="5000"/>
        <w:spacing w:after="0"/>
        <w:tabs>
          <w:tab w:leader="none" w:pos="6440" w:val="left"/>
          <w:tab w:leader="none" w:pos="766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Expected life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 years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 years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55.82%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49.64%</w:t>
            </w:r>
          </w:p>
        </w:tc>
      </w:tr>
      <w:tr>
        <w:trPr>
          <w:trHeight w:val="242"/>
        </w:trPr>
        <w:tc>
          <w:tcPr>
            <w:tcW w:w="4580" w:type="dxa"/>
            <w:vAlign w:val="bottom"/>
          </w:tcPr>
          <w:p>
            <w:pPr>
              <w:spacing w:after="0"/>
              <w:rPr>
                <w:sz w:val="20"/>
                <w:szCs w:val="20"/>
                <w:color w:val="auto"/>
              </w:rPr>
            </w:pPr>
            <w:r>
              <w:rPr>
                <w:rFonts w:ascii="Courier New" w:cs="Courier New" w:eastAsia="Courier New" w:hAnsi="Courier New"/>
                <w:sz w:val="14"/>
                <w:szCs w:val="14"/>
                <w:color w:val="auto"/>
              </w:rPr>
              <w:t>Estimated fair value of options granted per share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w:t>
            </w:r>
          </w:p>
        </w:tc>
      </w:tr>
      <w:tr>
        <w:trPr>
          <w:trHeight w:val="663"/>
        </w:trPr>
        <w:tc>
          <w:tcPr>
            <w:tcW w:w="4580" w:type="dxa"/>
            <w:vAlign w:val="bottom"/>
          </w:tcPr>
          <w:p>
            <w:pPr>
              <w:ind w:left="3360"/>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75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SUPPLEMENTAL CASH FLOW DISCLOSURE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paid during the year for: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6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AUGUST 31, 2002</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164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AUGUST 26, 2000</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25, 2001</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8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29,306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18,205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28,305</w:t>
            </w:r>
          </w:p>
        </w:tc>
        <w:tc>
          <w:tcPr>
            <w:tcW w:w="0" w:type="dxa"/>
            <w:vAlign w:val="bottom"/>
          </w:tcPr>
          <w:p>
            <w:pPr>
              <w:spacing w:after="0"/>
              <w:rPr>
                <w:sz w:val="1"/>
                <w:szCs w:val="1"/>
                <w:color w:val="auto"/>
              </w:rPr>
            </w:pPr>
          </w:p>
        </w:tc>
      </w:tr>
      <w:tr>
        <w:trPr>
          <w:trHeight w:val="242"/>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spacing w:after="0"/>
              <w:rPr>
                <w:sz w:val="21"/>
                <w:szCs w:val="21"/>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NOTE 12:  BUSINESS SEGMENT INFORMATION</w:t>
            </w: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The Company defines its operations into two business segments: Recreation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Vehicles and Other Manufactured Products and Dealer Financing. Recreation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Vehicles and Other Manufactured Products includes all data relative to the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manufacturing and selling of the Company's Class A, B and C motor home products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as well as sales of component products for other manufacturers and recreation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vehicle related parts and service revenue. Dealer Financing includes floorplan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financing for a limited number of the Company's dealers. Management focuses 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operating income as a segment's measure of profit or loss when evaluating 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segment's financial performance. Operating income is before interest expense,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interest income, and income taxes. A variety of balance sheet ratios are used by</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management to measure the business. Maximizing the return from each segment's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assets excluding cash and cash equivalents is the primary focus. The accounting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policies of the segments are the same as those described in the Summary of</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Significant Accounting Policies (Note 1). Identifiable assets are those assets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used in the operations of each industry segment. General Corporate assets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consist of cash and cash equivalents, deferred income taxes and other corporate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assets not related to the two business segments. General Corporate income and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expenses include administrative costs. Intersegment sales and expenses are not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0"/>
                <w:szCs w:val="20"/>
                <w:color w:val="auto"/>
              </w:rPr>
            </w:pPr>
            <w:r>
              <w:rPr>
                <w:rFonts w:ascii="Courier New" w:cs="Courier New" w:eastAsia="Courier New" w:hAnsi="Courier New"/>
                <w:sz w:val="14"/>
                <w:szCs w:val="14"/>
                <w:color w:val="auto"/>
              </w:rPr>
              <w:t>significant.</w:t>
            </w:r>
          </w:p>
        </w:tc>
        <w:tc>
          <w:tcPr>
            <w:tcW w:w="2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20" w:type="dxa"/>
            <w:vAlign w:val="bottom"/>
            <w:gridSpan w:val="4"/>
          </w:tcPr>
          <w:p>
            <w:pPr>
              <w:spacing w:after="0"/>
              <w:rPr>
                <w:sz w:val="20"/>
                <w:szCs w:val="20"/>
                <w:color w:val="auto"/>
              </w:rPr>
            </w:pPr>
            <w:r>
              <w:rPr>
                <w:rFonts w:ascii="Courier New" w:cs="Courier New" w:eastAsia="Courier New" w:hAnsi="Courier New"/>
                <w:sz w:val="14"/>
                <w:szCs w:val="14"/>
                <w:color w:val="auto"/>
              </w:rPr>
              <w:t>For the years ended August 31, 2002, August 25, 2001 and August 26, 2000, the</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Company's segment information is as follows:</w:t>
            </w: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2420" w:type="dxa"/>
            <w:vAlign w:val="bottom"/>
          </w:tcPr>
          <w:p>
            <w:pPr>
              <w:spacing w:after="0"/>
              <w:rPr>
                <w:sz w:val="24"/>
                <w:szCs w:val="24"/>
                <w:color w:val="auto"/>
              </w:rPr>
            </w:pP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RECREATION</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VEHICLES &amp; OTHER</w:t>
            </w:r>
          </w:p>
        </w:tc>
        <w:tc>
          <w:tcPr>
            <w:tcW w:w="11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DEALER</w:t>
            </w:r>
          </w:p>
        </w:tc>
        <w:tc>
          <w:tcPr>
            <w:tcW w:w="14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20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MANUFACTURED</w:t>
            </w:r>
          </w:p>
        </w:tc>
        <w:tc>
          <w:tcPr>
            <w:tcW w:w="11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92"/>
        </w:trPr>
        <w:tc>
          <w:tcPr>
            <w:tcW w:w="2420" w:type="dxa"/>
            <w:vAlign w:val="bottom"/>
            <w:vMerge w:val="continue"/>
          </w:tcPr>
          <w:p>
            <w:pPr>
              <w:spacing w:after="0"/>
              <w:rPr>
                <w:sz w:val="16"/>
                <w:szCs w:val="16"/>
                <w:color w:val="auto"/>
              </w:rPr>
            </w:pPr>
          </w:p>
        </w:tc>
        <w:tc>
          <w:tcPr>
            <w:tcW w:w="20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PRODUCTS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FINANCING</w:t>
            </w:r>
          </w:p>
        </w:tc>
        <w:tc>
          <w:tcPr>
            <w:tcW w:w="14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CORPORATE</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2002 (53 WEEKS)</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$825,269</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3,134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$828,403</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4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79,299</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1,224</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81,197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223,792</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337,077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7,664</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7,879</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10,889</w:t>
            </w:r>
          </w:p>
        </w:tc>
        <w:tc>
          <w:tcPr>
            <w:tcW w:w="52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spacing w:after="0"/>
              <w:rPr>
                <w:sz w:val="21"/>
                <w:szCs w:val="21"/>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10,997</w:t>
            </w: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$671,686</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4,241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$675,927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4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52,120</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1,275</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55,474</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176,731</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40,856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134,335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351,922</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7,158</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7,380</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8,974</w:t>
            </w:r>
          </w:p>
        </w:tc>
        <w:tc>
          <w:tcPr>
            <w:tcW w:w="52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21"/>
                <w:szCs w:val="21"/>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9,089</w:t>
            </w: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4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$743,729</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3,908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$747,637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4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67,252</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1,152</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70,654</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191,501</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33,508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83,677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308,686</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6,375</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6,622</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14,412</w:t>
            </w:r>
          </w:p>
        </w:tc>
        <w:tc>
          <w:tcPr>
            <w:tcW w:w="52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14,548</w:t>
            </w:r>
          </w:p>
        </w:tc>
        <w:tc>
          <w:tcPr>
            <w:tcW w:w="0" w:type="dxa"/>
            <w:vAlign w:val="bottom"/>
          </w:tcPr>
          <w:p>
            <w:pPr>
              <w:spacing w:after="0"/>
              <w:rPr>
                <w:sz w:val="1"/>
                <w:szCs w:val="1"/>
                <w:color w:val="auto"/>
              </w:rPr>
            </w:pPr>
          </w:p>
        </w:tc>
      </w:tr>
      <w:tr>
        <w:trPr>
          <w:trHeight w:val="663"/>
        </w:trPr>
        <w:tc>
          <w:tcPr>
            <w:tcW w:w="290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[PHOTO]</w:t>
            </w: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REVENUES BY MAJOR PRODUCT CLASS</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3540" w:type="dxa"/>
            <w:vAlign w:val="bottom"/>
          </w:tcPr>
          <w:p>
            <w:pPr>
              <w:spacing w:after="0"/>
              <w:rPr>
                <w:sz w:val="24"/>
                <w:szCs w:val="24"/>
                <w:color w:val="auto"/>
              </w:rPr>
            </w:pPr>
          </w:p>
        </w:tc>
        <w:tc>
          <w:tcPr>
            <w:tcW w:w="1600" w:type="dxa"/>
            <w:vAlign w:val="bottom"/>
            <w:vMerge w:val="restart"/>
          </w:tcPr>
          <w:p>
            <w:pPr>
              <w:jc w:val="center"/>
              <w:ind w:left="228"/>
              <w:spacing w:after="0"/>
              <w:rPr>
                <w:sz w:val="20"/>
                <w:szCs w:val="20"/>
                <w:color w:val="auto"/>
              </w:rPr>
            </w:pPr>
            <w:r>
              <w:rPr>
                <w:rFonts w:ascii="Courier New" w:cs="Courier New" w:eastAsia="Courier New" w:hAnsi="Courier New"/>
                <w:sz w:val="14"/>
                <w:szCs w:val="14"/>
                <w:color w:val="auto"/>
              </w:rPr>
              <w:t>AUGUST 31,</w:t>
            </w:r>
          </w:p>
        </w:tc>
        <w:tc>
          <w:tcPr>
            <w:tcW w:w="374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FISCAL YEAR ENDED(1)(2)</w:t>
            </w:r>
          </w:p>
        </w:tc>
        <w:tc>
          <w:tcPr>
            <w:tcW w:w="104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AUGUST 29,</w:t>
            </w:r>
          </w:p>
        </w:tc>
        <w:tc>
          <w:tcPr>
            <w:tcW w:w="0" w:type="dxa"/>
            <w:vAlign w:val="bottom"/>
          </w:tcPr>
          <w:p>
            <w:pPr>
              <w:spacing w:after="0"/>
              <w:rPr>
                <w:sz w:val="1"/>
                <w:szCs w:val="1"/>
                <w:color w:val="auto"/>
              </w:rPr>
            </w:pPr>
          </w:p>
        </w:tc>
      </w:tr>
      <w:tr>
        <w:trPr>
          <w:trHeight w:val="166"/>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600" w:type="dxa"/>
            <w:vAlign w:val="bottom"/>
            <w:vMerge w:val="continue"/>
          </w:tcPr>
          <w:p>
            <w:pPr>
              <w:spacing w:after="0"/>
              <w:rPr>
                <w:sz w:val="14"/>
                <w:szCs w:val="14"/>
                <w:color w:val="auto"/>
              </w:rPr>
            </w:pP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AUGUST 25,</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AUGUST 26,</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Motor homes (Class A &amp; C)</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$ 773,125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624,110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$ 690,022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$ 613,813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470,932</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Other recreation vehicle revenues(3)</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93.3%</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91.4%</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89.0%</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20,486</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17,808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18,813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16,620</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19,222</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Other manufactured products revenues(4)</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31,658</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29,768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34,894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38,225</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37,133</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Total manufactured products revenues</w:t>
            </w:r>
          </w:p>
        </w:tc>
        <w:tc>
          <w:tcPr>
            <w:tcW w:w="62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825,269</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671,686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743,729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668,658</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527,287</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Finance revenues(5)</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99.6%</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3,134</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4,241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2,995</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2,076</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Total net revenues</w:t>
            </w:r>
          </w:p>
        </w:tc>
        <w:tc>
          <w:tcPr>
            <w:tcW w:w="62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$ 828,403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675,927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$ 747,637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$ 671,653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529,363</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19" w:firstLine="8"/>
        <w:spacing w:after="0" w:line="263"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 These reclassifications have no impact on net income as previously reported.</w:t>
      </w:r>
    </w:p>
    <w:p>
      <w:pPr>
        <w:spacing w:after="0" w:line="1"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2002 contained 53 weeks; all other fiscal years contained 52 weeks.</w:t>
      </w:r>
    </w:p>
    <w:p>
      <w:pPr>
        <w:ind w:right="3519" w:firstLine="8"/>
        <w:spacing w:after="0" w:line="250"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recreation vehicle related parts, EuroVan Campers (Class B motor homes), and recreation vehicle service revenue.</w:t>
      </w:r>
    </w:p>
    <w:p>
      <w:pPr>
        <w:ind w:right="3679" w:firstLine="8"/>
        <w:spacing w:after="0" w:line="250"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sales of extruded aluminum, commercial vehicles, and component products for other manufacturers.</w:t>
      </w:r>
    </w:p>
    <w:p>
      <w:pPr>
        <w:ind w:left="360" w:hanging="352"/>
        <w:spacing w:after="0"/>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WAC revenues from dealer financing.</w:t>
      </w:r>
    </w:p>
    <w:p>
      <w:pPr>
        <w:spacing w:after="0" w:line="14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13:</w:t>
        <w:tab/>
        <w:t>INCOME PER SHARE</w:t>
      </w:r>
    </w:p>
    <w:p>
      <w:pPr>
        <w:spacing w:after="0" w:line="33" w:lineRule="exact"/>
        <w:rPr>
          <w:sz w:val="20"/>
          <w:szCs w:val="20"/>
          <w:color w:val="auto"/>
        </w:rPr>
      </w:pPr>
    </w:p>
    <w:p>
      <w:pPr>
        <w:ind w:right="3679"/>
        <w:spacing w:after="0" w:line="336" w:lineRule="auto"/>
        <w:rPr>
          <w:sz w:val="20"/>
          <w:szCs w:val="20"/>
          <w:color w:val="auto"/>
        </w:rPr>
      </w:pPr>
      <w:r>
        <w:rPr>
          <w:rFonts w:ascii="Courier New" w:cs="Courier New" w:eastAsia="Courier New" w:hAnsi="Courier New"/>
          <w:sz w:val="14"/>
          <w:szCs w:val="14"/>
          <w:color w:val="auto"/>
        </w:rPr>
        <w:t>The following table reflects the calculation of basic and diluted income per share for the past three fiscal years:</w:t>
      </w:r>
    </w:p>
    <w:p>
      <w:pPr>
        <w:spacing w:after="0" w:line="358" w:lineRule="exact"/>
        <w:rPr>
          <w:sz w:val="20"/>
          <w:szCs w:val="20"/>
          <w:color w:val="auto"/>
        </w:rPr>
      </w:pPr>
    </w:p>
    <w:p>
      <w:pPr>
        <w:spacing w:after="0"/>
        <w:tabs>
          <w:tab w:leader="none" w:pos="4200" w:val="left"/>
          <w:tab w:leader="none" w:pos="6100" w:val="left"/>
          <w:tab w:leader="none" w:pos="774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AUGUST 31, 2002(1)</w:t>
      </w:r>
      <w:r>
        <w:rPr>
          <w:sz w:val="20"/>
          <w:szCs w:val="20"/>
          <w:color w:val="auto"/>
        </w:rPr>
        <w:tab/>
      </w:r>
      <w:r>
        <w:rPr>
          <w:rFonts w:ascii="Courier New" w:cs="Courier New" w:eastAsia="Courier New" w:hAnsi="Courier New"/>
          <w:sz w:val="14"/>
          <w:szCs w:val="14"/>
          <w:color w:val="auto"/>
        </w:rPr>
        <w:t>AUGUST 25, 2001</w:t>
      </w:r>
      <w:r>
        <w:rPr>
          <w:sz w:val="20"/>
          <w:szCs w:val="20"/>
          <w:color w:val="auto"/>
        </w:rPr>
        <w:tab/>
      </w:r>
      <w:r>
        <w:rPr>
          <w:rFonts w:ascii="Courier New" w:cs="Courier New" w:eastAsia="Courier New" w:hAnsi="Courier New"/>
          <w:sz w:val="14"/>
          <w:szCs w:val="14"/>
          <w:color w:val="auto"/>
        </w:rPr>
        <w:t>AUGUST 26, 2000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 - basic</w:t>
            </w:r>
          </w:p>
        </w:tc>
        <w:tc>
          <w:tcPr>
            <w:tcW w:w="6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5"/>
              </w:rPr>
              <w:t>54,671</w:t>
            </w:r>
          </w:p>
        </w:tc>
        <w:tc>
          <w:tcPr>
            <w:tcW w:w="1640" w:type="dxa"/>
            <w:vAlign w:val="bottom"/>
            <w:gridSpan w:val="2"/>
            <w:vMerge w:val="restart"/>
          </w:tcPr>
          <w:p>
            <w:pPr>
              <w:jc w:val="right"/>
              <w:ind w:right="448"/>
              <w:spacing w:after="0"/>
              <w:rPr>
                <w:sz w:val="20"/>
                <w:szCs w:val="20"/>
                <w:color w:val="auto"/>
              </w:rPr>
            </w:pPr>
            <w:r>
              <w:rPr>
                <w:rFonts w:ascii="Courier New" w:cs="Courier New" w:eastAsia="Courier New" w:hAnsi="Courier New"/>
                <w:sz w:val="14"/>
                <w:szCs w:val="14"/>
                <w:color w:val="auto"/>
              </w:rPr>
              <w:t>$42,704</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6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Weighted average shares outstanding</w:t>
            </w:r>
          </w:p>
        </w:tc>
        <w:tc>
          <w:tcPr>
            <w:tcW w:w="620" w:type="dxa"/>
            <w:vAlign w:val="bottom"/>
          </w:tcPr>
          <w:p>
            <w:pPr>
              <w:ind w:left="5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5"/>
              </w:rPr>
              <w:t>19,949</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20,735</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21,680</w:t>
            </w:r>
          </w:p>
        </w:tc>
        <w:tc>
          <w:tcPr>
            <w:tcW w:w="0" w:type="dxa"/>
            <w:vAlign w:val="bottom"/>
          </w:tcPr>
          <w:p>
            <w:pPr>
              <w:spacing w:after="0"/>
              <w:rPr>
                <w:sz w:val="1"/>
                <w:szCs w:val="1"/>
                <w:color w:val="auto"/>
              </w:rPr>
            </w:pPr>
          </w:p>
        </w:tc>
      </w:tr>
      <w:tr>
        <w:trPr>
          <w:trHeight w:val="166"/>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income per share - basic</w:t>
            </w:r>
          </w:p>
        </w:tc>
        <w:tc>
          <w:tcPr>
            <w:tcW w:w="62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2.74</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1"/>
                <w:szCs w:val="21"/>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per share - assuming dilution</w:t>
            </w:r>
          </w:p>
        </w:tc>
        <w:tc>
          <w:tcPr>
            <w:tcW w:w="6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5"/>
              </w:rPr>
              <w:t>54,671</w:t>
            </w:r>
          </w:p>
        </w:tc>
        <w:tc>
          <w:tcPr>
            <w:tcW w:w="1640" w:type="dxa"/>
            <w:vAlign w:val="bottom"/>
            <w:gridSpan w:val="2"/>
            <w:vMerge w:val="restart"/>
          </w:tcPr>
          <w:p>
            <w:pPr>
              <w:jc w:val="right"/>
              <w:ind w:right="448"/>
              <w:spacing w:after="0"/>
              <w:rPr>
                <w:sz w:val="20"/>
                <w:szCs w:val="20"/>
                <w:color w:val="auto"/>
              </w:rPr>
            </w:pPr>
            <w:r>
              <w:rPr>
                <w:rFonts w:ascii="Courier New" w:cs="Courier New" w:eastAsia="Courier New" w:hAnsi="Courier New"/>
                <w:sz w:val="14"/>
                <w:szCs w:val="14"/>
                <w:color w:val="auto"/>
              </w:rPr>
              <w:t>$42,704</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$48,399</w:t>
            </w:r>
          </w:p>
        </w:tc>
        <w:tc>
          <w:tcPr>
            <w:tcW w:w="0" w:type="dxa"/>
            <w:vAlign w:val="bottom"/>
          </w:tcPr>
          <w:p>
            <w:pPr>
              <w:spacing w:after="0"/>
              <w:rPr>
                <w:sz w:val="1"/>
                <w:szCs w:val="1"/>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6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Weighted average shares outstanding</w:t>
            </w:r>
          </w:p>
        </w:tc>
        <w:tc>
          <w:tcPr>
            <w:tcW w:w="620" w:type="dxa"/>
            <w:vAlign w:val="bottom"/>
          </w:tcPr>
          <w:p>
            <w:pPr>
              <w:ind w:left="5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5"/>
              </w:rPr>
              <w:t>19,949</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20,735</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21,680</w:t>
            </w:r>
          </w:p>
        </w:tc>
        <w:tc>
          <w:tcPr>
            <w:tcW w:w="0" w:type="dxa"/>
            <w:vAlign w:val="bottom"/>
          </w:tcPr>
          <w:p>
            <w:pPr>
              <w:spacing w:after="0"/>
              <w:rPr>
                <w:sz w:val="1"/>
                <w:szCs w:val="1"/>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Dilutive impact of options outstanding</w:t>
            </w:r>
          </w:p>
        </w:tc>
        <w:tc>
          <w:tcPr>
            <w:tcW w:w="6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435</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305</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c>
          <w:tcPr>
            <w:tcW w:w="0" w:type="dxa"/>
            <w:vAlign w:val="bottom"/>
          </w:tcPr>
          <w:p>
            <w:pPr>
              <w:spacing w:after="0"/>
              <w:rPr>
                <w:sz w:val="1"/>
                <w:szCs w:val="1"/>
                <w:color w:val="auto"/>
              </w:rPr>
            </w:pPr>
          </w:p>
        </w:tc>
      </w:tr>
      <w:tr>
        <w:trPr>
          <w:trHeight w:val="242"/>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Weighted average shares and potential</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5"/>
              </w:rPr>
              <w:t>20,384</w:t>
            </w:r>
          </w:p>
        </w:tc>
        <w:tc>
          <w:tcPr>
            <w:tcW w:w="600" w:type="dxa"/>
            <w:vAlign w:val="bottom"/>
          </w:tcPr>
          <w:p>
            <w:pPr>
              <w:spacing w:after="0"/>
              <w:rPr>
                <w:sz w:val="7"/>
                <w:szCs w:val="7"/>
                <w:color w:val="auto"/>
              </w:rPr>
            </w:pP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99"/>
              </w:rPr>
              <w:t>21,040</w:t>
            </w:r>
          </w:p>
        </w:tc>
        <w:tc>
          <w:tcPr>
            <w:tcW w:w="6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22,011</w:t>
            </w:r>
          </w:p>
        </w:tc>
        <w:tc>
          <w:tcPr>
            <w:tcW w:w="0" w:type="dxa"/>
            <w:vAlign w:val="bottom"/>
          </w:tcPr>
          <w:p>
            <w:pPr>
              <w:spacing w:after="0"/>
              <w:rPr>
                <w:sz w:val="1"/>
                <w:szCs w:val="1"/>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dilutive shares outstanding</w:t>
            </w:r>
          </w:p>
        </w:tc>
        <w:tc>
          <w:tcPr>
            <w:tcW w:w="6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income per share - assuming dilution</w:t>
            </w:r>
          </w:p>
        </w:tc>
        <w:tc>
          <w:tcPr>
            <w:tcW w:w="62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p>
        </w:tc>
        <w:tc>
          <w:tcPr>
            <w:tcW w:w="10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2.68</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1"/>
                <w:szCs w:val="21"/>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8"/>
        <w:spacing w:after="0" w:line="376" w:lineRule="auto"/>
        <w:tabs>
          <w:tab w:leader="none" w:pos="3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August 31, 2002 contained 53 weeks; all other fiscal years contained 52 weeks.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5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14:</w:t>
        <w:tab/>
        <w:t>PREFERRED STOCK AND SHAREHOLDERS RIGHTS PLAN</w:t>
      </w:r>
    </w:p>
    <w:p>
      <w:pPr>
        <w:spacing w:after="0" w:line="33" w:lineRule="exact"/>
        <w:rPr>
          <w:sz w:val="20"/>
          <w:szCs w:val="20"/>
          <w:color w:val="auto"/>
        </w:rPr>
      </w:pPr>
    </w:p>
    <w:p>
      <w:pPr>
        <w:jc w:val="both"/>
        <w:ind w:right="3339"/>
        <w:spacing w:after="0" w:line="272" w:lineRule="auto"/>
        <w:rPr>
          <w:sz w:val="20"/>
          <w:szCs w:val="20"/>
          <w:color w:val="auto"/>
        </w:rPr>
      </w:pPr>
      <w:r>
        <w:rPr>
          <w:rFonts w:ascii="Courier New" w:cs="Courier New" w:eastAsia="Courier New" w:hAnsi="Courier New"/>
          <w:sz w:val="14"/>
          <w:szCs w:val="14"/>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Rights Plan discussed below, the Board of Directors has reserved, but not issued, 300,000 shares of preferred stock.</w:t>
      </w:r>
    </w:p>
    <w:p>
      <w:pPr>
        <w:spacing w:after="0" w:line="69"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In May 2000, the Company adopted a shareholder rights plan providing for a dividend distribution of one preferred share purchase right for each share of common stock outstanding on and after May 26, 2000. The rights can be exercised only if an individual or group acquires or announces a tender offer for 15 percent or more of the Company's common stock.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 holder (other than the individual or group acquiring or announcing a tender offer for 15 percent or more of the Company's common stock) to buy 1/100 of a share of a new series of preferred stock at an exercise price of $67.25.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$.01 per right at the option of the Company's Board of Directors. The Company's Board of Directors is authorized to reduce the 15 percent threshold to no less than 10 percent. Each right will expire on May 3, 2010, unless earlier redeemed by the Company.</w:t>
      </w:r>
    </w:p>
    <w:p>
      <w:pPr>
        <w:spacing w:after="0" w:line="200" w:lineRule="exact"/>
        <w:rPr>
          <w:sz w:val="20"/>
          <w:szCs w:val="20"/>
          <w:color w:val="auto"/>
        </w:rPr>
      </w:pPr>
    </w:p>
    <w:p>
      <w:pPr>
        <w:spacing w:after="0" w:line="2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56" w:right="1440" w:bottom="1440" w:gutter="0" w:footer="0" w:header="0"/>
        </w:sectPr>
      </w:pPr>
    </w:p>
    <w:bookmarkStart w:id="68" w:name="page69"/>
    <w:bookmarkEnd w:id="68"/>
    <w:p>
      <w:pPr>
        <w:jc w:val="center"/>
        <w:ind w:right="3419"/>
        <w:spacing w:after="0"/>
        <w:rPr>
          <w:sz w:val="20"/>
          <w:szCs w:val="20"/>
          <w:color w:val="auto"/>
        </w:rPr>
      </w:pPr>
      <w:r>
        <w:rPr>
          <w:rFonts w:ascii="Courier New" w:cs="Courier New" w:eastAsia="Courier New" w:hAnsi="Courier New"/>
          <w:sz w:val="14"/>
          <w:szCs w:val="14"/>
          <w:color w:val="auto"/>
        </w:rPr>
        <w:t>COMMON STOCK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common stock is listed on the New York, Chicago and Pacific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Ticker symbol: WGO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record as of November 12, 2002: 4,922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are the New York Stock Exchange high, low and closing prices of Winnebago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Industries, Inc. stock for each quarter of fiscal 2002 and fiscal 2001.</w:t>
      </w:r>
    </w:p>
    <w:p>
      <w:pPr>
        <w:spacing w:after="0" w:line="200" w:lineRule="exact"/>
        <w:rPr>
          <w:sz w:val="20"/>
          <w:szCs w:val="20"/>
          <w:color w:val="auto"/>
        </w:rPr>
      </w:pPr>
    </w:p>
    <w:p>
      <w:pPr>
        <w:spacing w:after="0" w:line="278" w:lineRule="exact"/>
        <w:rPr>
          <w:sz w:val="20"/>
          <w:szCs w:val="20"/>
          <w:color w:val="auto"/>
        </w:rPr>
      </w:pPr>
    </w:p>
    <w:p>
      <w:pPr>
        <w:spacing w:after="0"/>
        <w:tabs>
          <w:tab w:leader="none" w:pos="2220" w:val="left"/>
          <w:tab w:leader="none" w:pos="3520" w:val="left"/>
          <w:tab w:leader="none" w:pos="4560" w:val="left"/>
          <w:tab w:leader="none" w:pos="5580" w:val="left"/>
          <w:tab w:leader="none" w:pos="7400" w:val="left"/>
          <w:tab w:leader="none" w:pos="8420" w:val="left"/>
          <w:tab w:leader="none" w:pos="9380" w:val="left"/>
        </w:tabs>
        <w:rPr>
          <w:sz w:val="20"/>
          <w:szCs w:val="20"/>
          <w:color w:val="auto"/>
        </w:rPr>
      </w:pPr>
      <w:r>
        <w:rPr>
          <w:rFonts w:ascii="Courier New" w:cs="Courier New" w:eastAsia="Courier New" w:hAnsi="Courier New"/>
          <w:sz w:val="14"/>
          <w:szCs w:val="14"/>
          <w:color w:val="auto"/>
        </w:rPr>
        <w:t>FISCAL 2002</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CLOSE</w:t>
      </w:r>
      <w:r>
        <w:rPr>
          <w:sz w:val="20"/>
          <w:szCs w:val="20"/>
          <w:color w:val="auto"/>
        </w:rPr>
        <w:tab/>
      </w:r>
      <w:r>
        <w:rPr>
          <w:rFonts w:ascii="Courier New" w:cs="Courier New" w:eastAsia="Courier New" w:hAnsi="Courier New"/>
          <w:sz w:val="14"/>
          <w:szCs w:val="14"/>
          <w:color w:val="auto"/>
        </w:rPr>
        <w:t>FISCAL 2001</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CLOSE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$33.70</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First Quarter</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$11.50</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47.45</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Second Quarter</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17.10</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44.40</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Third Quarter</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48.60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38.19</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Fourth Quarter</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28.02</w:t>
            </w:r>
          </w:p>
        </w:tc>
        <w:tc>
          <w:tcPr>
            <w:tcW w:w="0" w:type="dxa"/>
            <w:vAlign w:val="bottom"/>
          </w:tcPr>
          <w:p>
            <w:pPr>
              <w:spacing w:after="0"/>
              <w:rPr>
                <w:sz w:val="1"/>
                <w:szCs w:val="1"/>
                <w:color w:val="auto"/>
              </w:rPr>
            </w:pPr>
          </w:p>
        </w:tc>
      </w:tr>
      <w:tr>
        <w:trPr>
          <w:trHeight w:val="42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PER SHARE</w:t>
            </w:r>
          </w:p>
        </w:tc>
        <w:tc>
          <w:tcPr>
            <w:tcW w:w="2120" w:type="dxa"/>
            <w:vAlign w:val="bottom"/>
            <w:gridSpan w:val="2"/>
            <w:vMerge w:val="restart"/>
          </w:tcPr>
          <w:p>
            <w:pPr>
              <w:ind w:left="560"/>
              <w:spacing w:after="0"/>
              <w:rPr>
                <w:sz w:val="20"/>
                <w:szCs w:val="20"/>
                <w:color w:val="auto"/>
              </w:rPr>
            </w:pPr>
            <w:r>
              <w:rPr>
                <w:rFonts w:ascii="Courier New" w:cs="Courier New" w:eastAsia="Courier New" w:hAnsi="Courier New"/>
                <w:sz w:val="14"/>
                <w:szCs w:val="14"/>
                <w:color w:val="auto"/>
              </w:rPr>
              <w:t>FISCAL 2001</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172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DATE PAID</w:t>
            </w:r>
          </w:p>
        </w:tc>
        <w:tc>
          <w:tcPr>
            <w:tcW w:w="21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AMOUNT</w:t>
            </w: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DATE PAID</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40" w:type="dxa"/>
            <w:vAlign w:val="bottom"/>
            <w:vMerge w:val="restart"/>
          </w:tcPr>
          <w:p>
            <w:pPr>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 ------</w:t>
            </w:r>
            <w:r>
              <w:rPr>
                <w:rFonts w:ascii="Courier New" w:cs="Courier New" w:eastAsia="Courier New" w:hAnsi="Courier New"/>
                <w:sz w:val="28"/>
                <w:szCs w:val="28"/>
                <w:color w:val="auto"/>
                <w:vertAlign w:val="subscript"/>
              </w:rPr>
              <w:t>.10</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40" w:type="dxa"/>
            <w:vAlign w:val="bottom"/>
            <w:vMerge w:val="continue"/>
          </w:tcPr>
          <w:p>
            <w:pPr>
              <w:spacing w:after="0"/>
              <w:rPr>
                <w:sz w:val="14"/>
                <w:szCs w:val="14"/>
                <w:color w:val="auto"/>
              </w:rPr>
            </w:pP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January 7, 2002</w:t>
            </w:r>
          </w:p>
        </w:tc>
        <w:tc>
          <w:tcPr>
            <w:tcW w:w="9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January 8, 2001</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July 8, 2002</w:t>
            </w:r>
          </w:p>
        </w:tc>
        <w:tc>
          <w:tcPr>
            <w:tcW w:w="920" w:type="dxa"/>
            <w:vAlign w:val="bottom"/>
          </w:tcPr>
          <w:p>
            <w:pPr>
              <w:spacing w:after="0"/>
              <w:rPr>
                <w:sz w:val="21"/>
                <w:szCs w:val="21"/>
                <w:color w:val="auto"/>
              </w:rPr>
            </w:pP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July 9, 2001</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INTERIM FINANCIAL INFORMATION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00" w:type="dxa"/>
            <w:vAlign w:val="bottom"/>
          </w:tcPr>
          <w:p>
            <w:pPr>
              <w:spacing w:after="0"/>
              <w:rPr>
                <w:sz w:val="20"/>
                <w:szCs w:val="20"/>
                <w:color w:val="auto"/>
              </w:rPr>
            </w:pPr>
            <w:r>
              <w:rPr>
                <w:rFonts w:ascii="Courier New" w:cs="Courier New" w:eastAsia="Courier New" w:hAnsi="Courier New"/>
                <w:sz w:val="14"/>
                <w:szCs w:val="14"/>
                <w:color w:val="auto"/>
              </w:rPr>
              <w:t>(DOLLARS IN</w:t>
            </w:r>
          </w:p>
        </w:tc>
        <w:tc>
          <w:tcPr>
            <w:tcW w:w="48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THOUSANDS, EXCEPT PER SHARE DATA)</w:t>
            </w:r>
          </w:p>
        </w:tc>
        <w:tc>
          <w:tcPr>
            <w:tcW w:w="2280" w:type="dxa"/>
            <w:vAlign w:val="bottom"/>
            <w:gridSpan w:val="2"/>
            <w:vMerge w:val="restart"/>
          </w:tcPr>
          <w:p>
            <w:pPr>
              <w:jc w:val="right"/>
              <w:ind w:right="528"/>
              <w:spacing w:after="0"/>
              <w:rPr>
                <w:sz w:val="20"/>
                <w:szCs w:val="20"/>
                <w:color w:val="auto"/>
              </w:rPr>
            </w:pPr>
            <w:r>
              <w:rPr>
                <w:rFonts w:ascii="Courier New" w:cs="Courier New" w:eastAsia="Courier New" w:hAnsi="Courier New"/>
                <w:sz w:val="14"/>
                <w:szCs w:val="14"/>
                <w:color w:val="auto"/>
              </w:rPr>
              <w:t>QUARTER ENDED</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4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DECEMBER 1,</w:t>
            </w:r>
          </w:p>
        </w:tc>
        <w:tc>
          <w:tcPr>
            <w:tcW w:w="2280" w:type="dxa"/>
            <w:vAlign w:val="bottom"/>
            <w:gridSpan w:val="2"/>
            <w:vMerge w:val="continue"/>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AUGUST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6"/>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FISCAL 2002</w:t>
            </w:r>
          </w:p>
        </w:tc>
        <w:tc>
          <w:tcPr>
            <w:tcW w:w="4820" w:type="dxa"/>
            <w:vAlign w:val="bottom"/>
            <w:vMerge w:val="continue"/>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1,</w:t>
            </w: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4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$177,802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$183,055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$246,636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$220,910</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24,232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22,938</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37,255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35,113</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15,311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13,414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25,183</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9,448</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18,094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16,419</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share (basic)</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share (diluted)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0" w:type="dxa"/>
            <w:vAlign w:val="bottom"/>
          </w:tcPr>
          <w:p>
            <w:pPr>
              <w:spacing w:after="0"/>
              <w:rPr>
                <w:sz w:val="1"/>
                <w:szCs w:val="1"/>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Quarter ended December 1, 2001 contained 14 weeks.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480" w:type="dxa"/>
            <w:vAlign w:val="bottom"/>
          </w:tcPr>
          <w:p>
            <w:pPr>
              <w:spacing w:after="0"/>
              <w:rPr>
                <w:sz w:val="24"/>
                <w:szCs w:val="24"/>
                <w:color w:val="auto"/>
              </w:rPr>
            </w:pPr>
          </w:p>
        </w:tc>
        <w:tc>
          <w:tcPr>
            <w:tcW w:w="1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NOVEMBER 25,</w:t>
            </w:r>
          </w:p>
        </w:tc>
        <w:tc>
          <w:tcPr>
            <w:tcW w:w="23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QUARTER ENDED</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AUGUST 25,</w:t>
            </w: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FISCAL 2001</w:t>
            </w:r>
          </w:p>
        </w:tc>
        <w:tc>
          <w:tcPr>
            <w:tcW w:w="1300" w:type="dxa"/>
            <w:vAlign w:val="bottom"/>
            <w:vMerge w:val="continue"/>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24,</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26,</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80" w:type="dxa"/>
            <w:vAlign w:val="bottom"/>
            <w:vMerge w:val="continue"/>
          </w:tcPr>
          <w:p>
            <w:pPr>
              <w:spacing w:after="0"/>
              <w:rPr>
                <w:sz w:val="16"/>
                <w:szCs w:val="16"/>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2001</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line="147" w:lineRule="exact"/>
              <w:rPr>
                <w:sz w:val="20"/>
                <w:szCs w:val="20"/>
                <w:color w:val="auto"/>
              </w:rPr>
            </w:pPr>
            <w:r>
              <w:rPr>
                <w:rFonts w:ascii="Courier New" w:cs="Courier New" w:eastAsia="Courier New" w:hAnsi="Courier New"/>
                <w:sz w:val="14"/>
                <w:szCs w:val="14"/>
                <w:color w:val="auto"/>
              </w:rPr>
              <w:t>Net revenues</w:t>
            </w:r>
          </w:p>
        </w:tc>
        <w:tc>
          <w:tcPr>
            <w:tcW w:w="20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$162,702</w:t>
            </w:r>
          </w:p>
        </w:tc>
        <w:tc>
          <w:tcPr>
            <w:tcW w:w="120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$141,308</w:t>
            </w:r>
          </w:p>
        </w:tc>
        <w:tc>
          <w:tcPr>
            <w:tcW w:w="122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$195,605</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$176,312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15,779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24,623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8,550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15,446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8,546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15,530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 per share (basic)</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242"/>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 per share (diluted)</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255"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Quarter ended November 25, 2000 contains an adjustment of $1,050,000 for the cumulative effect of a change in accounting principle, net of taxes.</w:t>
      </w:r>
    </w:p>
    <w:p>
      <w:pPr>
        <w:spacing w:after="0" w:line="1"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During the quarter ended August 25, 2001, the Company recorded a $4.5 million tax benefit in connection with the expiration of certain tax statutes.</w:t>
      </w:r>
    </w:p>
    <w:p>
      <w:pPr>
        <w:spacing w:after="0" w:line="1"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Certain prior periods' information has been reclassified to conform to the current year end presentation. This reclassification has no impact on net income as previously reported.</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56" w:right="1440" w:bottom="1440" w:gutter="0" w:footer="0" w:header="0"/>
        </w:sectPr>
      </w:pPr>
    </w:p>
    <w:bookmarkStart w:id="69" w:name="page70"/>
    <w:bookmarkEnd w:id="69"/>
    <w:p>
      <w:pPr>
        <w:ind w:left="2420"/>
        <w:spacing w:after="0"/>
        <w:rPr>
          <w:sz w:val="20"/>
          <w:szCs w:val="20"/>
          <w:color w:val="auto"/>
        </w:rPr>
      </w:pPr>
      <w:r>
        <w:rPr>
          <w:rFonts w:ascii="Courier New" w:cs="Courier New" w:eastAsia="Courier New" w:hAnsi="Courier New"/>
          <w:sz w:val="14"/>
          <w:szCs w:val="14"/>
          <w:color w:val="auto"/>
        </w:rPr>
        <w:t>SHAREHOLDER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PUBLICATIONS</w:t>
      </w:r>
    </w:p>
    <w:p>
      <w:pPr>
        <w:spacing w:after="0" w:line="33"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A notice of Annual Meeting of Shareholders and Proxy Statement is furnished to shareholders in advance of the annual meeting.</w:t>
      </w:r>
    </w:p>
    <w:p>
      <w:pPr>
        <w:spacing w:after="0" w:line="27"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Sheila Davis, PR/IR Manager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605 W. Crystal Lake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 50436-0152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Telephone:</w:t>
        <w:tab/>
        <w:t>(641) 585-3535</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Fax:</w:t>
        <w:tab/>
        <w:t>(641) 585-6966</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E-Mail:</w:t>
        <w:tab/>
        <w:t>ir@winnebagoind.com</w:t>
      </w:r>
    </w:p>
    <w:p>
      <w:pPr>
        <w:spacing w:after="0" w:line="147"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This annual report as well as corporate news releases may also be viewed online in the Investor Relations section of Winnebago Industries website: http://www.winnebagoind.com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ACCOUNT ASSISTANCE</w:t>
      </w:r>
    </w:p>
    <w:p>
      <w:pPr>
        <w:spacing w:after="0" w:line="33" w:lineRule="exact"/>
        <w:rPr>
          <w:sz w:val="20"/>
          <w:szCs w:val="20"/>
          <w:color w:val="auto"/>
        </w:rPr>
      </w:pPr>
    </w:p>
    <w:p>
      <w:pPr>
        <w:ind w:right="3599"/>
        <w:spacing w:after="0" w:line="336" w:lineRule="auto"/>
        <w:rPr>
          <w:sz w:val="20"/>
          <w:szCs w:val="20"/>
          <w:color w:val="auto"/>
        </w:rPr>
      </w:pPr>
      <w:r>
        <w:rPr>
          <w:rFonts w:ascii="Courier New" w:cs="Courier New" w:eastAsia="Courier New" w:hAnsi="Courier New"/>
          <w:sz w:val="14"/>
          <w:szCs w:val="14"/>
          <w:color w:val="auto"/>
        </w:rPr>
        <w:t>Transfer Agent to contact for address changes, account certificates and stock holdings: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Minnesota, N.A.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 55164-0854</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 North Concord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St. Paul, Minnesota 55075-1139</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Telephone:</w:t>
        <w:tab/>
        <w:t>(800) 468-9716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(651) 450-4064</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Inquirees:</w:t>
        <w:tab/>
        <w:t>www.wellsfargo.com/com/shareowner_services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33" w:lineRule="exact"/>
        <w:rPr>
          <w:sz w:val="20"/>
          <w:szCs w:val="20"/>
          <w:color w:val="auto"/>
        </w:rPr>
      </w:pPr>
    </w:p>
    <w:p>
      <w:pPr>
        <w:jc w:val="both"/>
        <w:ind w:right="3419"/>
        <w:spacing w:after="0" w:line="293" w:lineRule="auto"/>
        <w:rPr>
          <w:sz w:val="20"/>
          <w:szCs w:val="20"/>
          <w:color w:val="auto"/>
        </w:rPr>
      </w:pPr>
      <w:r>
        <w:rPr>
          <w:rFonts w:ascii="Courier New" w:cs="Courier New" w:eastAsia="Courier New" w:hAnsi="Courier New"/>
          <w:sz w:val="14"/>
          <w:szCs w:val="14"/>
          <w:color w:val="auto"/>
        </w:rPr>
        <w:t>The Annual Meeting of Shareholders is scheduled to be held on Tuesday, January 14, 2003, at 7:30 p.m. (CST) in Friendship Hall, Highway 69 South, Forest City, Iowa.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 One Financial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55402-1844</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COMMON STOCK</w:t>
      </w:r>
    </w:p>
    <w:p>
      <w:pPr>
        <w:spacing w:after="0" w:line="33" w:lineRule="exact"/>
        <w:rPr>
          <w:sz w:val="20"/>
          <w:szCs w:val="20"/>
          <w:color w:val="auto"/>
        </w:rPr>
      </w:pPr>
    </w:p>
    <w:p>
      <w:pPr>
        <w:ind w:right="3419"/>
        <w:spacing w:after="0" w:line="279" w:lineRule="auto"/>
        <w:rPr>
          <w:sz w:val="20"/>
          <w:szCs w:val="20"/>
          <w:color w:val="auto"/>
        </w:rPr>
      </w:pPr>
      <w:r>
        <w:rPr>
          <w:rFonts w:ascii="Courier New" w:cs="Courier New" w:eastAsia="Courier New" w:hAnsi="Courier New"/>
          <w:sz w:val="14"/>
          <w:szCs w:val="14"/>
          <w:color w:val="auto"/>
        </w:rPr>
        <w:t>Winnebago Industries stock may be purchased from Netstock through the Company's website at http://www.winnebagoind.com/investor_relations.htm. Winnebago Industries is not affiliated with Netstock and has no involvement in the relationship between Netstock and any of its customers.</w:t>
      </w:r>
    </w:p>
    <w:p>
      <w:pPr>
        <w:spacing w:after="0" w:line="2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56"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2"/>
        </w:trPr>
        <w:tc>
          <w:tcPr>
            <w:tcW w:w="708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DIRECTORS AND OFFICERS</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800" w:type="dxa"/>
            <w:vAlign w:val="bottom"/>
          </w:tcPr>
          <w:p>
            <w:pPr>
              <w:jc w:val="right"/>
              <w:spacing w:after="0"/>
              <w:rPr>
                <w:sz w:val="20"/>
                <w:szCs w:val="20"/>
                <w:color w:val="auto"/>
              </w:rPr>
            </w:pPr>
            <w:r>
              <w:rPr>
                <w:rFonts w:ascii="Courier New" w:cs="Courier New" w:eastAsia="Courier New" w:hAnsi="Courier New"/>
                <w:sz w:val="14"/>
                <w:szCs w:val="14"/>
                <w:color w:val="auto"/>
              </w:rPr>
              <w:t>DIRECTORS</w:t>
            </w:r>
          </w:p>
        </w:tc>
        <w:tc>
          <w:tcPr>
            <w:tcW w:w="3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3800" w:type="dxa"/>
            <w:vAlign w:val="bottom"/>
          </w:tcPr>
          <w:p>
            <w:pPr>
              <w:spacing w:after="0"/>
              <w:rPr>
                <w:sz w:val="20"/>
                <w:szCs w:val="20"/>
                <w:color w:val="auto"/>
              </w:rPr>
            </w:pPr>
            <w:r>
              <w:rPr>
                <w:rFonts w:ascii="Courier New" w:cs="Courier New" w:eastAsia="Courier New" w:hAnsi="Courier New"/>
                <w:sz w:val="14"/>
                <w:szCs w:val="14"/>
                <w:color w:val="auto"/>
              </w:rPr>
              <w:t>BRUCE D. HERTZKE (51)</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JOSEPH W. ENGLAND  (62)</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RICHARD C. SCOTT (68)</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Chairman of the Board, Chief Executive</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Former Senior Vice President</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Vice President, University Development</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Officer and President</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Deere and Company</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Baylor University</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32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JOHN V. HANSON (60)</w:t>
            </w:r>
          </w:p>
        </w:tc>
        <w:tc>
          <w:tcPr>
            <w:tcW w:w="42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FREDERICK M. ZIMMERMAN (66)</w:t>
            </w:r>
          </w:p>
        </w:tc>
        <w:tc>
          <w:tcPr>
            <w:tcW w:w="0" w:type="dxa"/>
            <w:vAlign w:val="bottom"/>
          </w:tcPr>
          <w:p>
            <w:pPr>
              <w:spacing w:after="0"/>
              <w:rPr>
                <w:sz w:val="1"/>
                <w:szCs w:val="1"/>
                <w:color w:val="auto"/>
              </w:rPr>
            </w:pPr>
          </w:p>
        </w:tc>
      </w:tr>
      <w:tr>
        <w:trPr>
          <w:trHeight w:val="90"/>
        </w:trPr>
        <w:tc>
          <w:tcPr>
            <w:tcW w:w="3800" w:type="dxa"/>
            <w:vAlign w:val="bottom"/>
            <w:vMerge w:val="restart"/>
          </w:tcPr>
          <w:p>
            <w:pPr>
              <w:spacing w:after="0"/>
              <w:rPr>
                <w:sz w:val="20"/>
                <w:szCs w:val="20"/>
                <w:color w:val="auto"/>
              </w:rPr>
            </w:pPr>
            <w:r>
              <w:rPr>
                <w:rFonts w:ascii="Courier New" w:cs="Courier New" w:eastAsia="Courier New" w:hAnsi="Courier New"/>
                <w:sz w:val="14"/>
                <w:szCs w:val="14"/>
                <w:color w:val="auto"/>
              </w:rPr>
              <w:t>GERALD E. BOMAN (67)</w:t>
            </w:r>
          </w:p>
        </w:tc>
        <w:tc>
          <w:tcPr>
            <w:tcW w:w="3280" w:type="dxa"/>
            <w:vAlign w:val="bottom"/>
            <w:vMerge w:val="continue"/>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800" w:type="dxa"/>
            <w:vAlign w:val="bottom"/>
            <w:vMerge w:val="continue"/>
          </w:tcPr>
          <w:p>
            <w:pPr>
              <w:spacing w:after="0"/>
              <w:rPr>
                <w:sz w:val="14"/>
                <w:szCs w:val="14"/>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Former Deputy Chairman of the Board</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Professor of Manufacturing Systems Engineering</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Former Senior Vice President</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The University of St. Thomas</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32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GERALD C. KITCH (64)</w:t>
            </w:r>
          </w:p>
        </w:tc>
        <w:tc>
          <w:tcPr>
            <w:tcW w:w="42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LUISE V. HANSON (89)</w:t>
            </w:r>
          </w:p>
        </w:tc>
        <w:tc>
          <w:tcPr>
            <w:tcW w:w="0" w:type="dxa"/>
            <w:vAlign w:val="bottom"/>
          </w:tcPr>
          <w:p>
            <w:pPr>
              <w:spacing w:after="0"/>
              <w:rPr>
                <w:sz w:val="1"/>
                <w:szCs w:val="1"/>
                <w:color w:val="auto"/>
              </w:rPr>
            </w:pPr>
          </w:p>
        </w:tc>
      </w:tr>
      <w:tr>
        <w:trPr>
          <w:trHeight w:val="90"/>
        </w:trPr>
        <w:tc>
          <w:tcPr>
            <w:tcW w:w="3800" w:type="dxa"/>
            <w:vAlign w:val="bottom"/>
            <w:vMerge w:val="restart"/>
          </w:tcPr>
          <w:p>
            <w:pPr>
              <w:spacing w:after="0"/>
              <w:rPr>
                <w:sz w:val="20"/>
                <w:szCs w:val="20"/>
                <w:color w:val="auto"/>
              </w:rPr>
            </w:pPr>
            <w:r>
              <w:rPr>
                <w:rFonts w:ascii="Courier New" w:cs="Courier New" w:eastAsia="Courier New" w:hAnsi="Courier New"/>
                <w:sz w:val="14"/>
                <w:szCs w:val="14"/>
                <w:color w:val="auto"/>
              </w:rPr>
              <w:t>JERRY N. CURRIE (57)</w:t>
            </w:r>
          </w:p>
        </w:tc>
        <w:tc>
          <w:tcPr>
            <w:tcW w:w="3280" w:type="dxa"/>
            <w:vAlign w:val="bottom"/>
            <w:vMerge w:val="continue"/>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800" w:type="dxa"/>
            <w:vAlign w:val="bottom"/>
            <w:vMerge w:val="continue"/>
          </w:tcPr>
          <w:p>
            <w:pPr>
              <w:spacing w:after="0"/>
              <w:rPr>
                <w:sz w:val="14"/>
                <w:szCs w:val="14"/>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Former Executive Vice President</w:t>
            </w:r>
          </w:p>
        </w:tc>
        <w:tc>
          <w:tcPr>
            <w:tcW w:w="4220" w:type="dxa"/>
            <w:vAlign w:val="bottom"/>
          </w:tcPr>
          <w:p>
            <w:pPr>
              <w:ind w:left="240"/>
              <w:spacing w:after="0"/>
              <w:rPr>
                <w:sz w:val="20"/>
                <w:szCs w:val="20"/>
                <w:color w:val="auto"/>
              </w:rPr>
            </w:pPr>
            <w:r>
              <w:rPr>
                <w:rFonts w:ascii="Courier New" w:cs="Courier New" w:eastAsia="Courier New" w:hAnsi="Courier New"/>
                <w:sz w:val="14"/>
                <w:szCs w:val="14"/>
                <w:color w:val="auto"/>
              </w:rPr>
              <w:t>Director Emeritus</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3280" w:type="dxa"/>
            <w:vAlign w:val="bottom"/>
          </w:tcPr>
          <w:p>
            <w:pPr>
              <w:ind w:left="80"/>
              <w:spacing w:after="0"/>
              <w:rPr>
                <w:sz w:val="20"/>
                <w:szCs w:val="20"/>
                <w:color w:val="auto"/>
              </w:rPr>
            </w:pPr>
            <w:r>
              <w:rPr>
                <w:rFonts w:ascii="Courier New" w:cs="Courier New" w:eastAsia="Courier New" w:hAnsi="Courier New"/>
                <w:sz w:val="14"/>
                <w:szCs w:val="14"/>
                <w:color w:val="auto"/>
              </w:rPr>
              <w:t>Pentair, Inc.</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CURRIES Company and GRAHAM Manufacturing</w:t>
            </w:r>
          </w:p>
        </w:tc>
        <w:tc>
          <w:tcPr>
            <w:tcW w:w="32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3800" w:type="dxa"/>
            <w:vAlign w:val="bottom"/>
          </w:tcPr>
          <w:p>
            <w:pPr>
              <w:jc w:val="right"/>
              <w:spacing w:after="0"/>
              <w:rPr>
                <w:sz w:val="20"/>
                <w:szCs w:val="20"/>
                <w:color w:val="auto"/>
              </w:rPr>
            </w:pPr>
            <w:r>
              <w:rPr>
                <w:rFonts w:ascii="Courier New" w:cs="Courier New" w:eastAsia="Courier New" w:hAnsi="Courier New"/>
                <w:sz w:val="14"/>
                <w:szCs w:val="14"/>
                <w:color w:val="auto"/>
              </w:rPr>
              <w:t>OFFICERS</w:t>
            </w:r>
          </w:p>
        </w:tc>
        <w:tc>
          <w:tcPr>
            <w:tcW w:w="3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380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Bruce D. Hertzke (51)</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Robert L. Gossett (51)</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William O'Leary (53)</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Chairman of the Board, Chief Executive</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Vice President, Administration</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Product Development</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Officer and President</w:t>
            </w:r>
          </w:p>
        </w:tc>
        <w:tc>
          <w:tcPr>
            <w:tcW w:w="32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00" w:type="dxa"/>
            <w:vAlign w:val="bottom"/>
            <w:vMerge w:val="restart"/>
          </w:tcPr>
          <w:p>
            <w:pPr>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166"/>
        </w:trPr>
        <w:tc>
          <w:tcPr>
            <w:tcW w:w="3800" w:type="dxa"/>
            <w:vAlign w:val="bottom"/>
            <w:vMerge w:val="continue"/>
          </w:tcPr>
          <w:p>
            <w:pPr>
              <w:spacing w:after="0"/>
              <w:rPr>
                <w:sz w:val="14"/>
                <w:szCs w:val="14"/>
                <w:color w:val="auto"/>
              </w:rPr>
            </w:pP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Brian J. Hrubes (51)</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Robert J. Olson (51)</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Edwin F. Barker (55)</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 Manufacturing</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Vice President, Chief Financial Officer</w:t>
            </w:r>
          </w:p>
        </w:tc>
        <w:tc>
          <w:tcPr>
            <w:tcW w:w="32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00" w:type="dxa"/>
            <w:vAlign w:val="bottom"/>
            <w:vMerge w:val="restart"/>
          </w:tcPr>
          <w:p>
            <w:pPr>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[PHOTO]</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[PHOTO]</w:t>
            </w:r>
          </w:p>
        </w:tc>
        <w:tc>
          <w:tcPr>
            <w:tcW w:w="0" w:type="dxa"/>
            <w:vAlign w:val="bottom"/>
          </w:tcPr>
          <w:p>
            <w:pPr>
              <w:spacing w:after="0"/>
              <w:rPr>
                <w:sz w:val="1"/>
                <w:szCs w:val="1"/>
                <w:color w:val="auto"/>
              </w:rPr>
            </w:pPr>
          </w:p>
        </w:tc>
      </w:tr>
      <w:tr>
        <w:trPr>
          <w:trHeight w:val="166"/>
        </w:trPr>
        <w:tc>
          <w:tcPr>
            <w:tcW w:w="3800" w:type="dxa"/>
            <w:vAlign w:val="bottom"/>
            <w:vMerge w:val="continue"/>
          </w:tcPr>
          <w:p>
            <w:pPr>
              <w:spacing w:after="0"/>
              <w:rPr>
                <w:sz w:val="14"/>
                <w:szCs w:val="14"/>
                <w:color w:val="auto"/>
              </w:rPr>
            </w:pP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James P. Jaskoviak (50)</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Joseph L. Soczek, Jr. (59)</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Raymond M. Beebe (60)</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Vice President, Sales and Marketing</w:t>
            </w: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Treasurer</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Vice President, General Counsel and</w:t>
            </w:r>
          </w:p>
        </w:tc>
        <w:tc>
          <w:tcPr>
            <w:tcW w:w="3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0"/>
                <w:szCs w:val="20"/>
                <w:color w:val="auto"/>
              </w:rPr>
            </w:pPr>
            <w:r>
              <w:rPr>
                <w:rFonts w:ascii="Courier New" w:cs="Courier New" w:eastAsia="Courier New" w:hAnsi="Courier New"/>
                <w:sz w:val="14"/>
                <w:szCs w:val="14"/>
                <w:color w:val="auto"/>
              </w:rPr>
              <w:t>Secretary</w:t>
            </w:r>
          </w:p>
        </w:tc>
        <w:tc>
          <w:tcPr>
            <w:tcW w:w="32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20" w:top="756" w:right="379" w:bottom="1440" w:gutter="0" w:footer="0" w:header="0"/>
        </w:sectPr>
      </w:pPr>
    </w:p>
    <w:bookmarkStart w:id="71" w:name="page72"/>
    <w:bookmarkEnd w:id="71"/>
    <w:p>
      <w:pPr>
        <w:ind w:left="3020"/>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20" w:type="dxa"/>
            <w:vAlign w:val="bottom"/>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JURISDICTION</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PERCENT</w:t>
            </w:r>
          </w:p>
        </w:tc>
        <w:tc>
          <w:tcPr>
            <w:tcW w:w="0" w:type="dxa"/>
            <w:vAlign w:val="bottom"/>
          </w:tcPr>
          <w:p>
            <w:pPr>
              <w:spacing w:after="0"/>
              <w:rPr>
                <w:sz w:val="1"/>
                <w:szCs w:val="1"/>
                <w:color w:val="auto"/>
              </w:rPr>
            </w:pPr>
          </w:p>
        </w:tc>
      </w:tr>
      <w:tr>
        <w:trPr>
          <w:trHeight w:val="166"/>
        </w:trPr>
        <w:tc>
          <w:tcPr>
            <w:tcW w:w="392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NAME OF CORPORATION</w:t>
            </w:r>
          </w:p>
        </w:tc>
        <w:tc>
          <w:tcPr>
            <w:tcW w:w="19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OF</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INCORPORATION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OWNERSHIP</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19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Iowa</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Parent</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Winnebago Health Care Management Company</w:t>
            </w:r>
          </w:p>
        </w:tc>
        <w:tc>
          <w:tcPr>
            <w:tcW w:w="19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Iowa</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Winnebago Acceptance Corporation</w:t>
            </w:r>
          </w:p>
        </w:tc>
        <w:tc>
          <w:tcPr>
            <w:tcW w:w="19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Iowa</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Winnebago R.V., Inc.</w:t>
            </w:r>
          </w:p>
        </w:tc>
        <w:tc>
          <w:tcPr>
            <w:tcW w:w="19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72" w:name="page73"/>
    <w:bookmarkEnd w:id="72"/>
    <w:p>
      <w:pPr>
        <w:ind w:left="3020"/>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We consent to the incorporation by reference in Registration Statements No. 2-40316, No. 2-82109, No. 33-21757, No. 33-59930, and No. 333-31595 of Winnebago Industries, Inc. on Form S-8 of our reports dated October 4, 2002 appearing in and incorporated by reference in the Annual Report on Form 10-K for Winnebago Industries, Inc. for the year ended August 31, 2002.</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3"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Deloitte &amp; Touche LLP Minneapolis, Minnesota November 25, 2002</w:t>
      </w:r>
    </w:p>
    <w:p>
      <w:pPr>
        <w:sectPr>
          <w:pgSz w:w="11900" w:h="16838" w:orient="portrait"/>
          <w:cols w:equalWidth="0" w:num="1">
            <w:col w:w="10239"/>
          </w:cols>
          <w:pgMar w:left="220" w:top="115" w:right="1440" w:bottom="1440" w:gutter="0" w:footer="0" w:header="0"/>
        </w:sectPr>
      </w:pPr>
    </w:p>
    <w:bookmarkStart w:id="73" w:name="page74"/>
    <w:bookmarkEnd w:id="73"/>
    <w:p>
      <w:pPr>
        <w:ind w:left="3020"/>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WRITTEN STATEMENT BY THE CHIEF EXECUTIVE OFFICER AND THE</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CHIEF FINANCIAL OFFICER</w:t>
      </w:r>
    </w:p>
    <w:p>
      <w:pPr>
        <w:spacing w:after="0" w:line="147" w:lineRule="exact"/>
        <w:rPr>
          <w:sz w:val="20"/>
          <w:szCs w:val="20"/>
          <w:color w:val="auto"/>
        </w:rPr>
      </w:pPr>
    </w:p>
    <w:p>
      <w:pPr>
        <w:ind w:left="440" w:right="3939" w:hanging="432"/>
        <w:spacing w:after="0" w:line="37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Bruce D. Hertzke, Chief Executive Officer and President and Edwin F. Barker, Chief Financial Officer, each certify that:</w:t>
      </w:r>
    </w:p>
    <w:p>
      <w:pPr>
        <w:spacing w:after="0" w:line="1" w:lineRule="exact"/>
        <w:rPr>
          <w:rFonts w:ascii="Courier New" w:cs="Courier New" w:eastAsia="Courier New" w:hAnsi="Courier New"/>
          <w:sz w:val="14"/>
          <w:szCs w:val="14"/>
          <w:color w:val="auto"/>
        </w:rPr>
      </w:pPr>
    </w:p>
    <w:p>
      <w:pPr>
        <w:ind w:left="860" w:right="3339" w:hanging="421"/>
        <w:spacing w:after="0" w:line="275" w:lineRule="auto"/>
        <w:tabs>
          <w:tab w:leader="none" w:pos="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("periodic report") of Winnebago Industries, Inc. (the "issuer"), for the fiscal year ended August 31, 2002, as filed with the Securities and Exchange Commission on the date of this certificate, which this statement accompanies, fully complies with the requirements of Section 13(a) or 15(d) of the Securities Exchange Act of 1934, and</w:t>
      </w:r>
    </w:p>
    <w:p>
      <w:pPr>
        <w:spacing w:after="0" w:line="69" w:lineRule="exact"/>
        <w:rPr>
          <w:rFonts w:ascii="Courier New" w:cs="Courier New" w:eastAsia="Courier New" w:hAnsi="Courier New"/>
          <w:sz w:val="14"/>
          <w:szCs w:val="14"/>
          <w:color w:val="auto"/>
        </w:rPr>
      </w:pPr>
    </w:p>
    <w:p>
      <w:pPr>
        <w:ind w:left="860" w:right="3519" w:hanging="421"/>
        <w:spacing w:after="0" w:line="313" w:lineRule="auto"/>
        <w:tabs>
          <w:tab w:leader="none" w:pos="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that periodic report fairly represents, in all material respects, the financial condition and results of operations of the issuer.</w:t>
      </w:r>
    </w:p>
    <w:p>
      <w:pPr>
        <w:spacing w:after="0" w:line="42" w:lineRule="exact"/>
        <w:rPr>
          <w:rFonts w:ascii="Courier New" w:cs="Courier New" w:eastAsia="Courier New" w:hAnsi="Courier New"/>
          <w:sz w:val="14"/>
          <w:szCs w:val="14"/>
          <w:color w:val="auto"/>
        </w:rPr>
      </w:pPr>
    </w:p>
    <w:p>
      <w:pPr>
        <w:ind w:left="440" w:right="3339" w:hanging="432"/>
        <w:spacing w:after="0" w:line="313"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statement is provided pursuant to the requirements of Section 906 of the Sarbanes - Oxley Act of 2002, codified as Section 1350 of Chapter 63 of Title 18 U.S.C.</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25, 2002</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By: /S/ BRUCE D. HERTZKE</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and President</w:t>
      </w:r>
    </w:p>
    <w:p>
      <w:pPr>
        <w:spacing w:after="0" w:line="14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By: /S/ EDWIN F. BARKER</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Edwin F. Barker</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Chief Financial Officer</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lowerLetter"/>
      <w:start w:val="2"/>
    </w:lvl>
  </w:abstractNum>
  <w:abstractNum w:abstractNumId="6">
    <w:nsid w:val="2443A858"/>
    <w:multiLevelType w:val="hybridMultilevel"/>
    <w:lvl w:ilvl="0">
      <w:lvlJc w:val="left"/>
      <w:lvlText w:val="%1."/>
      <w:numFmt w:val="decimal"/>
      <w:start w:val="1"/>
    </w:lvl>
    <w:lvl w:ilvl="1">
      <w:lvlJc w:val="left"/>
      <w:lvlText w:val="%2)"/>
      <w:numFmt w:val="lowerLetter"/>
      <w:start w:val="1"/>
    </w:lvl>
  </w:abstractNum>
  <w:abstractNum w:abstractNumId="7">
    <w:nsid w:val="2D1D5AE9"/>
    <w:multiLevelType w:val="hybridMultilevel"/>
    <w:lvl w:ilvl="0">
      <w:lvlJc w:val="left"/>
      <w:lvlText w:val="%1."/>
      <w:numFmt w:val="decimal"/>
      <w:start w:val="1"/>
    </w:lvl>
    <w:lvl w:ilvl="1">
      <w:lvlJc w:val="left"/>
      <w:lvlText w:val="%2)"/>
      <w:numFmt w:val="lowerLetter"/>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3"/>
    </w:lvl>
  </w:abstractNum>
  <w:abstractNum w:abstractNumId="11">
    <w:nsid w:val="79838CB2"/>
    <w:multiLevelType w:val="hybridMultilevel"/>
    <w:lvl w:ilvl="0">
      <w:lvlJc w:val="left"/>
      <w:lvlText w:val="%1."/>
      <w:numFmt w:val="decimal"/>
      <w:start w:val="21"/>
    </w:lvl>
  </w:abstractNum>
  <w:abstractNum w:abstractNumId="12">
    <w:nsid w:val="4353D0CD"/>
    <w:multiLevelType w:val="hybridMultilevel"/>
    <w:lvl w:ilvl="0">
      <w:lvlJc w:val="left"/>
      <w:lvlText w:val="%1."/>
      <w:numFmt w:val="decimal"/>
      <w:start w:val="23"/>
    </w:lvl>
  </w:abstractNum>
  <w:abstractNum w:abstractNumId="13">
    <w:nsid w:val="B03E0C6"/>
    <w:multiLevelType w:val="hybridMultilevel"/>
    <w:lvl w:ilvl="0">
      <w:lvlJc w:val="left"/>
      <w:lvlText w:val="%1."/>
      <w:numFmt w:val="decimal"/>
      <w:start w:val="1"/>
    </w:lvl>
    <w:lvl w:ilvl="1">
      <w:lvlJc w:val="left"/>
      <w:lvlText w:val="%2."/>
      <w:numFmt w:val="lowerLetter"/>
      <w:start w:val="1"/>
    </w:lvl>
  </w:abstractNum>
  <w:abstractNum w:abstractNumId="14">
    <w:nsid w:val="189A769B"/>
    <w:multiLevelType w:val="hybridMultilevel"/>
    <w:lvl w:ilvl="0">
      <w:lvlJc w:val="left"/>
      <w:lvlText w:val="%1."/>
      <w:numFmt w:val="decimal"/>
      <w:start w:val="6"/>
    </w:lvl>
  </w:abstractNum>
  <w:abstractNum w:abstractNumId="15">
    <w:nsid w:val="54E49EB4"/>
    <w:multiLevelType w:val="hybridMultilevel"/>
    <w:lvl w:ilvl="0">
      <w:lvlJc w:val="left"/>
      <w:lvlText w:val="%1."/>
      <w:numFmt w:val="decimal"/>
      <w:start w:val="7"/>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decimal"/>
      <w:start w:val="9"/>
    </w:lvl>
  </w:abstractNum>
  <w:abstractNum w:abstractNumId="18">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9">
    <w:nsid w:val="2901D82"/>
    <w:multiLevelType w:val="hybridMultilevel"/>
    <w:lvl w:ilvl="0">
      <w:lvlJc w:val="left"/>
      <w:lvlText w:val="%1."/>
      <w:numFmt w:val="decimal"/>
      <w:start w:val="6"/>
    </w:lvl>
    <w:lvl w:ilvl="1">
      <w:lvlJc w:val="left"/>
      <w:lvlText w:val="(%2)"/>
      <w:numFmt w:val="decimal"/>
      <w:start w:val="3"/>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decimal"/>
      <w:start w:val="1"/>
    </w:lvl>
    <w:lvl w:ilvl="1">
      <w:lvlJc w:val="left"/>
      <w:lvlText w:val="(%2)"/>
      <w:numFmt w:val="lowerLetter"/>
      <w:start w:val="2"/>
    </w:lvl>
  </w:abstractNum>
  <w:abstractNum w:abstractNumId="22">
    <w:nsid w:val="1E7FF521"/>
    <w:multiLevelType w:val="hybridMultilevel"/>
    <w:lvl w:ilvl="0">
      <w:lvlJc w:val="left"/>
      <w:lvlText w:val="%1."/>
      <w:numFmt w:val="decimal"/>
      <w:start w:val="7"/>
    </w:lvl>
    <w:lvl w:ilvl="1">
      <w:lvlJc w:val="left"/>
      <w:lvlText w:val="%2"/>
      <w:numFmt w:val="lowerLetter"/>
      <w:start w:val="1"/>
    </w:lvl>
  </w:abstractNum>
  <w:abstractNum w:abstractNumId="23">
    <w:nsid w:val="7C3DBD3D"/>
    <w:multiLevelType w:val="hybridMultilevel"/>
    <w:lvl w:ilvl="0">
      <w:lvlJc w:val="left"/>
      <w:lvlText w:val="%1."/>
      <w:numFmt w:val="decimal"/>
      <w:start w:val="7"/>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3"/>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2019-12-13T08:34:31Z</dcterms:created>
  <dcterms:modified xsi:type="dcterms:W3CDTF">2019-12-13T08:34:31Z</dcterms:modified>
</cp:coreProperties>
</file>