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0"/>
        <w:spacing w:after="0"/>
        <w:rPr>
          <w:sz w:val="20"/>
          <w:szCs w:val="20"/>
          <w:color w:val="auto"/>
        </w:rPr>
      </w:pPr>
      <w:r>
        <w:rPr>
          <w:rFonts w:ascii="Arial" w:cs="Arial" w:eastAsia="Arial" w:hAnsi="Arial"/>
          <w:sz w:val="15"/>
          <w:szCs w:val="15"/>
          <w:color w:val="auto"/>
        </w:rPr>
        <w:t>Winnebago Industries, Inc.</w:t>
      </w:r>
    </w:p>
    <w:p>
      <w:pPr>
        <w:spacing w:after="0" w:line="55" w:lineRule="exact"/>
        <w:rPr>
          <w:sz w:val="24"/>
          <w:szCs w:val="24"/>
          <w:color w:val="auto"/>
        </w:rPr>
      </w:pPr>
    </w:p>
    <w:p>
      <w:pPr>
        <w:jc w:val="center"/>
        <w:ind w:right="200"/>
        <w:spacing w:after="0"/>
        <w:rPr>
          <w:sz w:val="20"/>
          <w:szCs w:val="20"/>
          <w:color w:val="auto"/>
        </w:rPr>
      </w:pPr>
      <w:r>
        <w:rPr>
          <w:rFonts w:ascii="Arial" w:cs="Arial" w:eastAsia="Arial" w:hAnsi="Arial"/>
          <w:sz w:val="15"/>
          <w:szCs w:val="15"/>
          <w:color w:val="auto"/>
        </w:rPr>
        <w:t>P.O. Box 152</w:t>
      </w:r>
    </w:p>
    <w:p>
      <w:pPr>
        <w:spacing w:after="0" w:line="55" w:lineRule="exact"/>
        <w:rPr>
          <w:sz w:val="24"/>
          <w:szCs w:val="24"/>
          <w:color w:val="auto"/>
        </w:rPr>
      </w:pPr>
    </w:p>
    <w:p>
      <w:pPr>
        <w:jc w:val="center"/>
        <w:ind w:right="200"/>
        <w:spacing w:after="0"/>
        <w:rPr>
          <w:sz w:val="20"/>
          <w:szCs w:val="20"/>
          <w:color w:val="auto"/>
        </w:rPr>
      </w:pPr>
      <w:r>
        <w:rPr>
          <w:rFonts w:ascii="Arial" w:cs="Arial" w:eastAsia="Arial" w:hAnsi="Arial"/>
          <w:sz w:val="15"/>
          <w:szCs w:val="15"/>
          <w:color w:val="auto"/>
        </w:rPr>
        <w:t>Forest City, IA 50436</w:t>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0"/>
        <w:spacing w:after="0"/>
        <w:rPr>
          <w:sz w:val="20"/>
          <w:szCs w:val="20"/>
          <w:color w:val="auto"/>
        </w:rPr>
      </w:pPr>
      <w:r>
        <w:rPr>
          <w:rFonts w:ascii="Arial" w:cs="Arial" w:eastAsia="Arial" w:hAnsi="Arial"/>
          <w:sz w:val="15"/>
          <w:szCs w:val="15"/>
          <w:color w:val="auto"/>
        </w:rPr>
        <w:t>May 1, 2013</w:t>
      </w:r>
    </w:p>
    <w:p>
      <w:pPr>
        <w:spacing w:after="0" w:line="386" w:lineRule="exact"/>
        <w:rPr>
          <w:sz w:val="24"/>
          <w:szCs w:val="24"/>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100 F Street, N.E.</w:t>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2080"/>
        <w:spacing w:after="0"/>
        <w:tabs>
          <w:tab w:leader="none" w:pos="3780" w:val="left"/>
        </w:tabs>
        <w:rPr>
          <w:sz w:val="20"/>
          <w:szCs w:val="20"/>
          <w:color w:val="auto"/>
        </w:rPr>
      </w:pPr>
      <w:r>
        <w:rPr>
          <w:rFonts w:ascii="Arial" w:cs="Arial" w:eastAsia="Arial" w:hAnsi="Arial"/>
          <w:sz w:val="15"/>
          <w:szCs w:val="15"/>
          <w:color w:val="auto"/>
        </w:rPr>
        <w:t>Re:</w:t>
      </w:r>
      <w:r>
        <w:rPr>
          <w:sz w:val="20"/>
          <w:szCs w:val="20"/>
          <w:color w:val="auto"/>
        </w:rPr>
        <w:tab/>
      </w:r>
      <w:r>
        <w:rPr>
          <w:rFonts w:ascii="Arial" w:cs="Arial" w:eastAsia="Arial" w:hAnsi="Arial"/>
          <w:sz w:val="15"/>
          <w:szCs w:val="15"/>
          <w:color w:val="auto"/>
        </w:rPr>
        <w:t>Winnebago Industries, Inc. Form S-3</w:t>
      </w:r>
    </w:p>
    <w:p>
      <w:pPr>
        <w:spacing w:after="0" w:line="55" w:lineRule="exact"/>
        <w:rPr>
          <w:sz w:val="24"/>
          <w:szCs w:val="24"/>
          <w:color w:val="auto"/>
        </w:rPr>
      </w:pPr>
    </w:p>
    <w:p>
      <w:pPr>
        <w:ind w:left="3800"/>
        <w:spacing w:after="0"/>
        <w:rPr>
          <w:sz w:val="20"/>
          <w:szCs w:val="20"/>
          <w:color w:val="auto"/>
        </w:rPr>
      </w:pPr>
      <w:r>
        <w:rPr>
          <w:rFonts w:ascii="Arial" w:cs="Arial" w:eastAsia="Arial" w:hAnsi="Arial"/>
          <w:sz w:val="15"/>
          <w:szCs w:val="15"/>
          <w:u w:val="single" w:color="auto"/>
          <w:color w:val="auto"/>
        </w:rPr>
        <w:t>(Registration No. 333-187720)</w:t>
      </w:r>
    </w:p>
    <w:p>
      <w:pPr>
        <w:spacing w:after="0" w:line="386" w:lineRule="exact"/>
        <w:rPr>
          <w:sz w:val="24"/>
          <w:szCs w:val="24"/>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99" w:lineRule="exact"/>
        <w:rPr>
          <w:sz w:val="24"/>
          <w:szCs w:val="24"/>
          <w:color w:val="auto"/>
        </w:rPr>
      </w:pPr>
    </w:p>
    <w:p>
      <w:pPr>
        <w:ind w:right="60" w:firstLine="547"/>
        <w:spacing w:after="0" w:line="265" w:lineRule="auto"/>
        <w:rPr>
          <w:sz w:val="20"/>
          <w:szCs w:val="20"/>
          <w:color w:val="auto"/>
        </w:rPr>
      </w:pPr>
      <w:r>
        <w:rPr>
          <w:rFonts w:ascii="Arial" w:cs="Arial" w:eastAsia="Arial" w:hAnsi="Arial"/>
          <w:sz w:val="15"/>
          <w:szCs w:val="15"/>
          <w:color w:val="auto"/>
        </w:rPr>
        <w:t xml:space="preserve">The undersigned, Winnebago Industries, Inc., (the </w:t>
      </w:r>
      <w:r>
        <w:rPr>
          <w:rFonts w:ascii="Arial" w:cs="Arial" w:eastAsia="Arial" w:hAnsi="Arial"/>
          <w:sz w:val="15"/>
          <w:szCs w:val="15"/>
          <w:i w:val="1"/>
          <w:iCs w:val="1"/>
          <w:color w:val="auto"/>
        </w:rPr>
        <w:t>“Registrant”</w:t>
      </w:r>
      <w:r>
        <w:rPr>
          <w:rFonts w:ascii="Arial" w:cs="Arial" w:eastAsia="Arial" w:hAnsi="Arial"/>
          <w:sz w:val="15"/>
          <w:szCs w:val="15"/>
          <w:color w:val="auto"/>
        </w:rPr>
        <w:t>), pursuant to the provisions of Rule 461 of the General Rules and Conditions of the Securities and Exchange Commission under the Securities Act of 1933, as amended, hereby respectfully requests that the Commission grant acceleration of the effectiveness of the Registrant's Registration Statement, as amended, so that the same may become effective at 12:00 p.m. Eastern Time on May 3, 2013, or as soon thereafter as practicable.</w:t>
      </w:r>
    </w:p>
    <w:p>
      <w:pPr>
        <w:spacing w:after="0" w:line="188" w:lineRule="exact"/>
        <w:rPr>
          <w:sz w:val="24"/>
          <w:szCs w:val="24"/>
          <w:color w:val="auto"/>
        </w:rPr>
      </w:pPr>
    </w:p>
    <w:p>
      <w:pPr>
        <w:ind w:left="540"/>
        <w:spacing w:after="0"/>
        <w:rPr>
          <w:sz w:val="20"/>
          <w:szCs w:val="20"/>
          <w:color w:val="auto"/>
        </w:rPr>
      </w:pPr>
      <w:r>
        <w:rPr>
          <w:rFonts w:ascii="Arial" w:cs="Arial" w:eastAsia="Arial" w:hAnsi="Arial"/>
          <w:sz w:val="15"/>
          <w:szCs w:val="15"/>
          <w:color w:val="auto"/>
        </w:rPr>
        <w:t>The Registrant hereby acknowledges that:</w:t>
      </w:r>
    </w:p>
    <w:p>
      <w:pPr>
        <w:spacing w:after="0" w:line="101" w:lineRule="exact"/>
        <w:rPr>
          <w:sz w:val="24"/>
          <w:szCs w:val="24"/>
          <w:color w:val="auto"/>
        </w:rPr>
      </w:pPr>
    </w:p>
    <w:p>
      <w:pPr>
        <w:ind w:left="1080" w:right="200" w:hanging="269"/>
        <w:spacing w:after="0" w:line="265"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should the Commission or the staff, acting pursuant to delegated authority, declare the filing effective, it does not foreclose the Commission from taking any action with respect to the filing;</w:t>
      </w:r>
    </w:p>
    <w:p>
      <w:pPr>
        <w:spacing w:after="0" w:line="74" w:lineRule="exact"/>
        <w:rPr>
          <w:rFonts w:ascii="Arial" w:cs="Arial" w:eastAsia="Arial" w:hAnsi="Arial"/>
          <w:sz w:val="15"/>
          <w:szCs w:val="15"/>
          <w:color w:val="auto"/>
        </w:rPr>
      </w:pPr>
    </w:p>
    <w:p>
      <w:pPr>
        <w:ind w:left="1080" w:hanging="269"/>
        <w:spacing w:after="0" w:line="265"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action of the Commission or the staff, acting pursuant to delegated authority, in declaring the filing effective, does not relieve the Registrant from its full responsibility for the adequacy and accuracy of the disclosure in the filing; and</w:t>
      </w:r>
    </w:p>
    <w:p>
      <w:pPr>
        <w:spacing w:after="0" w:line="74" w:lineRule="exact"/>
        <w:rPr>
          <w:rFonts w:ascii="Arial" w:cs="Arial" w:eastAsia="Arial" w:hAnsi="Arial"/>
          <w:sz w:val="15"/>
          <w:szCs w:val="15"/>
          <w:color w:val="auto"/>
        </w:rPr>
      </w:pPr>
    </w:p>
    <w:p>
      <w:pPr>
        <w:ind w:left="1080" w:hanging="269"/>
        <w:spacing w:after="0" w:line="265"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Registrant may not assert the declaration of effectiveness as a defense in any proceeding initiated by the Commission or any person under the federal securities laws of the United States.</w:t>
      </w:r>
    </w:p>
    <w:p>
      <w:pPr>
        <w:spacing w:after="0" w:line="200" w:lineRule="exact"/>
        <w:rPr>
          <w:sz w:val="24"/>
          <w:szCs w:val="24"/>
          <w:color w:val="auto"/>
        </w:rPr>
      </w:pPr>
    </w:p>
    <w:p>
      <w:pPr>
        <w:spacing w:after="0" w:line="205" w:lineRule="exact"/>
        <w:rPr>
          <w:sz w:val="24"/>
          <w:szCs w:val="24"/>
          <w:color w:val="auto"/>
        </w:rPr>
      </w:pPr>
    </w:p>
    <w:p>
      <w:pPr>
        <w:ind w:left="7260"/>
        <w:spacing w:after="0"/>
        <w:rPr>
          <w:sz w:val="20"/>
          <w:szCs w:val="20"/>
          <w:color w:val="auto"/>
        </w:rPr>
      </w:pPr>
      <w:r>
        <w:rPr>
          <w:rFonts w:ascii="Arial" w:cs="Arial" w:eastAsia="Arial" w:hAnsi="Arial"/>
          <w:sz w:val="15"/>
          <w:szCs w:val="15"/>
          <w:color w:val="auto"/>
        </w:rPr>
        <w:t>Very truly yours,</w:t>
      </w:r>
    </w:p>
    <w:p>
      <w:pPr>
        <w:spacing w:after="0" w:line="329" w:lineRule="exact"/>
        <w:rPr>
          <w:sz w:val="24"/>
          <w:szCs w:val="24"/>
          <w:color w:val="auto"/>
        </w:rPr>
      </w:pPr>
    </w:p>
    <w:p>
      <w:pPr>
        <w:ind w:left="7260"/>
        <w:spacing w:after="0"/>
        <w:rPr>
          <w:sz w:val="20"/>
          <w:szCs w:val="20"/>
          <w:color w:val="auto"/>
        </w:rPr>
      </w:pPr>
      <w:r>
        <w:rPr>
          <w:rFonts w:ascii="Arial" w:cs="Arial" w:eastAsia="Arial" w:hAnsi="Arial"/>
          <w:sz w:val="15"/>
          <w:szCs w:val="15"/>
          <w:color w:val="auto"/>
        </w:rPr>
        <w:t>W</w:t>
      </w:r>
      <w:r>
        <w:rPr>
          <w:rFonts w:ascii="Arial" w:cs="Arial" w:eastAsia="Arial" w:hAnsi="Arial"/>
          <w:sz w:val="12"/>
          <w:szCs w:val="12"/>
          <w:color w:val="auto"/>
        </w:rPr>
        <w:t>INNEBAGO</w:t>
      </w:r>
      <w:r>
        <w:rPr>
          <w:rFonts w:ascii="Arial" w:cs="Arial" w:eastAsia="Arial" w:hAnsi="Arial"/>
          <w:sz w:val="15"/>
          <w:szCs w:val="15"/>
          <w:color w:val="auto"/>
        </w:rPr>
        <w:t xml:space="preserve"> I</w:t>
      </w:r>
      <w:r>
        <w:rPr>
          <w:rFonts w:ascii="Arial" w:cs="Arial" w:eastAsia="Arial" w:hAnsi="Arial"/>
          <w:sz w:val="12"/>
          <w:szCs w:val="12"/>
          <w:color w:val="auto"/>
        </w:rPr>
        <w:t>NDUSTRIES,</w:t>
      </w:r>
      <w:r>
        <w:rPr>
          <w:rFonts w:ascii="Arial" w:cs="Arial" w:eastAsia="Arial" w:hAnsi="Arial"/>
          <w:sz w:val="15"/>
          <w:szCs w:val="15"/>
          <w:color w:val="auto"/>
        </w:rPr>
        <w:t xml:space="preserve"> I</w:t>
      </w:r>
      <w:r>
        <w:rPr>
          <w:rFonts w:ascii="Arial" w:cs="Arial" w:eastAsia="Arial" w:hAnsi="Arial"/>
          <w:sz w:val="12"/>
          <w:szCs w:val="12"/>
          <w:color w:val="auto"/>
        </w:rPr>
        <w:t>NC.</w:t>
      </w:r>
    </w:p>
    <w:p>
      <w:pPr>
        <w:spacing w:after="0" w:line="329" w:lineRule="exact"/>
        <w:rPr>
          <w:sz w:val="24"/>
          <w:szCs w:val="24"/>
          <w:color w:val="auto"/>
        </w:rPr>
      </w:pPr>
    </w:p>
    <w:p>
      <w:pPr>
        <w:ind w:left="7260"/>
        <w:spacing w:after="0"/>
        <w:tabs>
          <w:tab w:leader="none" w:pos="7620" w:val="left"/>
        </w:tabs>
        <w:rPr>
          <w:sz w:val="20"/>
          <w:szCs w:val="20"/>
          <w:color w:val="auto"/>
        </w:rPr>
      </w:pPr>
      <w:r>
        <w:rPr>
          <w:rFonts w:ascii="Arial" w:cs="Arial" w:eastAsia="Arial" w:hAnsi="Arial"/>
          <w:sz w:val="15"/>
          <w:szCs w:val="15"/>
          <w:color w:val="auto"/>
        </w:rPr>
        <w:t>By:</w:t>
        <w:tab/>
        <w:t>/s/ Scott C. Folkers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4832350</wp:posOffset>
            </wp:positionH>
            <wp:positionV relativeFrom="paragraph">
              <wp:posOffset>13970</wp:posOffset>
            </wp:positionV>
            <wp:extent cx="23647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4740" cy="6985"/>
                    </a:xfrm>
                    <a:prstGeom prst="rect">
                      <a:avLst/>
                    </a:prstGeom>
                    <a:noFill/>
                  </pic:spPr>
                </pic:pic>
              </a:graphicData>
            </a:graphic>
          </wp:anchor>
        </w:drawing>
      </w:r>
    </w:p>
    <w:p>
      <w:pPr>
        <w:spacing w:after="0" w:line="35" w:lineRule="exact"/>
        <w:rPr>
          <w:sz w:val="24"/>
          <w:szCs w:val="24"/>
          <w:color w:val="auto"/>
        </w:rPr>
      </w:pPr>
    </w:p>
    <w:p>
      <w:pPr>
        <w:ind w:left="7640"/>
        <w:spacing w:after="0"/>
        <w:rPr>
          <w:sz w:val="20"/>
          <w:szCs w:val="20"/>
          <w:color w:val="auto"/>
        </w:rPr>
      </w:pPr>
      <w:r>
        <w:rPr>
          <w:rFonts w:ascii="Arial" w:cs="Arial" w:eastAsia="Arial" w:hAnsi="Arial"/>
          <w:sz w:val="15"/>
          <w:szCs w:val="15"/>
          <w:color w:val="auto"/>
        </w:rPr>
        <w:t>Scott C. Folkers</w:t>
      </w:r>
    </w:p>
    <w:p>
      <w:pPr>
        <w:spacing w:after="0" w:line="55" w:lineRule="exact"/>
        <w:rPr>
          <w:sz w:val="24"/>
          <w:szCs w:val="24"/>
          <w:color w:val="auto"/>
        </w:rPr>
      </w:pPr>
    </w:p>
    <w:p>
      <w:pPr>
        <w:ind w:left="7640"/>
        <w:spacing w:after="0"/>
        <w:rPr>
          <w:sz w:val="20"/>
          <w:szCs w:val="20"/>
          <w:color w:val="auto"/>
        </w:rPr>
      </w:pPr>
      <w:r>
        <w:rPr>
          <w:rFonts w:ascii="Arial" w:cs="Arial" w:eastAsia="Arial" w:hAnsi="Arial"/>
          <w:sz w:val="15"/>
          <w:szCs w:val="15"/>
          <w:color w:val="auto"/>
        </w:rPr>
        <w:t>Vice President, General Counsel and Secretary</w:t>
      </w:r>
    </w:p>
    <w:sectPr>
      <w:pgSz w:w="11900" w:h="16838" w:orient="portrait"/>
      <w:cols w:equalWidth="0" w:num="1">
        <w:col w:w="11400"/>
      </w:cols>
      <w:pgMar w:left="240" w:top="94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2019-12-05T16:37:43Z</dcterms:created>
  <dcterms:modified xsi:type="dcterms:W3CDTF">2019-12-05T16:37:43Z</dcterms:modified>
</cp:coreProperties>
</file>