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169"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974637100</w:t>
      </w:r>
    </w:p>
    <w:p>
      <w:pPr>
        <w:spacing w:after="0"/>
        <w:rPr>
          <w:sz w:val="20"/>
          <w:szCs w:val="20"/>
          <w:color w:val="auto"/>
        </w:rPr>
      </w:pPr>
      <w:r>
        <w:rPr>
          <w:rFonts w:ascii="Courier New" w:cs="Courier New" w:eastAsia="Courier New" w:hAnsi="Courier New"/>
          <w:sz w:val="18"/>
          <w:szCs w:val="18"/>
          <w:color w:val="auto"/>
        </w:rPr>
        <w:t>Amendment</w:t>
      </w:r>
    </w:p>
    <w:p>
      <w:pPr>
        <w:spacing w:after="0" w:line="16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974637100</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Dimensional Fund Advisors Inc. (Tax ID: 22-2370029)</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Delaware Corporation</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643,800</w:t>
            </w:r>
          </w:p>
        </w:tc>
        <w:tc>
          <w:tcPr>
            <w:tcW w:w="3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643,800</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643,800</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311"/>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rPr>
              <w:t>2.95</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16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WINNEBAGO INDS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4"/>
          <w:szCs w:val="24"/>
          <w:color w:val="auto"/>
        </w:rPr>
      </w:pPr>
    </w:p>
    <w:p>
      <w:pPr>
        <w:ind w:left="1280"/>
        <w:spacing w:after="0"/>
        <w:tabs>
          <w:tab w:leader="none" w:pos="304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6"/>
          <w:szCs w:val="16"/>
          <w:color w:val="auto"/>
        </w:rPr>
        <w:t>50436</w:t>
      </w:r>
    </w:p>
    <w:p>
      <w:pPr>
        <w:spacing w:after="0" w:line="37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ind w:left="1280" w:right="2979" w:hanging="1263"/>
        <w:spacing w:after="0" w:line="274"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20"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spacing w:after="0"/>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643,800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spacing w:after="0"/>
              <w:rPr>
                <w:sz w:val="20"/>
                <w:szCs w:val="20"/>
                <w:color w:val="auto"/>
              </w:rPr>
            </w:pPr>
            <w:r>
              <w:rPr>
                <w:rFonts w:ascii="Courier New" w:cs="Courier New" w:eastAsia="Courier New" w:hAnsi="Courier New"/>
                <w:sz w:val="18"/>
                <w:szCs w:val="18"/>
                <w:color w:val="auto"/>
              </w:rPr>
              <w:t>ITEM 4(c).</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2.95</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c>
          <w:tcPr>
            <w:tcW w:w="0" w:type="dxa"/>
            <w:vAlign w:val="bottom"/>
          </w:tcPr>
          <w:p>
            <w:pPr>
              <w:spacing w:after="0"/>
              <w:rPr>
                <w:sz w:val="1"/>
                <w:szCs w:val="1"/>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(ii).</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643,800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c>
          <w:tcPr>
            <w:tcW w:w="0" w:type="dxa"/>
            <w:vAlign w:val="bottom"/>
          </w:tcPr>
          <w:p>
            <w:pPr>
              <w:spacing w:after="0"/>
              <w:rPr>
                <w:sz w:val="1"/>
                <w:szCs w:val="1"/>
                <w:color w:val="auto"/>
              </w:rPr>
            </w:pPr>
          </w:p>
        </w:tc>
      </w:tr>
      <w:tr>
        <w:trPr>
          <w:trHeight w:val="203"/>
        </w:trPr>
        <w:tc>
          <w:tcPr>
            <w:tcW w:w="12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(iii).</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(iv).</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643,800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c>
          <w:tcPr>
            <w:tcW w:w="0" w:type="dxa"/>
            <w:vAlign w:val="bottom"/>
          </w:tcPr>
          <w:p>
            <w:pPr>
              <w:spacing w:after="0"/>
              <w:rPr>
                <w:sz w:val="1"/>
                <w:szCs w:val="1"/>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c>
          <w:tcPr>
            <w:tcW w:w="0" w:type="dxa"/>
            <w:vAlign w:val="bottom"/>
          </w:tcPr>
          <w:p>
            <w:pPr>
              <w:spacing w:after="0"/>
              <w:rPr>
                <w:sz w:val="1"/>
                <w:szCs w:val="1"/>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c>
          <w:tcPr>
            <w:tcW w:w="0" w:type="dxa"/>
            <w:vAlign w:val="bottom"/>
          </w:tcPr>
          <w:p>
            <w:pPr>
              <w:spacing w:after="0"/>
              <w:rPr>
                <w:sz w:val="1"/>
                <w:szCs w:val="1"/>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c>
          <w:tcPr>
            <w:tcW w:w="0" w:type="dxa"/>
            <w:vAlign w:val="bottom"/>
          </w:tcPr>
          <w:p>
            <w:pPr>
              <w:spacing w:after="0"/>
              <w:rPr>
                <w:sz w:val="1"/>
                <w:szCs w:val="1"/>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c>
          <w:tcPr>
            <w:tcW w:w="0" w:type="dxa"/>
            <w:vAlign w:val="bottom"/>
          </w:tcPr>
          <w:p>
            <w:pPr>
              <w:spacing w:after="0"/>
              <w:rPr>
                <w:sz w:val="1"/>
                <w:szCs w:val="1"/>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c>
          <w:tcPr>
            <w:tcW w:w="0" w:type="dxa"/>
            <w:vAlign w:val="bottom"/>
          </w:tcPr>
          <w:p>
            <w:pPr>
              <w:spacing w:after="0"/>
              <w:rPr>
                <w:sz w:val="1"/>
                <w:szCs w:val="1"/>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c>
          <w:tcPr>
            <w:tcW w:w="0" w:type="dxa"/>
            <w:vAlign w:val="bottom"/>
          </w:tcPr>
          <w:p>
            <w:pPr>
              <w:spacing w:after="0"/>
              <w:rPr>
                <w:sz w:val="1"/>
                <w:szCs w:val="1"/>
                <w:color w:val="auto"/>
              </w:rPr>
            </w:pP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c>
          <w:tcPr>
            <w:tcW w:w="0" w:type="dxa"/>
            <w:vAlign w:val="bottom"/>
          </w:tcPr>
          <w:p>
            <w:pPr>
              <w:spacing w:after="0"/>
              <w:rPr>
                <w:sz w:val="1"/>
                <w:szCs w:val="1"/>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c>
          <w:tcPr>
            <w:tcW w:w="0" w:type="dxa"/>
            <w:vAlign w:val="bottom"/>
          </w:tcPr>
          <w:p>
            <w:pPr>
              <w:spacing w:after="0"/>
              <w:rPr>
                <w:sz w:val="1"/>
                <w:szCs w:val="1"/>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c>
          <w:tcPr>
            <w:tcW w:w="0" w:type="dxa"/>
            <w:vAlign w:val="bottom"/>
          </w:tcPr>
          <w:p>
            <w:pPr>
              <w:spacing w:after="0"/>
              <w:rPr>
                <w:sz w:val="1"/>
                <w:szCs w:val="1"/>
                <w:color w:val="auto"/>
              </w:rPr>
            </w:pPr>
          </w:p>
        </w:tc>
      </w:tr>
      <w:tr>
        <w:trPr>
          <w:trHeight w:val="296"/>
        </w:trPr>
        <w:tc>
          <w:tcPr>
            <w:tcW w:w="34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 securities, check the following: [X]</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80" w:right="2659"/>
        <w:spacing w:after="0" w:line="295"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69" w:lineRule="exact"/>
        <w:rPr>
          <w:sz w:val="20"/>
          <w:szCs w:val="20"/>
          <w:color w:val="auto"/>
        </w:rPr>
      </w:pPr>
    </w:p>
    <w:p>
      <w:pPr>
        <w:ind w:left="1280" w:right="2439" w:hanging="1263"/>
        <w:spacing w:after="0" w:line="25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280" w:right="2859" w:hanging="1263"/>
        <w:spacing w:after="0" w:line="346"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line="238" w:lineRule="auto"/>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line="238" w:lineRule="auto"/>
        <w:rPr>
          <w:sz w:val="20"/>
          <w:szCs w:val="20"/>
          <w:color w:val="auto"/>
        </w:rPr>
      </w:pPr>
      <w:r>
        <w:rPr>
          <w:rFonts w:ascii="Courier New" w:cs="Courier New" w:eastAsia="Courier New" w:hAnsi="Courier New"/>
          <w:sz w:val="18"/>
          <w:szCs w:val="18"/>
          <w:color w:val="auto"/>
        </w:rPr>
        <w:t>and were not acquired in connection with or as a participant</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169"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10"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2020-10-07T15:26:42Z</dcterms:created>
  <dcterms:modified xsi:type="dcterms:W3CDTF">2020-10-07T15:26:42Z</dcterms:modified>
</cp:coreProperties>
</file>