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June 20,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1082675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1905</wp:posOffset>
            </wp:positionV>
            <wp:extent cx="1895475"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3" w:right="239" w:bottom="1440" w:gutter="0" w:footer="0" w:header="0"/>
        </w:sectPr>
      </w:pPr>
    </w:p>
    <w:bookmarkStart w:id="1" w:name="page2"/>
    <w:bookmarkEnd w:id="1"/>
    <w:p>
      <w:pPr>
        <w:ind w:left="1140" w:right="440" w:hanging="1133"/>
        <w:spacing w:after="0" w:line="274"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79" w:lineRule="exact"/>
        <w:rPr>
          <w:sz w:val="20"/>
          <w:szCs w:val="20"/>
          <w:color w:val="auto"/>
        </w:rPr>
      </w:pPr>
    </w:p>
    <w:p>
      <w:pPr>
        <w:ind w:right="100" w:firstLine="656"/>
        <w:spacing w:after="0" w:line="219" w:lineRule="exact"/>
        <w:tabs>
          <w:tab w:leader="none" w:pos="106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On June 20, 2012, the Board of Directors of Winnebago Industries,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upon the recommendation of the Human Resources Committee (the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approved effective August 26, 2012, the beginning of the Company's 2013 fiscal year, (i) the Officers Incentive Compensation Plan-Fiscal Period 2013 (the </w:t>
      </w:r>
      <w:r>
        <w:rPr>
          <w:rFonts w:ascii="Arial" w:cs="Arial" w:eastAsia="Arial" w:hAnsi="Arial"/>
          <w:sz w:val="18"/>
          <w:szCs w:val="18"/>
          <w:i w:val="1"/>
          <w:iCs w:val="1"/>
          <w:color w:val="auto"/>
        </w:rPr>
        <w:t>“2013 Incentive Compensation Plan”</w:t>
      </w:r>
      <w:r>
        <w:rPr>
          <w:rFonts w:ascii="Arial" w:cs="Arial" w:eastAsia="Arial" w:hAnsi="Arial"/>
          <w:sz w:val="18"/>
          <w:szCs w:val="18"/>
          <w:color w:val="auto"/>
        </w:rPr>
        <w:t>) and (ii) the Officers Long</w:t>
      </w:r>
      <w:r>
        <w:rPr>
          <w:rFonts w:ascii="MS PGothic" w:cs="MS PGothic" w:eastAsia="MS PGothic" w:hAnsi="MS PGothic"/>
          <w:sz w:val="18"/>
          <w:szCs w:val="18"/>
          <w:color w:val="auto"/>
        </w:rPr>
        <w:t>‑</w:t>
      </w:r>
      <w:r>
        <w:rPr>
          <w:rFonts w:ascii="Arial" w:cs="Arial" w:eastAsia="Arial" w:hAnsi="Arial"/>
          <w:sz w:val="18"/>
          <w:szCs w:val="18"/>
          <w:color w:val="auto"/>
        </w:rPr>
        <w:t>Term Incentive Plan-Fiscal Three</w:t>
      </w:r>
      <w:r>
        <w:rPr>
          <w:rFonts w:ascii="MS PGothic" w:cs="MS PGothic" w:eastAsia="MS PGothic" w:hAnsi="MS PGothic"/>
          <w:sz w:val="18"/>
          <w:szCs w:val="18"/>
          <w:color w:val="auto"/>
        </w:rPr>
        <w:t>‑</w:t>
      </w:r>
      <w:r>
        <w:rPr>
          <w:rFonts w:ascii="Arial" w:cs="Arial" w:eastAsia="Arial" w:hAnsi="Arial"/>
          <w:sz w:val="18"/>
          <w:szCs w:val="18"/>
          <w:color w:val="auto"/>
        </w:rPr>
        <w:t xml:space="preserve">Year Period 2013, 2014 and 2015 (the </w:t>
      </w:r>
      <w:r>
        <w:rPr>
          <w:rFonts w:ascii="Arial" w:cs="Arial" w:eastAsia="Arial" w:hAnsi="Arial"/>
          <w:sz w:val="18"/>
          <w:szCs w:val="18"/>
          <w:i w:val="1"/>
          <w:iCs w:val="1"/>
          <w:color w:val="auto"/>
        </w:rPr>
        <w:t>“LTIP 2013</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2015”</w:t>
      </w:r>
      <w:r>
        <w:rPr>
          <w:rFonts w:ascii="Arial" w:cs="Arial" w:eastAsia="Arial" w:hAnsi="Arial"/>
          <w:sz w:val="18"/>
          <w:szCs w:val="18"/>
          <w:color w:val="auto"/>
        </w:rPr>
        <w:t xml:space="preserve">). Randy J. Potts (Chairman of the Board, Chief Executive Officer and President), Sarah N. Nielsen (Vice President, Chief Financial Officer) and William J. O'Leary (Vice President, Product Development), each currently employed by the Company and a “named executive officer” as determined by Securities and Exchange Commission reporting rules (collectively, the </w:t>
      </w:r>
      <w:r>
        <w:rPr>
          <w:rFonts w:ascii="Arial" w:cs="Arial" w:eastAsia="Arial" w:hAnsi="Arial"/>
          <w:sz w:val="18"/>
          <w:szCs w:val="18"/>
          <w:i w:val="1"/>
          <w:iCs w:val="1"/>
          <w:color w:val="auto"/>
        </w:rPr>
        <w:t>“Named Executive Officers”</w:t>
      </w:r>
      <w:r>
        <w:rPr>
          <w:rFonts w:ascii="Arial" w:cs="Arial" w:eastAsia="Arial" w:hAnsi="Arial"/>
          <w:sz w:val="18"/>
          <w:szCs w:val="18"/>
          <w:color w:val="auto"/>
        </w:rPr>
        <w:t>), will participate in both the 2013 Incentive Compensation Plan and the LTIP 2013</w:t>
      </w:r>
      <w:r>
        <w:rPr>
          <w:rFonts w:ascii="MS PGothic" w:cs="MS PGothic" w:eastAsia="MS PGothic" w:hAnsi="MS PGothic"/>
          <w:sz w:val="18"/>
          <w:szCs w:val="18"/>
          <w:color w:val="auto"/>
        </w:rPr>
        <w:t>‑</w:t>
      </w:r>
      <w:r>
        <w:rPr>
          <w:rFonts w:ascii="Arial" w:cs="Arial" w:eastAsia="Arial" w:hAnsi="Arial"/>
          <w:sz w:val="18"/>
          <w:szCs w:val="18"/>
          <w:color w:val="auto"/>
        </w:rPr>
        <w:t>2015.</w:t>
      </w:r>
    </w:p>
    <w:p>
      <w:pPr>
        <w:spacing w:after="0" w:line="24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2013 Incentive Compensation Plan provides for an annual incentive award based upon financial performance of the Company. The purpose of the 2013 Incentive Compensation Plan is to promote the growth and profitability of the Company by providing its officers with an incentive to achieve corporate profit objectives and to attract and retain officers who will contribute to the achievement of growth and profitability of the Company. The 2013 Incentive Compensation Plan is an annual program that provides for annual measurements of financial performance and an opportunity for an annual incentive payment based on financial results measured against predetermined financial performance targets established by the Board of Directors (such as earnings, return on equity, return on invested capital or other applicable measures). Under the 2013 Incentive Compensation Plan, the amount of the Named Executive Officers' incentive compensation for the fiscal year shall be in direct proportion to the Company's financial performance expressed as a percentage (Financial Factor) against the base salary bonus (Target) for each participant. The Named Executive Officers must be employed by the Company at the end of the fiscal year to be eligible for any incentive payment, except for pro-rated payments made at the discretion of the Committee in the event of retirement, disability or death or upon a Change in Control as described below.</w:t>
      </w:r>
    </w:p>
    <w:p>
      <w:pPr>
        <w:spacing w:after="0" w:line="239" w:lineRule="exact"/>
        <w:rPr>
          <w:sz w:val="20"/>
          <w:szCs w:val="20"/>
          <w:color w:val="auto"/>
        </w:rPr>
      </w:pPr>
    </w:p>
    <w:p>
      <w:pPr>
        <w:jc w:val="both"/>
        <w:ind w:right="160" w:firstLine="648"/>
        <w:spacing w:after="0" w:line="274" w:lineRule="auto"/>
        <w:rPr>
          <w:sz w:val="20"/>
          <w:szCs w:val="20"/>
          <w:color w:val="auto"/>
        </w:rPr>
      </w:pPr>
      <w:r>
        <w:rPr>
          <w:rFonts w:ascii="Arial" w:cs="Arial" w:eastAsia="Arial" w:hAnsi="Arial"/>
          <w:sz w:val="17"/>
          <w:szCs w:val="17"/>
          <w:color w:val="auto"/>
        </w:rPr>
        <w:t>The 2013 Incentive Compensation Plan provides for a bonus (Target) of 90% (for the Chief Executive Officer) and 60% (in the case of the other Named Executive Officers) of base salary, respectively, comprised of 2/3 cash and 1/3 restricted stock, at 100% achievement of the financial objectives. The price of the restricted stock will be the closing market price of the Company's common stock on the date the grant is approved by the Committee in October following fiscal year end. The stock award restriction will be removed one year after the grant date.</w:t>
      </w:r>
    </w:p>
    <w:p>
      <w:pPr>
        <w:spacing w:after="0" w:line="215" w:lineRule="exact"/>
        <w:rPr>
          <w:sz w:val="20"/>
          <w:szCs w:val="20"/>
          <w:color w:val="auto"/>
        </w:rPr>
      </w:pPr>
    </w:p>
    <w:p>
      <w:pPr>
        <w:ind w:right="200" w:firstLine="648"/>
        <w:spacing w:after="0" w:line="216" w:lineRule="exact"/>
        <w:rPr>
          <w:sz w:val="20"/>
          <w:szCs w:val="20"/>
          <w:color w:val="auto"/>
        </w:rPr>
      </w:pPr>
      <w:r>
        <w:rPr>
          <w:rFonts w:ascii="Arial" w:cs="Arial" w:eastAsia="Arial" w:hAnsi="Arial"/>
          <w:sz w:val="18"/>
          <w:szCs w:val="18"/>
          <w:color w:val="auto"/>
        </w:rPr>
        <w:t>Pursuant to the 2013 Incentive Compensation Plan, the Board of Directors reserves the right to modify the Financial Factor used in determining the incentive compensation by plus or minus 20% based upon strategic organizational goals and priorities established by the Board of Directors. Strategic performance is evaluated annually by the Committee and submitted for approval by the Board of Directors. The financial performance measurement or measurements, strategic factors and the threshold, target and maximum performance levels for which bonuses will be paid pursuant to the 2013 Incentive Compensation Plan have not yet been established by the Committee or the Board. Financial performance achievement levels may be adjusted to include or exclude specific items of an unusual nature or non</w:t>
      </w:r>
      <w:r>
        <w:rPr>
          <w:rFonts w:ascii="MS PGothic" w:cs="MS PGothic" w:eastAsia="MS PGothic" w:hAnsi="MS PGothic"/>
          <w:sz w:val="18"/>
          <w:szCs w:val="18"/>
          <w:color w:val="auto"/>
        </w:rPr>
        <w:t>‑</w:t>
      </w:r>
      <w:r>
        <w:rPr>
          <w:rFonts w:ascii="Arial" w:cs="Arial" w:eastAsia="Arial" w:hAnsi="Arial"/>
          <w:sz w:val="18"/>
          <w:szCs w:val="18"/>
          <w:color w:val="auto"/>
        </w:rPr>
        <w:t>operating or significant events not anticipated by the Committee when financial performance measurements were established, as determined by the Committee in its sole discretion and as permitted by the 2013 Incentive Compensation Plan.</w:t>
      </w:r>
    </w:p>
    <w:p>
      <w:pPr>
        <w:spacing w:after="0" w:line="247" w:lineRule="exact"/>
        <w:rPr>
          <w:sz w:val="20"/>
          <w:szCs w:val="20"/>
          <w:color w:val="auto"/>
        </w:rPr>
      </w:pPr>
    </w:p>
    <w:p>
      <w:pPr>
        <w:ind w:right="400" w:firstLine="648"/>
        <w:spacing w:after="0" w:line="256" w:lineRule="auto"/>
        <w:rPr>
          <w:sz w:val="20"/>
          <w:szCs w:val="20"/>
          <w:color w:val="auto"/>
        </w:rPr>
      </w:pPr>
      <w:r>
        <w:rPr>
          <w:rFonts w:ascii="Arial" w:cs="Arial" w:eastAsia="Arial" w:hAnsi="Arial"/>
          <w:sz w:val="18"/>
          <w:szCs w:val="18"/>
          <w:color w:val="auto"/>
        </w:rPr>
        <w:t>In the event of a “Change in Control” (as defined in the 2013 Incentive Compensation Plan) participants are entitled to receive full annual awards within 15 days of the effective date of the Change of Control based on the Committee's estimate of the Company's financial performance through the end of the year in which such Change in Control occurs.</w:t>
      </w:r>
    </w:p>
    <w:p>
      <w:pPr>
        <w:spacing w:after="0" w:line="229" w:lineRule="exact"/>
        <w:rPr>
          <w:sz w:val="20"/>
          <w:szCs w:val="20"/>
          <w:color w:val="auto"/>
        </w:rPr>
      </w:pPr>
    </w:p>
    <w:p>
      <w:pPr>
        <w:ind w:right="120" w:firstLine="648"/>
        <w:spacing w:after="0" w:line="216" w:lineRule="exact"/>
        <w:rPr>
          <w:sz w:val="20"/>
          <w:szCs w:val="20"/>
          <w:color w:val="auto"/>
        </w:rPr>
      </w:pPr>
      <w:r>
        <w:rPr>
          <w:rFonts w:ascii="Arial" w:cs="Arial" w:eastAsia="Arial" w:hAnsi="Arial"/>
          <w:sz w:val="18"/>
          <w:szCs w:val="18"/>
          <w:color w:val="auto"/>
        </w:rPr>
        <w:t>The Named Executive Officers are also eligible for incentive awards under the LTIP 2013</w:t>
      </w:r>
      <w:r>
        <w:rPr>
          <w:rFonts w:ascii="MS PGothic" w:cs="MS PGothic" w:eastAsia="MS PGothic" w:hAnsi="MS PGothic"/>
          <w:sz w:val="18"/>
          <w:szCs w:val="18"/>
          <w:color w:val="auto"/>
        </w:rPr>
        <w:t>‑</w:t>
      </w:r>
      <w:r>
        <w:rPr>
          <w:rFonts w:ascii="Arial" w:cs="Arial" w:eastAsia="Arial" w:hAnsi="Arial"/>
          <w:sz w:val="18"/>
          <w:szCs w:val="18"/>
          <w:color w:val="auto"/>
        </w:rPr>
        <w:t>2015. The purpose of the LTIP 2013</w:t>
      </w:r>
      <w:r>
        <w:rPr>
          <w:rFonts w:ascii="MS PGothic" w:cs="MS PGothic" w:eastAsia="MS PGothic" w:hAnsi="MS PGothic"/>
          <w:sz w:val="18"/>
          <w:szCs w:val="18"/>
          <w:color w:val="auto"/>
        </w:rPr>
        <w:t>‑</w:t>
      </w:r>
      <w:r>
        <w:rPr>
          <w:rFonts w:ascii="Arial" w:cs="Arial" w:eastAsia="Arial" w:hAnsi="Arial"/>
          <w:sz w:val="18"/>
          <w:szCs w:val="18"/>
          <w:color w:val="auto"/>
        </w:rPr>
        <w:t>2015 is to promote the long-term growth and profitability of the Company by providing the officers of the Company with an incentive to achieve long-term corporate profit objectives and to attract and retain officers who will contribute to the achievement of growth and profitability of the Company. The LTIP 2013</w:t>
      </w:r>
      <w:r>
        <w:rPr>
          <w:rFonts w:ascii="MS PGothic" w:cs="MS PGothic" w:eastAsia="MS PGothic" w:hAnsi="MS PGothic"/>
          <w:sz w:val="18"/>
          <w:szCs w:val="18"/>
          <w:color w:val="auto"/>
        </w:rPr>
        <w:t>‑</w:t>
      </w:r>
      <w:r>
        <w:rPr>
          <w:rFonts w:ascii="Arial" w:cs="Arial" w:eastAsia="Arial" w:hAnsi="Arial"/>
          <w:sz w:val="18"/>
          <w:szCs w:val="18"/>
          <w:color w:val="auto"/>
        </w:rPr>
        <w:t>2015 provides for incentive awards consisting of performance stock grants made in restricted shares of the Company's Common Stock. The awards under the LTIP 2013</w:t>
      </w:r>
      <w:r>
        <w:rPr>
          <w:rFonts w:ascii="MS PGothic" w:cs="MS PGothic" w:eastAsia="MS PGothic" w:hAnsi="MS PGothic"/>
          <w:sz w:val="18"/>
          <w:szCs w:val="18"/>
          <w:color w:val="auto"/>
        </w:rPr>
        <w:t>‑</w:t>
      </w:r>
      <w:r>
        <w:rPr>
          <w:rFonts w:ascii="Arial" w:cs="Arial" w:eastAsia="Arial" w:hAnsi="Arial"/>
          <w:sz w:val="18"/>
          <w:szCs w:val="18"/>
          <w:color w:val="auto"/>
        </w:rPr>
        <w:t>2015 are based upon the Company's financial</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580" w:right="239" w:bottom="1440" w:gutter="0" w:footer="0" w:header="0"/>
        </w:sectPr>
      </w:pPr>
    </w:p>
    <w:bookmarkStart w:id="2" w:name="page3"/>
    <w:bookmarkEnd w:id="2"/>
    <w:p>
      <w:pPr>
        <w:jc w:val="both"/>
        <w:ind w:right="360"/>
        <w:spacing w:after="0" w:line="216" w:lineRule="exact"/>
        <w:rPr>
          <w:sz w:val="20"/>
          <w:szCs w:val="20"/>
          <w:color w:val="auto"/>
        </w:rPr>
      </w:pPr>
      <w:r>
        <w:rPr>
          <w:rFonts w:ascii="Arial" w:cs="Arial" w:eastAsia="Arial" w:hAnsi="Arial"/>
          <w:sz w:val="18"/>
          <w:szCs w:val="18"/>
          <w:color w:val="auto"/>
        </w:rPr>
        <w:t>performance as measured against the Company's financial results at the end of the three year fiscal period. The Named Executive Officers must be employed by the Company at the end of fiscal 2015 to be eligible for an incentive award under the LTIP 2013</w:t>
      </w:r>
      <w:r>
        <w:rPr>
          <w:rFonts w:ascii="MS PGothic" w:cs="MS PGothic" w:eastAsia="MS PGothic" w:hAnsi="MS PGothic"/>
          <w:sz w:val="18"/>
          <w:szCs w:val="18"/>
          <w:color w:val="auto"/>
        </w:rPr>
        <w:t>‑</w:t>
      </w:r>
      <w:r>
        <w:rPr>
          <w:rFonts w:ascii="Arial" w:cs="Arial" w:eastAsia="Arial" w:hAnsi="Arial"/>
          <w:sz w:val="18"/>
          <w:szCs w:val="18"/>
          <w:color w:val="auto"/>
        </w:rPr>
        <w:t>2015, except upon a Change in Control as described below.</w:t>
      </w:r>
    </w:p>
    <w:p>
      <w:pPr>
        <w:spacing w:after="0" w:line="245" w:lineRule="exact"/>
        <w:rPr>
          <w:sz w:val="20"/>
          <w:szCs w:val="20"/>
          <w:color w:val="auto"/>
        </w:rPr>
      </w:pPr>
    </w:p>
    <w:p>
      <w:pPr>
        <w:ind w:firstLine="648"/>
        <w:spacing w:after="0" w:line="216" w:lineRule="exact"/>
        <w:rPr>
          <w:sz w:val="20"/>
          <w:szCs w:val="20"/>
          <w:color w:val="auto"/>
        </w:rPr>
      </w:pPr>
      <w:r>
        <w:rPr>
          <w:rFonts w:ascii="Arial" w:cs="Arial" w:eastAsia="Arial" w:hAnsi="Arial"/>
          <w:sz w:val="18"/>
          <w:szCs w:val="18"/>
          <w:color w:val="auto"/>
        </w:rPr>
        <w:t>Under the LTIP 2013-2015, the amount of the participants' long</w:t>
      </w:r>
      <w:r>
        <w:rPr>
          <w:rFonts w:ascii="MS PGothic" w:cs="MS PGothic" w:eastAsia="MS PGothic" w:hAnsi="MS PGothic"/>
          <w:sz w:val="18"/>
          <w:szCs w:val="18"/>
          <w:color w:val="auto"/>
        </w:rPr>
        <w:t>‑</w:t>
      </w:r>
      <w:r>
        <w:rPr>
          <w:rFonts w:ascii="Arial" w:cs="Arial" w:eastAsia="Arial" w:hAnsi="Arial"/>
          <w:sz w:val="18"/>
          <w:szCs w:val="18"/>
          <w:color w:val="auto"/>
        </w:rPr>
        <w:t>term incentive award for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 is in direct proportion to the Company's financial performance expressed as a percentage (Financial Factor) against award targets for each participant predetermined by the Board of Directors (such as earnings, return on equity, return on invested capital or other applicable measures). The Company's financial results for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 are used in determining the Financial Factor to be used for that plan period when calculating the participants' long</w:t>
      </w:r>
      <w:r>
        <w:rPr>
          <w:rFonts w:ascii="MS PGothic" w:cs="MS PGothic" w:eastAsia="MS PGothic" w:hAnsi="MS PGothic"/>
          <w:sz w:val="18"/>
          <w:szCs w:val="18"/>
          <w:color w:val="auto"/>
        </w:rPr>
        <w:t>‑</w:t>
      </w:r>
      <w:r>
        <w:rPr>
          <w:rFonts w:ascii="Arial" w:cs="Arial" w:eastAsia="Arial" w:hAnsi="Arial"/>
          <w:sz w:val="18"/>
          <w:szCs w:val="18"/>
          <w:color w:val="auto"/>
        </w:rPr>
        <w:t>term incentive awards. Restricted stock earned under the LTIP 2013-2015 and approved by the Committee will be awarded as soon as practical after the Company's year-end accounting following the 2015 fiscal year end. The price of any restricted stock award will be the closing market price of the Company's Common Stock on the date in which the grant is approved by the Committee. The stock award restriction will be removed one year after the grant date.</w:t>
      </w:r>
    </w:p>
    <w:p>
      <w:pPr>
        <w:spacing w:after="0" w:line="247" w:lineRule="exact"/>
        <w:rPr>
          <w:sz w:val="20"/>
          <w:szCs w:val="20"/>
          <w:color w:val="auto"/>
        </w:rPr>
      </w:pPr>
    </w:p>
    <w:p>
      <w:pPr>
        <w:ind w:right="100" w:firstLine="648"/>
        <w:spacing w:after="0" w:line="216" w:lineRule="exact"/>
        <w:rPr>
          <w:sz w:val="20"/>
          <w:szCs w:val="20"/>
          <w:color w:val="auto"/>
        </w:rPr>
      </w:pPr>
      <w:r>
        <w:rPr>
          <w:rFonts w:ascii="Arial" w:cs="Arial" w:eastAsia="Arial" w:hAnsi="Arial"/>
          <w:sz w:val="18"/>
          <w:szCs w:val="18"/>
          <w:color w:val="auto"/>
        </w:rPr>
        <w:t>The long</w:t>
      </w:r>
      <w:r>
        <w:rPr>
          <w:rFonts w:ascii="MS PGothic" w:cs="MS PGothic" w:eastAsia="MS PGothic" w:hAnsi="MS PGothic"/>
          <w:sz w:val="18"/>
          <w:szCs w:val="18"/>
          <w:color w:val="auto"/>
        </w:rPr>
        <w:t>‑</w:t>
      </w:r>
      <w:r>
        <w:rPr>
          <w:rFonts w:ascii="Arial" w:cs="Arial" w:eastAsia="Arial" w:hAnsi="Arial"/>
          <w:sz w:val="18"/>
          <w:szCs w:val="18"/>
          <w:color w:val="auto"/>
        </w:rPr>
        <w:t>term incentive for the Named Executive Officers provides for an opportunity of 25% of the annualized base salary (Target) to be awarded in restricted stock at 100% achievement of the financial long-term objectives. The annualized base salary figure used is the salary in place for each participant as of September 2012. The resultant incentive award (at 100% of the three</w:t>
      </w:r>
      <w:r>
        <w:rPr>
          <w:rFonts w:ascii="MS PGothic" w:cs="MS PGothic" w:eastAsia="MS PGothic" w:hAnsi="MS PGothic"/>
          <w:sz w:val="18"/>
          <w:szCs w:val="18"/>
          <w:color w:val="auto"/>
        </w:rPr>
        <w:t>‑</w:t>
      </w:r>
      <w:r>
        <w:rPr>
          <w:rFonts w:ascii="Arial" w:cs="Arial" w:eastAsia="Arial" w:hAnsi="Arial"/>
          <w:sz w:val="18"/>
          <w:szCs w:val="18"/>
          <w:color w:val="auto"/>
        </w:rPr>
        <w:t>year fiscal management plan) will be adjusted up or down as determined by actual financial performance expressed as a percentage (Financial Factor) at the end of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w:t>
      </w:r>
    </w:p>
    <w:p>
      <w:pPr>
        <w:spacing w:after="0" w:line="245" w:lineRule="exact"/>
        <w:rPr>
          <w:sz w:val="20"/>
          <w:szCs w:val="20"/>
          <w:color w:val="auto"/>
        </w:rPr>
      </w:pPr>
    </w:p>
    <w:p>
      <w:pPr>
        <w:ind w:right="160" w:firstLine="648"/>
        <w:spacing w:after="0" w:line="216" w:lineRule="exact"/>
        <w:rPr>
          <w:sz w:val="20"/>
          <w:szCs w:val="20"/>
          <w:color w:val="auto"/>
        </w:rPr>
      </w:pPr>
      <w:r>
        <w:rPr>
          <w:rFonts w:ascii="Arial" w:cs="Arial" w:eastAsia="Arial" w:hAnsi="Arial"/>
          <w:sz w:val="18"/>
          <w:szCs w:val="18"/>
          <w:color w:val="auto"/>
        </w:rPr>
        <w:t>The financial performance measurement or measurements and the threshold, target and maximum performance levels for which incentive awards will be paid pursuant to the LTIP 2013-2015 have not yet been established by the Committee or the Board. Financial performance achievement levels may be adjusted to include or exclude specific items of an unusual nature or non</w:t>
      </w:r>
      <w:r>
        <w:rPr>
          <w:rFonts w:ascii="MS PGothic" w:cs="MS PGothic" w:eastAsia="MS PGothic" w:hAnsi="MS PGothic"/>
          <w:sz w:val="18"/>
          <w:szCs w:val="18"/>
          <w:color w:val="auto"/>
        </w:rPr>
        <w:t>‑</w:t>
      </w:r>
      <w:r>
        <w:rPr>
          <w:rFonts w:ascii="Arial" w:cs="Arial" w:eastAsia="Arial" w:hAnsi="Arial"/>
          <w:sz w:val="18"/>
          <w:szCs w:val="18"/>
          <w:color w:val="auto"/>
        </w:rPr>
        <w:t>operating or significant events not anticipated by the Committee when financial performance measurements were established, as determined by the Committee in its sole discretion and as permitted by the LTIP 2013</w:t>
      </w:r>
      <w:r>
        <w:rPr>
          <w:rFonts w:ascii="MS PGothic" w:cs="MS PGothic" w:eastAsia="MS PGothic" w:hAnsi="MS PGothic"/>
          <w:sz w:val="18"/>
          <w:szCs w:val="18"/>
          <w:color w:val="auto"/>
        </w:rPr>
        <w:t>‑</w:t>
      </w:r>
      <w:r>
        <w:rPr>
          <w:rFonts w:ascii="Arial" w:cs="Arial" w:eastAsia="Arial" w:hAnsi="Arial"/>
          <w:sz w:val="18"/>
          <w:szCs w:val="18"/>
          <w:color w:val="auto"/>
        </w:rPr>
        <w:t>2015.</w:t>
      </w:r>
    </w:p>
    <w:p>
      <w:pPr>
        <w:spacing w:after="0" w:line="245" w:lineRule="exact"/>
        <w:rPr>
          <w:sz w:val="20"/>
          <w:szCs w:val="20"/>
          <w:color w:val="auto"/>
        </w:rPr>
      </w:pPr>
    </w:p>
    <w:p>
      <w:pPr>
        <w:ind w:right="40" w:firstLine="648"/>
        <w:spacing w:after="0" w:line="216" w:lineRule="exact"/>
        <w:rPr>
          <w:sz w:val="20"/>
          <w:szCs w:val="20"/>
          <w:color w:val="auto"/>
        </w:rPr>
      </w:pPr>
      <w:r>
        <w:rPr>
          <w:rFonts w:ascii="Arial" w:cs="Arial" w:eastAsia="Arial" w:hAnsi="Arial"/>
          <w:sz w:val="18"/>
          <w:szCs w:val="18"/>
          <w:color w:val="auto"/>
        </w:rPr>
        <w:t>In the event of a “Change in Control” (as defined in the LTIP 2013-2015) participants are entitled to receive a full three</w:t>
      </w:r>
      <w:r>
        <w:rPr>
          <w:rFonts w:ascii="MS PGothic" w:cs="MS PGothic" w:eastAsia="MS PGothic" w:hAnsi="MS PGothic"/>
          <w:sz w:val="18"/>
          <w:szCs w:val="18"/>
          <w:color w:val="auto"/>
        </w:rPr>
        <w:t>‑</w:t>
      </w:r>
      <w:r>
        <w:rPr>
          <w:rFonts w:ascii="Arial" w:cs="Arial" w:eastAsia="Arial" w:hAnsi="Arial"/>
          <w:sz w:val="18"/>
          <w:szCs w:val="18"/>
          <w:color w:val="auto"/>
        </w:rPr>
        <w:t>year plan award within 15 days of the effective date based on the Committee's estimate of the Company's financial performance through the end of the LTIP 2013-2015 three</w:t>
      </w:r>
      <w:r>
        <w:rPr>
          <w:rFonts w:ascii="MS PGothic" w:cs="MS PGothic" w:eastAsia="MS PGothic" w:hAnsi="MS PGothic"/>
          <w:sz w:val="18"/>
          <w:szCs w:val="18"/>
          <w:color w:val="auto"/>
        </w:rPr>
        <w:t>‑</w:t>
      </w:r>
      <w:r>
        <w:rPr>
          <w:rFonts w:ascii="Arial" w:cs="Arial" w:eastAsia="Arial" w:hAnsi="Arial"/>
          <w:sz w:val="18"/>
          <w:szCs w:val="18"/>
          <w:color w:val="auto"/>
        </w:rPr>
        <w:t>year fiscal period.</w:t>
      </w:r>
    </w:p>
    <w:p>
      <w:pPr>
        <w:spacing w:after="0" w:line="24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the event the Committee reasonably determines that the performance certified by the Committee, and any payment made to a participant with respect to the 2013 Incentive Compensation Plan or the LTIP 2013-2015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will be obligated to repay to the Company such amounts required under any rules or regulations adopted by the Securities and Exchange Commission under Section 10D(b)(2) of the Securities Exchange Act of 1934, as amended,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w:t>
      </w:r>
    </w:p>
    <w:p>
      <w:pPr>
        <w:spacing w:after="0" w:line="240" w:lineRule="exact"/>
        <w:rPr>
          <w:sz w:val="20"/>
          <w:szCs w:val="20"/>
          <w:color w:val="auto"/>
        </w:rPr>
      </w:pPr>
    </w:p>
    <w:p>
      <w:pPr>
        <w:ind w:right="780" w:firstLine="648"/>
        <w:spacing w:after="0" w:line="217" w:lineRule="exact"/>
        <w:rPr>
          <w:sz w:val="20"/>
          <w:szCs w:val="20"/>
          <w:color w:val="auto"/>
        </w:rPr>
      </w:pPr>
      <w:r>
        <w:rPr>
          <w:rFonts w:ascii="Arial" w:cs="Arial" w:eastAsia="Arial" w:hAnsi="Arial"/>
          <w:sz w:val="18"/>
          <w:szCs w:val="18"/>
          <w:color w:val="auto"/>
        </w:rPr>
        <w:t>Reference is made to each of the 2013 Incentive Compensation Plan and the LTIP 2013</w:t>
      </w:r>
      <w:r>
        <w:rPr>
          <w:rFonts w:ascii="MS PGothic" w:cs="MS PGothic" w:eastAsia="MS PGothic" w:hAnsi="MS PGothic"/>
          <w:sz w:val="18"/>
          <w:szCs w:val="18"/>
          <w:color w:val="auto"/>
        </w:rPr>
        <w:t>‑</w:t>
      </w:r>
      <w:r>
        <w:rPr>
          <w:rFonts w:ascii="Arial" w:cs="Arial" w:eastAsia="Arial" w:hAnsi="Arial"/>
          <w:sz w:val="18"/>
          <w:szCs w:val="18"/>
          <w:color w:val="auto"/>
        </w:rPr>
        <w:t>2015 filed as Exhibits 99.1 and 99.2, respectively, to this Report and are incorporated herein by this reference.</w:t>
      </w:r>
    </w:p>
    <w:p>
      <w:pPr>
        <w:spacing w:after="0" w:line="24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Also on June 20, 2012, the Board of Directors of the Company, upon the recommendation of the Committee, authorized an adjustment to the base salary of Mr. Potts from $364,000 to $464,000 effective June 25, 2012, in recognition of Mr. Potts' assumption of the role of the Company's Chairman of the Board in February 2012, in addition to his positions as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841" w:right="259" w:bottom="1440" w:gutter="0" w:footer="0" w:header="0"/>
        </w:sectPr>
      </w:pPr>
    </w:p>
    <w:bookmarkStart w:id="3" w:name="page4"/>
    <w:bookmarkEnd w:id="3"/>
    <w:p>
      <w:pPr>
        <w:spacing w:after="0"/>
        <w:tabs>
          <w:tab w:leader="none" w:pos="12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265" w:lineRule="exact"/>
        <w:rPr>
          <w:sz w:val="20"/>
          <w:szCs w:val="20"/>
          <w:color w:val="auto"/>
        </w:rPr>
      </w:pPr>
    </w:p>
    <w:p>
      <w:pPr>
        <w:ind w:left="1520" w:hanging="864"/>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ind w:left="960"/>
        <w:spacing w:after="0"/>
        <w:tabs>
          <w:tab w:leader="none" w:pos="1880" w:val="left"/>
        </w:tabs>
        <w:rPr>
          <w:sz w:val="20"/>
          <w:szCs w:val="20"/>
          <w:color w:val="auto"/>
        </w:rPr>
      </w:pPr>
      <w:r>
        <w:rPr>
          <w:rFonts w:ascii="Arial" w:cs="Arial" w:eastAsia="Arial" w:hAnsi="Arial"/>
          <w:sz w:val="18"/>
          <w:szCs w:val="18"/>
          <w:b w:val="1"/>
          <w:bCs w:val="1"/>
          <w:color w:val="auto"/>
        </w:rPr>
        <w:t>Number</w:t>
        <w:tab/>
        <w:t>Description</w:t>
      </w:r>
    </w:p>
    <w:p>
      <w:pPr>
        <w:spacing w:after="0" w:line="301"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Officers Incentive Compensation Plan Fiscal Period 2013</w:t>
      </w:r>
    </w:p>
    <w:p>
      <w:pPr>
        <w:spacing w:after="0" w:line="374"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Officers Long-Term Incentive Plan Fiscal Three-Year Period 2013, 2014 and 2015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IGNATURES</w:t>
      </w:r>
    </w:p>
    <w:p>
      <w:pPr>
        <w:spacing w:after="0" w:line="25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8" w:lineRule="exact"/>
        <w:rPr>
          <w:sz w:val="20"/>
          <w:szCs w:val="20"/>
          <w:color w:val="auto"/>
        </w:rPr>
      </w:pPr>
    </w:p>
    <w:p>
      <w:pPr>
        <w:ind w:left="40"/>
        <w:spacing w:after="0"/>
        <w:tabs>
          <w:tab w:leader="none" w:pos="940" w:val="left"/>
          <w:tab w:leader="none" w:pos="4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25, 2012</w:t>
      </w:r>
      <w:r>
        <w:rPr>
          <w:sz w:val="20"/>
          <w:szCs w:val="20"/>
          <w:color w:val="auto"/>
        </w:rPr>
        <w:tab/>
      </w:r>
      <w:r>
        <w:rPr>
          <w:rFonts w:ascii="Arial" w:cs="Arial" w:eastAsia="Arial" w:hAnsi="Arial"/>
          <w:sz w:val="18"/>
          <w:szCs w:val="18"/>
          <w:color w:val="auto"/>
        </w:rPr>
        <w:t>W</w:t>
      </w:r>
      <w:r>
        <w:rPr>
          <w:rFonts w:ascii="Arial" w:cs="Arial" w:eastAsia="Arial" w:hAnsi="Arial"/>
          <w:sz w:val="14"/>
          <w:szCs w:val="14"/>
          <w:color w:val="auto"/>
        </w:rPr>
        <w:t>INNEBAGO</w:t>
      </w:r>
      <w:r>
        <w:rPr>
          <w:rFonts w:ascii="Arial" w:cs="Arial" w:eastAsia="Arial" w:hAnsi="Arial"/>
          <w:sz w:val="18"/>
          <w:szCs w:val="18"/>
          <w:color w:val="auto"/>
        </w:rPr>
        <w:t xml:space="preserve"> I</w:t>
      </w:r>
      <w:r>
        <w:rPr>
          <w:rFonts w:ascii="Arial" w:cs="Arial" w:eastAsia="Arial" w:hAnsi="Arial"/>
          <w:sz w:val="14"/>
          <w:szCs w:val="14"/>
          <w:color w:val="auto"/>
        </w:rPr>
        <w:t>NDUSTRIES,</w:t>
      </w:r>
      <w:r>
        <w:rPr>
          <w:rFonts w:ascii="Arial" w:cs="Arial" w:eastAsia="Arial" w:hAnsi="Arial"/>
          <w:sz w:val="18"/>
          <w:szCs w:val="18"/>
          <w:color w:val="auto"/>
        </w:rPr>
        <w:t xml:space="preserve"> I</w:t>
      </w:r>
      <w:r>
        <w:rPr>
          <w:rFonts w:ascii="Arial" w:cs="Arial" w:eastAsia="Arial" w:hAnsi="Arial"/>
          <w:sz w:val="14"/>
          <w:szCs w:val="14"/>
          <w:color w:val="auto"/>
        </w:rPr>
        <w:t>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720" w:type="dxa"/>
        <w:tblCellMar>
          <w:top w:w="0" w:type="dxa"/>
          <w:left w:w="0" w:type="dxa"/>
          <w:bottom w:w="0" w:type="dxa"/>
          <w:right w:w="0" w:type="dxa"/>
        </w:tblCellMar>
      </w:tblPr>
      <w:tr>
        <w:trPr>
          <w:trHeight w:val="224"/>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Randy J. Potts</w:t>
            </w:r>
          </w:p>
        </w:tc>
      </w:tr>
      <w:tr>
        <w:trPr>
          <w:trHeight w:val="243"/>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800" w:type="dxa"/>
            <w:vAlign w:val="bottom"/>
          </w:tcPr>
          <w:p>
            <w:pPr>
              <w:ind w:left="20"/>
              <w:spacing w:after="0"/>
              <w:rPr>
                <w:sz w:val="20"/>
                <w:szCs w:val="20"/>
                <w:color w:val="auto"/>
              </w:rPr>
            </w:pPr>
            <w:r>
              <w:rPr>
                <w:rFonts w:ascii="Arial" w:cs="Arial" w:eastAsia="Arial" w:hAnsi="Arial"/>
                <w:sz w:val="18"/>
                <w:szCs w:val="18"/>
                <w:color w:val="auto"/>
              </w:rPr>
              <w:t>Randy J. Potts</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800" w:type="dxa"/>
            <w:vAlign w:val="bottom"/>
          </w:tcPr>
          <w:p>
            <w:pPr>
              <w:ind w:left="20"/>
              <w:spacing w:after="0"/>
              <w:rPr>
                <w:sz w:val="20"/>
                <w:szCs w:val="20"/>
                <w:color w:val="auto"/>
              </w:rPr>
            </w:pPr>
            <w:r>
              <w:rPr>
                <w:rFonts w:ascii="Arial" w:cs="Arial" w:eastAsia="Arial" w:hAnsi="Arial"/>
                <w:sz w:val="18"/>
                <w:szCs w:val="18"/>
                <w:color w:val="auto"/>
              </w:rPr>
              <w:t>Chairman of the Board, Chief Executive Officer and President</w:t>
            </w:r>
          </w:p>
        </w:tc>
      </w:tr>
      <w:tr>
        <w:trPr>
          <w:trHeight w:val="434"/>
        </w:trPr>
        <w:tc>
          <w:tcPr>
            <w:tcW w:w="900" w:type="dxa"/>
            <w:vAlign w:val="bottom"/>
          </w:tcPr>
          <w:p>
            <w:pPr>
              <w:spacing w:after="0"/>
              <w:rPr>
                <w:sz w:val="24"/>
                <w:szCs w:val="24"/>
                <w:color w:val="auto"/>
              </w:rPr>
            </w:pPr>
          </w:p>
        </w:tc>
        <w:tc>
          <w:tcPr>
            <w:tcW w:w="5800" w:type="dxa"/>
            <w:vAlign w:val="bottom"/>
          </w:tcPr>
          <w:p>
            <w:pPr>
              <w:jc w:val="right"/>
              <w:ind w:right="5574"/>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420"/>
          </w:cols>
          <w:pgMar w:left="240" w:top="580"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ind w:left="980"/>
        <w:spacing w:after="0"/>
        <w:tabs>
          <w:tab w:leader="none" w:pos="1840" w:val="left"/>
        </w:tabs>
        <w:rPr>
          <w:sz w:val="20"/>
          <w:szCs w:val="20"/>
          <w:color w:val="auto"/>
        </w:rPr>
      </w:pPr>
      <w:r>
        <w:rPr>
          <w:rFonts w:ascii="Arial" w:cs="Arial" w:eastAsia="Arial" w:hAnsi="Arial"/>
          <w:sz w:val="18"/>
          <w:szCs w:val="18"/>
          <w:b w:val="1"/>
          <w:bCs w:val="1"/>
          <w:color w:val="auto"/>
        </w:rPr>
        <w:t>Number</w:t>
        <w:tab/>
        <w:t>Description</w:t>
      </w:r>
    </w:p>
    <w:p>
      <w:pPr>
        <w:spacing w:after="0" w:line="301"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Officers Incentive Compensation Plan Fiscal Period 2013</w:t>
      </w:r>
    </w:p>
    <w:p>
      <w:pPr>
        <w:spacing w:after="0" w:line="374"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Officers Long-Term Incentive Plan Fiscal Three-Year Period 2013, 2014 and 2015</w:t>
      </w: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576"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2850515</wp:posOffset>
            </wp:positionH>
            <wp:positionV relativeFrom="page">
              <wp:posOffset>1512570</wp:posOffset>
            </wp:positionV>
            <wp:extent cx="1895475" cy="823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OFFICERS INCENTIVE COMPENSATION PLAN</w:t>
      </w:r>
    </w:p>
    <w:p>
      <w:pPr>
        <w:sectPr>
          <w:pgSz w:w="11900" w:h="16838" w:orient="portrait"/>
          <w:cols w:equalWidth="0" w:num="1">
            <w:col w:w="9019"/>
          </w:cols>
          <w:pgMar w:left="1440" w:top="1440" w:right="1440" w:bottom="1440" w:gutter="0" w:footer="0" w:header="0"/>
        </w:sectPr>
      </w:pPr>
    </w:p>
    <w:p>
      <w:pPr>
        <w:spacing w:after="0" w:line="234" w:lineRule="exact"/>
        <w:rPr>
          <w:sz w:val="20"/>
          <w:szCs w:val="20"/>
          <w:color w:val="auto"/>
        </w:rPr>
      </w:pPr>
    </w:p>
    <w:p>
      <w:pPr>
        <w:ind w:left="2620"/>
        <w:spacing w:after="0"/>
        <w:rPr>
          <w:sz w:val="20"/>
          <w:szCs w:val="20"/>
          <w:color w:val="auto"/>
        </w:rPr>
      </w:pPr>
      <w:r>
        <w:rPr>
          <w:rFonts w:ascii="Arial" w:cs="Arial" w:eastAsia="Arial" w:hAnsi="Arial"/>
          <w:sz w:val="35"/>
          <w:szCs w:val="35"/>
          <w:b w:val="1"/>
          <w:bCs w:val="1"/>
          <w:color w:val="auto"/>
        </w:rPr>
        <w:t>GROUP A - OFFICERS</w:t>
      </w:r>
    </w:p>
    <w:p>
      <w:pPr>
        <w:spacing w:after="0" w:line="246" w:lineRule="exact"/>
        <w:rPr>
          <w:sz w:val="20"/>
          <w:szCs w:val="20"/>
          <w:color w:val="auto"/>
        </w:rPr>
      </w:pPr>
    </w:p>
    <w:p>
      <w:pPr>
        <w:ind w:left="2700"/>
        <w:spacing w:after="0"/>
        <w:rPr>
          <w:sz w:val="20"/>
          <w:szCs w:val="20"/>
          <w:color w:val="auto"/>
        </w:rPr>
      </w:pPr>
      <w:r>
        <w:rPr>
          <w:rFonts w:ascii="Arial" w:cs="Arial" w:eastAsia="Arial" w:hAnsi="Arial"/>
          <w:sz w:val="36"/>
          <w:szCs w:val="36"/>
          <w:b w:val="1"/>
          <w:bCs w:val="1"/>
          <w:color w:val="auto"/>
        </w:rPr>
        <w:t>FISCAL PERIOD 2013</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1440" w:right="1440" w:bottom="1440" w:gutter="0" w:footer="0" w:header="0"/>
          <w:type w:val="continuous"/>
        </w:sectPr>
      </w:pPr>
    </w:p>
    <w:bookmarkStart w:id="6" w:name="page7"/>
    <w:bookmarkEnd w:id="6"/>
    <w:p>
      <w:pPr>
        <w:spacing w:after="0" w:line="41" w:lineRule="exact"/>
        <w:rPr>
          <w:sz w:val="20"/>
          <w:szCs w:val="20"/>
          <w:color w:val="auto"/>
        </w:rPr>
      </w:pPr>
    </w:p>
    <w:p>
      <w:pPr>
        <w:jc w:val="center"/>
        <w:ind w:right="-11"/>
        <w:spacing w:after="0"/>
        <w:rPr>
          <w:sz w:val="20"/>
          <w:szCs w:val="20"/>
          <w:color w:val="auto"/>
        </w:rPr>
      </w:pPr>
      <w:r>
        <w:rPr>
          <w:rFonts w:ascii="Arial" w:cs="Arial" w:eastAsia="Arial" w:hAnsi="Arial"/>
          <w:sz w:val="25"/>
          <w:szCs w:val="25"/>
          <w:b w:val="1"/>
          <w:bCs w:val="1"/>
          <w:color w:val="auto"/>
        </w:rPr>
        <w:t>WINNEBAGO INDUSTRIES, INC.</w:t>
      </w:r>
    </w:p>
    <w:p>
      <w:pPr>
        <w:spacing w:after="0" w:line="38" w:lineRule="exact"/>
        <w:rPr>
          <w:sz w:val="20"/>
          <w:szCs w:val="20"/>
          <w:color w:val="auto"/>
        </w:rPr>
      </w:pPr>
    </w:p>
    <w:p>
      <w:pPr>
        <w:jc w:val="center"/>
        <w:ind w:right="-11"/>
        <w:spacing w:after="0"/>
        <w:rPr>
          <w:sz w:val="20"/>
          <w:szCs w:val="20"/>
          <w:color w:val="auto"/>
        </w:rPr>
      </w:pPr>
      <w:r>
        <w:rPr>
          <w:rFonts w:ascii="Arial" w:cs="Arial" w:eastAsia="Arial" w:hAnsi="Arial"/>
          <w:sz w:val="25"/>
          <w:szCs w:val="25"/>
          <w:b w:val="1"/>
          <w:bCs w:val="1"/>
          <w:color w:val="auto"/>
        </w:rPr>
        <w:t>OFFICERS INCENTIVE COMPENSATION PLAN</w:t>
      </w:r>
    </w:p>
    <w:p>
      <w:pPr>
        <w:spacing w:after="0" w:line="10" w:lineRule="exact"/>
        <w:rPr>
          <w:sz w:val="20"/>
          <w:szCs w:val="20"/>
          <w:color w:val="auto"/>
        </w:rPr>
      </w:pPr>
    </w:p>
    <w:p>
      <w:pPr>
        <w:jc w:val="center"/>
        <w:ind w:right="-11"/>
        <w:spacing w:after="0"/>
        <w:rPr>
          <w:sz w:val="20"/>
          <w:szCs w:val="20"/>
          <w:color w:val="auto"/>
        </w:rPr>
      </w:pPr>
      <w:r>
        <w:rPr>
          <w:rFonts w:ascii="Arial" w:cs="Arial" w:eastAsia="Arial" w:hAnsi="Arial"/>
          <w:sz w:val="25"/>
          <w:szCs w:val="25"/>
          <w:b w:val="1"/>
          <w:bCs w:val="1"/>
          <w:color w:val="auto"/>
        </w:rPr>
        <w:t>Fiscal Period 2013</w:t>
      </w:r>
    </w:p>
    <w:p>
      <w:pPr>
        <w:spacing w:after="0" w:line="200" w:lineRule="exact"/>
        <w:rPr>
          <w:sz w:val="20"/>
          <w:szCs w:val="20"/>
          <w:color w:val="auto"/>
        </w:rPr>
      </w:pPr>
    </w:p>
    <w:p>
      <w:pPr>
        <w:spacing w:after="0" w:line="223" w:lineRule="exact"/>
        <w:rPr>
          <w:sz w:val="20"/>
          <w:szCs w:val="20"/>
          <w:color w:val="auto"/>
        </w:rPr>
      </w:pPr>
    </w:p>
    <w:p>
      <w:pPr>
        <w:jc w:val="both"/>
        <w:ind w:left="332" w:right="200" w:hanging="332"/>
        <w:spacing w:after="0" w:line="252" w:lineRule="auto"/>
        <w:tabs>
          <w:tab w:leader="none" w:pos="332"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Winnebago Industries, Inc. Officers Incentive Compensation Plan (the “Plan”) is to promote the</w:t>
      </w:r>
      <w:r>
        <w:rPr>
          <w:rFonts w:ascii="Arial" w:cs="Arial" w:eastAsia="Arial" w:hAnsi="Arial"/>
          <w:sz w:val="22"/>
          <w:szCs w:val="22"/>
          <w:b w:val="1"/>
          <w:bCs w:val="1"/>
          <w:color w:val="auto"/>
        </w:rPr>
        <w:t xml:space="preserve"> </w:t>
      </w:r>
      <w:r>
        <w:rPr>
          <w:rFonts w:ascii="Arial" w:cs="Arial" w:eastAsia="Arial" w:hAnsi="Arial"/>
          <w:sz w:val="22"/>
          <w:szCs w:val="22"/>
          <w:color w:val="auto"/>
        </w:rPr>
        <w:t>growth and profitability of Winnebago Industries, Inc. (the “Company”) by providing its officers with an incentive to achieve corporate profit objectives and to attract and retain officers who will contribute to the achievement of growth and profitability of the company.</w:t>
      </w:r>
    </w:p>
    <w:p>
      <w:pPr>
        <w:spacing w:after="0" w:line="220" w:lineRule="exact"/>
        <w:rPr>
          <w:rFonts w:ascii="Arial" w:cs="Arial" w:eastAsia="Arial" w:hAnsi="Arial"/>
          <w:sz w:val="22"/>
          <w:szCs w:val="22"/>
          <w:color w:val="auto"/>
        </w:rPr>
      </w:pPr>
    </w:p>
    <w:p>
      <w:pPr>
        <w:ind w:left="332" w:hanging="332"/>
        <w:spacing w:after="0"/>
        <w:tabs>
          <w:tab w:leader="none" w:pos="332"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Administration.</w:t>
      </w:r>
    </w:p>
    <w:p>
      <w:pPr>
        <w:spacing w:after="0" w:line="27" w:lineRule="exact"/>
        <w:rPr>
          <w:rFonts w:ascii="Arial" w:cs="Arial" w:eastAsia="Arial" w:hAnsi="Arial"/>
          <w:sz w:val="22"/>
          <w:szCs w:val="22"/>
          <w:color w:val="auto"/>
        </w:rPr>
      </w:pPr>
    </w:p>
    <w:p>
      <w:pPr>
        <w:ind w:left="972" w:right="300" w:hanging="324"/>
        <w:spacing w:after="0" w:line="246" w:lineRule="auto"/>
        <w:tabs>
          <w:tab w:leader="none" w:pos="972" w:val="left"/>
        </w:tabs>
        <w:numPr>
          <w:ilvl w:val="1"/>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Human Resources Committee</w:t>
      </w:r>
      <w:r>
        <w:rPr>
          <w:rFonts w:ascii="Arial" w:cs="Arial" w:eastAsia="Arial" w:hAnsi="Arial"/>
          <w:sz w:val="22"/>
          <w:szCs w:val="22"/>
          <w:color w:val="auto"/>
        </w:rPr>
        <w:t>. The Plan shall be administered by a Committee (the “Committee”) appointed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w:t>
      </w:r>
    </w:p>
    <w:p>
      <w:pPr>
        <w:spacing w:after="0" w:line="227" w:lineRule="exact"/>
        <w:rPr>
          <w:rFonts w:ascii="Arial" w:cs="Arial" w:eastAsia="Arial" w:hAnsi="Arial"/>
          <w:sz w:val="22"/>
          <w:szCs w:val="22"/>
          <w:color w:val="auto"/>
        </w:rPr>
      </w:pPr>
    </w:p>
    <w:p>
      <w:pPr>
        <w:ind w:left="972" w:right="100" w:hanging="324"/>
        <w:spacing w:after="0" w:line="252" w:lineRule="auto"/>
        <w:tabs>
          <w:tab w:leader="none" w:pos="972" w:val="left"/>
        </w:tabs>
        <w:numPr>
          <w:ilvl w:val="1"/>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Powers and Duties</w:t>
      </w:r>
      <w:r>
        <w:rPr>
          <w:rFonts w:ascii="Arial" w:cs="Arial" w:eastAsia="Arial" w:hAnsi="Arial"/>
          <w:sz w:val="22"/>
          <w:szCs w:val="22"/>
          <w:color w:val="auto"/>
        </w:rPr>
        <w:t>. The Committee shall have sole discretion and authority to make any and all determinations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220" w:lineRule="exact"/>
        <w:rPr>
          <w:rFonts w:ascii="Arial" w:cs="Arial" w:eastAsia="Arial" w:hAnsi="Arial"/>
          <w:sz w:val="22"/>
          <w:szCs w:val="22"/>
          <w:color w:val="auto"/>
        </w:rPr>
      </w:pPr>
    </w:p>
    <w:p>
      <w:pPr>
        <w:ind w:left="972" w:hanging="324"/>
        <w:spacing w:after="0"/>
        <w:tabs>
          <w:tab w:leader="none" w:pos="972" w:val="left"/>
        </w:tabs>
        <w:numPr>
          <w:ilvl w:val="1"/>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Annual Approval.</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must approve the Plan prior to the beginning of each new fiscal year.</w:t>
      </w:r>
    </w:p>
    <w:p>
      <w:pPr>
        <w:spacing w:after="0" w:line="260" w:lineRule="exact"/>
        <w:rPr>
          <w:rFonts w:ascii="Arial" w:cs="Arial" w:eastAsia="Arial" w:hAnsi="Arial"/>
          <w:sz w:val="22"/>
          <w:szCs w:val="22"/>
          <w:color w:val="auto"/>
        </w:rPr>
      </w:pPr>
    </w:p>
    <w:p>
      <w:pPr>
        <w:ind w:left="332" w:hanging="332"/>
        <w:spacing w:after="0"/>
        <w:tabs>
          <w:tab w:leader="none" w:pos="332"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Participation Eligibility</w:t>
      </w:r>
      <w:r>
        <w:rPr>
          <w:rFonts w:ascii="Arial" w:cs="Arial" w:eastAsia="Arial" w:hAnsi="Arial"/>
          <w:sz w:val="22"/>
          <w:szCs w:val="22"/>
          <w:color w:val="auto"/>
        </w:rPr>
        <w:t>.</w:t>
      </w:r>
    </w:p>
    <w:p>
      <w:pPr>
        <w:spacing w:after="0" w:line="27" w:lineRule="exact"/>
        <w:rPr>
          <w:rFonts w:ascii="Arial" w:cs="Arial" w:eastAsia="Arial" w:hAnsi="Arial"/>
          <w:sz w:val="22"/>
          <w:szCs w:val="22"/>
          <w:color w:val="auto"/>
        </w:rPr>
      </w:pPr>
    </w:p>
    <w:p>
      <w:pPr>
        <w:ind w:left="972" w:hanging="324"/>
        <w:spacing w:after="0" w:line="246" w:lineRule="auto"/>
        <w:tabs>
          <w:tab w:leader="none" w:pos="972" w:val="left"/>
        </w:tabs>
        <w:numPr>
          <w:ilvl w:val="1"/>
          <w:numId w:val="4"/>
        </w:numPr>
        <w:rPr>
          <w:rFonts w:ascii="Arial" w:cs="Arial" w:eastAsia="Arial" w:hAnsi="Arial"/>
          <w:sz w:val="22"/>
          <w:szCs w:val="22"/>
          <w:color w:val="auto"/>
        </w:rPr>
      </w:pPr>
      <w:r>
        <w:rPr>
          <w:rFonts w:ascii="Arial" w:cs="Arial" w:eastAsia="Arial" w:hAnsi="Arial"/>
          <w:sz w:val="22"/>
          <w:szCs w:val="22"/>
          <w:color w:val="auto"/>
        </w:rPr>
        <w:t>Participants must be an officer of the Company with responsibilities that can have a real impact on the Corporation's end results.</w:t>
      </w:r>
    </w:p>
    <w:p>
      <w:pPr>
        <w:spacing w:after="0" w:line="233" w:lineRule="exact"/>
        <w:rPr>
          <w:rFonts w:ascii="Arial" w:cs="Arial" w:eastAsia="Arial" w:hAnsi="Arial"/>
          <w:sz w:val="22"/>
          <w:szCs w:val="22"/>
          <w:color w:val="auto"/>
        </w:rPr>
      </w:pPr>
    </w:p>
    <w:p>
      <w:pPr>
        <w:ind w:left="972" w:hanging="324"/>
        <w:spacing w:after="0"/>
        <w:tabs>
          <w:tab w:leader="none" w:pos="972"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Committee will approve all initial participation prior to the beginning of each new plan year.</w:t>
      </w:r>
    </w:p>
    <w:p>
      <w:pPr>
        <w:spacing w:after="0" w:line="260" w:lineRule="exact"/>
        <w:rPr>
          <w:rFonts w:ascii="Arial" w:cs="Arial" w:eastAsia="Arial" w:hAnsi="Arial"/>
          <w:sz w:val="22"/>
          <w:szCs w:val="22"/>
          <w:color w:val="auto"/>
        </w:rPr>
      </w:pPr>
    </w:p>
    <w:p>
      <w:pPr>
        <w:ind w:left="972" w:right="60" w:hanging="324"/>
        <w:spacing w:after="0" w:line="253" w:lineRule="auto"/>
        <w:tabs>
          <w:tab w:leader="none" w:pos="972"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Committee will make the determination on participation for new participants and for any pro-rated payment of earned incentives due to retirement, disability or death. Unless otherwise specified, participants must be employed as of the end of the fiscal year to be eligible for any incentive payment.</w:t>
      </w:r>
    </w:p>
    <w:p>
      <w:pPr>
        <w:spacing w:after="0" w:line="220" w:lineRule="exact"/>
        <w:rPr>
          <w:rFonts w:ascii="Arial" w:cs="Arial" w:eastAsia="Arial" w:hAnsi="Arial"/>
          <w:sz w:val="22"/>
          <w:szCs w:val="22"/>
          <w:color w:val="auto"/>
        </w:rPr>
      </w:pPr>
    </w:p>
    <w:p>
      <w:pPr>
        <w:ind w:left="332" w:right="220" w:hanging="332"/>
        <w:spacing w:after="0" w:line="256" w:lineRule="auto"/>
        <w:tabs>
          <w:tab w:leader="none" w:pos="332"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Nature of the Plan</w:t>
      </w:r>
      <w:r>
        <w:rPr>
          <w:rFonts w:ascii="Arial" w:cs="Arial" w:eastAsia="Arial" w:hAnsi="Arial"/>
          <w:sz w:val="22"/>
          <w:szCs w:val="22"/>
          <w:color w:val="auto"/>
        </w:rPr>
        <w:t>. The incentive award is based upon financial performance of the Corporation. The Plan is an annual</w:t>
      </w:r>
      <w:r>
        <w:rPr>
          <w:rFonts w:ascii="Arial" w:cs="Arial" w:eastAsia="Arial" w:hAnsi="Arial"/>
          <w:sz w:val="22"/>
          <w:szCs w:val="22"/>
          <w:b w:val="1"/>
          <w:bCs w:val="1"/>
          <w:color w:val="auto"/>
        </w:rPr>
        <w:t xml:space="preserve"> </w:t>
      </w:r>
      <w:r>
        <w:rPr>
          <w:rFonts w:ascii="Arial" w:cs="Arial" w:eastAsia="Arial" w:hAnsi="Arial"/>
          <w:sz w:val="22"/>
          <w:szCs w:val="22"/>
          <w:color w:val="auto"/>
        </w:rPr>
        <w:t>program that provides for annual measurements of financial performance and an opportunity for an annual incentive payment based on performance results.</w:t>
      </w:r>
    </w:p>
    <w:p>
      <w:pPr>
        <w:spacing w:after="0" w:line="222" w:lineRule="exact"/>
        <w:rPr>
          <w:rFonts w:ascii="Arial" w:cs="Arial" w:eastAsia="Arial" w:hAnsi="Arial"/>
          <w:sz w:val="22"/>
          <w:szCs w:val="22"/>
          <w:color w:val="auto"/>
        </w:rPr>
      </w:pPr>
    </w:p>
    <w:p>
      <w:pPr>
        <w:jc w:val="both"/>
        <w:ind w:left="332" w:right="100"/>
        <w:spacing w:after="0" w:line="260" w:lineRule="exact"/>
        <w:rPr>
          <w:rFonts w:ascii="Arial" w:cs="Arial" w:eastAsia="Arial" w:hAnsi="Arial"/>
          <w:sz w:val="22"/>
          <w:szCs w:val="22"/>
          <w:color w:val="auto"/>
        </w:rPr>
      </w:pPr>
      <w:r>
        <w:rPr>
          <w:rFonts w:ascii="Arial" w:cs="Arial" w:eastAsia="Arial" w:hAnsi="Arial"/>
          <w:sz w:val="21"/>
          <w:szCs w:val="21"/>
          <w:color w:val="auto"/>
        </w:rPr>
        <w:t>The financial performance measurements for this Plan will be based upon one or more pre</w:t>
      </w:r>
      <w:r>
        <w:rPr>
          <w:rFonts w:ascii="MS PGothic" w:cs="MS PGothic" w:eastAsia="MS PGothic" w:hAnsi="MS PGothic"/>
          <w:sz w:val="21"/>
          <w:szCs w:val="21"/>
          <w:color w:val="auto"/>
        </w:rPr>
        <w:t>‑</w:t>
      </w:r>
      <w:r>
        <w:rPr>
          <w:rFonts w:ascii="Arial" w:cs="Arial" w:eastAsia="Arial" w:hAnsi="Arial"/>
          <w:sz w:val="21"/>
          <w:szCs w:val="21"/>
          <w:color w:val="auto"/>
        </w:rPr>
        <w:t>established financial criteria. These financial performance measurements will provide an appropriate balance between quality and quantity of earnings. The Board annually establishes the financial measurements including a Target, a minimum threshold below which an incentive will not be paid and a maximum incentive level. Financial performance achievement levels may be adjusted to include or exclude specific items of an unusual nature or non-operating or significant events not</w:t>
      </w:r>
    </w:p>
    <w:p>
      <w:pPr>
        <w:spacing w:after="0" w:line="2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1440" w:right="259" w:bottom="1440" w:gutter="0" w:footer="0" w:header="0"/>
        </w:sectPr>
      </w:pPr>
    </w:p>
    <w:bookmarkStart w:id="7" w:name="page8"/>
    <w:bookmarkEnd w:id="7"/>
    <w:p>
      <w:pPr>
        <w:ind w:left="332" w:right="60"/>
        <w:spacing w:after="0" w:line="263" w:lineRule="auto"/>
        <w:rPr>
          <w:sz w:val="20"/>
          <w:szCs w:val="20"/>
          <w:color w:val="auto"/>
        </w:rPr>
      </w:pPr>
      <w:r>
        <w:rPr>
          <w:rFonts w:ascii="Arial" w:cs="Arial" w:eastAsia="Arial" w:hAnsi="Arial"/>
          <w:sz w:val="22"/>
          <w:szCs w:val="22"/>
          <w:color w:val="auto"/>
        </w:rPr>
        <w:t>anticipated by the Committee when financial performance measurements were established, as determined by the Committee in its sole discretion and as permitted by the Plan.</w:t>
      </w:r>
    </w:p>
    <w:p>
      <w:pPr>
        <w:spacing w:after="0" w:line="209" w:lineRule="exact"/>
        <w:rPr>
          <w:sz w:val="20"/>
          <w:szCs w:val="20"/>
          <w:color w:val="auto"/>
        </w:rPr>
      </w:pPr>
    </w:p>
    <w:p>
      <w:pPr>
        <w:ind w:left="332" w:right="40" w:hanging="332"/>
        <w:spacing w:after="0" w:line="252" w:lineRule="auto"/>
        <w:tabs>
          <w:tab w:leader="none" w:pos="332"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The amount of the participants' incentive compensation for the fiscal year shall be in direct proportion to</w:t>
      </w:r>
      <w:r>
        <w:rPr>
          <w:rFonts w:ascii="Arial" w:cs="Arial" w:eastAsia="Arial" w:hAnsi="Arial"/>
          <w:sz w:val="22"/>
          <w:szCs w:val="22"/>
          <w:b w:val="1"/>
          <w:bCs w:val="1"/>
          <w:color w:val="auto"/>
        </w:rPr>
        <w:t xml:space="preserve"> </w:t>
      </w:r>
      <w:r>
        <w:rPr>
          <w:rFonts w:ascii="Arial" w:cs="Arial" w:eastAsia="Arial" w:hAnsi="Arial"/>
          <w:sz w:val="22"/>
          <w:szCs w:val="22"/>
          <w:color w:val="auto"/>
        </w:rPr>
        <w:t>the financial performance expressed as a percentage (Financial Factor) against predetermined compensation targets for each participant. The results for the fiscal year will be used in identifying the Financial Factor to be used when calculating the participants incentive compensation.</w:t>
      </w:r>
    </w:p>
    <w:p>
      <w:pPr>
        <w:spacing w:after="0" w:line="226" w:lineRule="exact"/>
        <w:rPr>
          <w:rFonts w:ascii="Arial" w:cs="Arial" w:eastAsia="Arial" w:hAnsi="Arial"/>
          <w:sz w:val="22"/>
          <w:szCs w:val="22"/>
          <w:color w:val="auto"/>
        </w:rPr>
      </w:pPr>
    </w:p>
    <w:p>
      <w:pPr>
        <w:ind w:left="332" w:right="100"/>
        <w:spacing w:after="0" w:line="261" w:lineRule="auto"/>
        <w:rPr>
          <w:rFonts w:ascii="Arial" w:cs="Arial" w:eastAsia="Arial" w:hAnsi="Arial"/>
          <w:sz w:val="22"/>
          <w:szCs w:val="22"/>
          <w:color w:val="auto"/>
        </w:rPr>
      </w:pPr>
      <w:r>
        <w:rPr>
          <w:rFonts w:ascii="Arial" w:cs="Arial" w:eastAsia="Arial" w:hAnsi="Arial"/>
          <w:sz w:val="21"/>
          <w:szCs w:val="21"/>
          <w:color w:val="auto"/>
        </w:rPr>
        <w:t>The incentive for the executive officers except for the Chief Executive Officer, provides for a 60% incentive (Target) opportunity of base pay, comprised of a mix of (2/3) cash and (1/3) restricted stock at 100% achievement of the financial objectives. The incentive for the Chief Executive Officer provides for a 90% incentive (Target) opportunity expressed as a percentage of base salary comprised of a mix of (2/3) cash and (1/3) restricted stock at 100% achievement of the financial objectives respectively. The Committee delegates to the CEO the authority to establish the incentive (Target) for officers other than executive officers subject to the provisions set forth in this Plan.</w:t>
      </w:r>
    </w:p>
    <w:p>
      <w:pPr>
        <w:spacing w:after="0" w:line="220" w:lineRule="exact"/>
        <w:rPr>
          <w:rFonts w:ascii="Arial" w:cs="Arial" w:eastAsia="Arial" w:hAnsi="Arial"/>
          <w:sz w:val="22"/>
          <w:szCs w:val="22"/>
          <w:color w:val="auto"/>
        </w:rPr>
      </w:pPr>
    </w:p>
    <w:p>
      <w:pPr>
        <w:ind w:left="332" w:right="480"/>
        <w:spacing w:after="0" w:line="263" w:lineRule="auto"/>
        <w:rPr>
          <w:rFonts w:ascii="Arial" w:cs="Arial" w:eastAsia="Arial" w:hAnsi="Arial"/>
          <w:sz w:val="22"/>
          <w:szCs w:val="22"/>
          <w:color w:val="auto"/>
        </w:rPr>
      </w:pPr>
      <w:r>
        <w:rPr>
          <w:rFonts w:ascii="Arial" w:cs="Arial" w:eastAsia="Arial" w:hAnsi="Arial"/>
          <w:sz w:val="22"/>
          <w:szCs w:val="22"/>
          <w:color w:val="auto"/>
        </w:rPr>
        <w:t>A participant must be employed by Winnebago Industries, Inc. at the end of the fiscal year to be eligible for any incentive payment except as waived by the Committee for retirement, disability or death.</w:t>
      </w:r>
    </w:p>
    <w:p>
      <w:pPr>
        <w:spacing w:after="0" w:line="209" w:lineRule="exact"/>
        <w:rPr>
          <w:rFonts w:ascii="Arial" w:cs="Arial" w:eastAsia="Arial" w:hAnsi="Arial"/>
          <w:sz w:val="22"/>
          <w:szCs w:val="22"/>
          <w:color w:val="auto"/>
        </w:rPr>
      </w:pPr>
    </w:p>
    <w:p>
      <w:pPr>
        <w:ind w:left="332" w:right="220" w:hanging="332"/>
        <w:spacing w:after="0" w:line="315" w:lineRule="auto"/>
        <w:tabs>
          <w:tab w:leader="none" w:pos="332" w:val="left"/>
        </w:tabs>
        <w:numPr>
          <w:ilvl w:val="0"/>
          <w:numId w:val="5"/>
        </w:numPr>
        <w:rPr>
          <w:rFonts w:ascii="Arial" w:cs="Arial" w:eastAsia="Arial" w:hAnsi="Arial"/>
          <w:sz w:val="19"/>
          <w:szCs w:val="19"/>
          <w:color w:val="auto"/>
        </w:rPr>
      </w:pPr>
      <w:r>
        <w:rPr>
          <w:rFonts w:ascii="Arial" w:cs="Arial" w:eastAsia="Arial" w:hAnsi="Arial"/>
          <w:sz w:val="19"/>
          <w:szCs w:val="19"/>
          <w:b w:val="1"/>
          <w:bCs w:val="1"/>
          <w:u w:val="single" w:color="auto"/>
          <w:color w:val="auto"/>
        </w:rPr>
        <w:t>Strategic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The Human Resources Committee, on an annual basis, completes a formal evaluation of previously</w:t>
      </w:r>
      <w:r>
        <w:rPr>
          <w:rFonts w:ascii="Arial" w:cs="Arial" w:eastAsia="Arial" w:hAnsi="Arial"/>
          <w:sz w:val="19"/>
          <w:szCs w:val="19"/>
          <w:b w:val="1"/>
          <w:bCs w:val="1"/>
          <w:color w:val="auto"/>
        </w:rPr>
        <w:t xml:space="preserve"> </w:t>
      </w:r>
      <w:r>
        <w:rPr>
          <w:rFonts w:ascii="Arial" w:cs="Arial" w:eastAsia="Arial" w:hAnsi="Arial"/>
          <w:sz w:val="19"/>
          <w:szCs w:val="19"/>
          <w:color w:val="auto"/>
        </w:rPr>
        <w:t>identified specific strategic organizational goals and priorities established by the Board of Directors. The Human Resources Committee will provide its evaluation of the strategic factors to the Board of Directors for approval.</w:t>
      </w:r>
    </w:p>
    <w:p>
      <w:pPr>
        <w:spacing w:after="0" w:line="172" w:lineRule="exact"/>
        <w:rPr>
          <w:rFonts w:ascii="Arial" w:cs="Arial" w:eastAsia="Arial" w:hAnsi="Arial"/>
          <w:sz w:val="19"/>
          <w:szCs w:val="19"/>
          <w:color w:val="auto"/>
        </w:rPr>
      </w:pPr>
    </w:p>
    <w:p>
      <w:pPr>
        <w:ind w:left="332" w:right="140"/>
        <w:spacing w:after="0" w:line="263" w:lineRule="auto"/>
        <w:rPr>
          <w:rFonts w:ascii="Arial" w:cs="Arial" w:eastAsia="Arial" w:hAnsi="Arial"/>
          <w:sz w:val="19"/>
          <w:szCs w:val="19"/>
          <w:color w:val="auto"/>
        </w:rPr>
      </w:pPr>
      <w:r>
        <w:rPr>
          <w:rFonts w:ascii="Arial" w:cs="Arial" w:eastAsia="Arial" w:hAnsi="Arial"/>
          <w:sz w:val="22"/>
          <w:szCs w:val="22"/>
          <w:color w:val="auto"/>
        </w:rPr>
        <w:t>The Board of Directors may adjust the core incentive eligibility by plus or minus 20% as determined by the formal evaluation results of those strategic organizational goals and priorities.</w:t>
      </w:r>
    </w:p>
    <w:p>
      <w:pPr>
        <w:spacing w:after="0" w:line="215" w:lineRule="exact"/>
        <w:rPr>
          <w:sz w:val="20"/>
          <w:szCs w:val="20"/>
          <w:color w:val="auto"/>
        </w:rPr>
      </w:pPr>
    </w:p>
    <w:p>
      <w:pPr>
        <w:ind w:left="332"/>
        <w:spacing w:after="0" w:line="263" w:lineRule="auto"/>
        <w:rPr>
          <w:sz w:val="20"/>
          <w:szCs w:val="20"/>
          <w:color w:val="auto"/>
        </w:rPr>
      </w:pPr>
      <w:r>
        <w:rPr>
          <w:rFonts w:ascii="Arial" w:cs="Arial" w:eastAsia="Arial" w:hAnsi="Arial"/>
          <w:sz w:val="22"/>
          <w:szCs w:val="22"/>
          <w:color w:val="auto"/>
        </w:rPr>
        <w:t>Strategic goals and priorities selected by the Board of Directors may focus on one or more of the following strategic factors but are not limited to those stated:</w:t>
      </w:r>
    </w:p>
    <w:p>
      <w:pPr>
        <w:sectPr>
          <w:pgSz w:w="11900" w:h="16838" w:orient="portrait"/>
          <w:cols w:equalWidth="0" w:num="1">
            <w:col w:w="11332"/>
          </w:cols>
          <w:pgMar w:left="248" w:top="591" w:right="319" w:bottom="1440" w:gutter="0" w:footer="0" w:header="0"/>
        </w:sectPr>
      </w:pPr>
    </w:p>
    <w:p>
      <w:pPr>
        <w:spacing w:after="0" w:line="107" w:lineRule="exact"/>
        <w:rPr>
          <w:sz w:val="20"/>
          <w:szCs w:val="20"/>
          <w:color w:val="auto"/>
        </w:rPr>
      </w:pPr>
    </w:p>
    <w:p>
      <w:pPr>
        <w:ind w:left="2412"/>
        <w:spacing w:after="0"/>
        <w:rPr>
          <w:sz w:val="20"/>
          <w:szCs w:val="20"/>
          <w:color w:val="auto"/>
        </w:rPr>
      </w:pPr>
      <w:r>
        <w:rPr>
          <w:rFonts w:ascii="Arial" w:cs="Arial" w:eastAsia="Arial" w:hAnsi="Arial"/>
          <w:sz w:val="19"/>
          <w:szCs w:val="19"/>
          <w:color w:val="auto"/>
        </w:rPr>
        <w:t>Revenue Growth</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Customer Satisfaction</w:t>
      </w:r>
    </w:p>
    <w:p>
      <w:pPr>
        <w:spacing w:after="0" w:line="79" w:lineRule="exact"/>
        <w:rPr>
          <w:sz w:val="20"/>
          <w:szCs w:val="20"/>
          <w:color w:val="auto"/>
        </w:rPr>
      </w:pPr>
    </w:p>
    <w:p>
      <w:pPr>
        <w:sectPr>
          <w:pgSz w:w="11900" w:h="16838" w:orient="portrait"/>
          <w:cols w:equalWidth="0" w:num="2">
            <w:col w:w="4212" w:space="720"/>
            <w:col w:w="6400"/>
          </w:cols>
          <w:pgMar w:left="248" w:top="591" w:right="319" w:bottom="1440" w:gutter="0" w:footer="0" w:header="0"/>
          <w:type w:val="continuous"/>
        </w:sectPr>
      </w:pPr>
    </w:p>
    <w:p>
      <w:pPr>
        <w:ind w:left="2412"/>
        <w:spacing w:after="0"/>
        <w:rPr>
          <w:sz w:val="20"/>
          <w:szCs w:val="20"/>
          <w:color w:val="auto"/>
        </w:rPr>
      </w:pPr>
      <w:r>
        <w:rPr>
          <w:rFonts w:ascii="Arial" w:cs="Arial" w:eastAsia="Arial" w:hAnsi="Arial"/>
          <w:sz w:val="19"/>
          <w:szCs w:val="19"/>
          <w:color w:val="auto"/>
        </w:rPr>
        <w:t>Market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Inventory Management</w:t>
      </w:r>
    </w:p>
    <w:p>
      <w:pPr>
        <w:spacing w:after="0" w:line="79" w:lineRule="exact"/>
        <w:rPr>
          <w:sz w:val="20"/>
          <w:szCs w:val="20"/>
          <w:color w:val="auto"/>
        </w:rPr>
      </w:pPr>
    </w:p>
    <w:p>
      <w:pPr>
        <w:sectPr>
          <w:pgSz w:w="11900" w:h="16838" w:orient="portrait"/>
          <w:cols w:equalWidth="0" w:num="2">
            <w:col w:w="4212" w:space="720"/>
            <w:col w:w="6400"/>
          </w:cols>
          <w:pgMar w:left="248" w:top="591" w:right="319" w:bottom="1440" w:gutter="0" w:footer="0" w:header="0"/>
          <w:type w:val="continuous"/>
        </w:sectPr>
      </w:pPr>
    </w:p>
    <w:p>
      <w:pPr>
        <w:ind w:left="2412"/>
        <w:spacing w:after="0"/>
        <w:rPr>
          <w:sz w:val="20"/>
          <w:szCs w:val="20"/>
          <w:color w:val="auto"/>
        </w:rPr>
      </w:pPr>
      <w:r>
        <w:rPr>
          <w:rFonts w:ascii="Arial" w:cs="Arial" w:eastAsia="Arial" w:hAnsi="Arial"/>
          <w:sz w:val="19"/>
          <w:szCs w:val="19"/>
          <w:color w:val="auto"/>
        </w:rPr>
        <w:t>Product Quality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Technical Innovation</w:t>
      </w:r>
    </w:p>
    <w:p>
      <w:pPr>
        <w:spacing w:after="0" w:line="79" w:lineRule="exact"/>
        <w:rPr>
          <w:sz w:val="20"/>
          <w:szCs w:val="20"/>
          <w:color w:val="auto"/>
        </w:rPr>
      </w:pPr>
    </w:p>
    <w:p>
      <w:pPr>
        <w:sectPr>
          <w:pgSz w:w="11900" w:h="16838" w:orient="portrait"/>
          <w:cols w:equalWidth="0" w:num="2">
            <w:col w:w="4212" w:space="720"/>
            <w:col w:w="6400"/>
          </w:cols>
          <w:pgMar w:left="248" w:top="591" w:right="319" w:bottom="1440" w:gutter="0" w:footer="0" w:header="0"/>
          <w:type w:val="continuous"/>
        </w:sectPr>
      </w:pPr>
    </w:p>
    <w:p>
      <w:pPr>
        <w:ind w:left="2412"/>
        <w:spacing w:after="0"/>
        <w:rPr>
          <w:sz w:val="20"/>
          <w:szCs w:val="20"/>
          <w:color w:val="auto"/>
        </w:rPr>
      </w:pPr>
      <w:r>
        <w:rPr>
          <w:rFonts w:ascii="Arial" w:cs="Arial" w:eastAsia="Arial" w:hAnsi="Arial"/>
          <w:sz w:val="19"/>
          <w:szCs w:val="19"/>
          <w:color w:val="auto"/>
        </w:rPr>
        <w:t>Product Introduction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Ethical Business Practices</w:t>
      </w:r>
    </w:p>
    <w:p>
      <w:pPr>
        <w:spacing w:after="0" w:line="79" w:lineRule="exact"/>
        <w:rPr>
          <w:sz w:val="20"/>
          <w:szCs w:val="20"/>
          <w:color w:val="auto"/>
        </w:rPr>
      </w:pPr>
    </w:p>
    <w:p>
      <w:pPr>
        <w:sectPr>
          <w:pgSz w:w="11900" w:h="16838" w:orient="portrait"/>
          <w:cols w:equalWidth="0" w:num="2">
            <w:col w:w="4212" w:space="720"/>
            <w:col w:w="6400"/>
          </w:cols>
          <w:pgMar w:left="248" w:top="591" w:right="319" w:bottom="1440" w:gutter="0" w:footer="0" w:header="0"/>
          <w:type w:val="continuous"/>
        </w:sectPr>
      </w:pPr>
    </w:p>
    <w:p>
      <w:pPr>
        <w:ind w:left="2412"/>
        <w:spacing w:after="0"/>
        <w:rPr>
          <w:sz w:val="20"/>
          <w:szCs w:val="20"/>
          <w:color w:val="auto"/>
        </w:rPr>
      </w:pPr>
      <w:r>
        <w:rPr>
          <w:rFonts w:ascii="Arial" w:cs="Arial" w:eastAsia="Arial" w:hAnsi="Arial"/>
          <w:sz w:val="19"/>
          <w:szCs w:val="19"/>
          <w:color w:val="auto"/>
        </w:rPr>
        <w:t>Planning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Business Diversity Initiatives</w:t>
      </w:r>
    </w:p>
    <w:p>
      <w:pPr>
        <w:spacing w:after="0" w:line="200" w:lineRule="exact"/>
        <w:rPr>
          <w:sz w:val="20"/>
          <w:szCs w:val="20"/>
          <w:color w:val="auto"/>
        </w:rPr>
      </w:pPr>
    </w:p>
    <w:p>
      <w:pPr>
        <w:sectPr>
          <w:pgSz w:w="11900" w:h="16838" w:orient="portrait"/>
          <w:cols w:equalWidth="0" w:num="2">
            <w:col w:w="4212" w:space="720"/>
            <w:col w:w="6400"/>
          </w:cols>
          <w:pgMar w:left="248" w:top="591" w:right="319" w:bottom="1440" w:gutter="0" w:footer="0" w:header="0"/>
          <w:type w:val="continuous"/>
        </w:sectPr>
      </w:pPr>
    </w:p>
    <w:p>
      <w:pPr>
        <w:spacing w:after="0" w:line="116" w:lineRule="exact"/>
        <w:rPr>
          <w:sz w:val="20"/>
          <w:szCs w:val="20"/>
          <w:color w:val="auto"/>
        </w:rPr>
      </w:pPr>
    </w:p>
    <w:p>
      <w:pPr>
        <w:ind w:left="332" w:right="40" w:hanging="332"/>
        <w:spacing w:after="0" w:line="293" w:lineRule="auto"/>
        <w:tabs>
          <w:tab w:leader="none" w:pos="332" w:val="left"/>
        </w:tabs>
        <w:numPr>
          <w:ilvl w:val="0"/>
          <w:numId w:val="6"/>
        </w:numPr>
        <w:rPr>
          <w:rFonts w:ascii="Arial" w:cs="Arial" w:eastAsia="Arial" w:hAnsi="Arial"/>
          <w:sz w:val="19"/>
          <w:szCs w:val="19"/>
          <w:color w:val="auto"/>
        </w:rPr>
      </w:pPr>
      <w:r>
        <w:rPr>
          <w:rFonts w:ascii="Arial" w:cs="Arial" w:eastAsia="Arial" w:hAnsi="Arial"/>
          <w:sz w:val="19"/>
          <w:szCs w:val="19"/>
          <w:b w:val="1"/>
          <w:bCs w:val="1"/>
          <w:u w:val="single" w:color="auto"/>
          <w:color w:val="auto"/>
        </w:rPr>
        <w:t>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One-third (1/3) of the officers' earned incentive for the year, pursuant to Paragraph 5 of the Plan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awarded in the form of a grant made in restricted shares of common stock to encourage stock ownership and promote the long-term growth and profitability of Winnebago Industries, Inc. The annual restricted stock grant shall be awarded as soon as practical after the final year-end compensation accounting and shall be approved by the Board of Directors Human Resource Committee in October following fiscal year end. The price of the stock shall be the closing market price of the Company's common stock on the date in which the grant is approved by the Committee. The stock grant will be considered as taxable on the date of such grant. The stock award restriction shall be removed one year following date of grant.</w:t>
      </w:r>
    </w:p>
    <w:p>
      <w:pPr>
        <w:spacing w:after="0" w:line="185" w:lineRule="exact"/>
        <w:rPr>
          <w:rFonts w:ascii="Arial" w:cs="Arial" w:eastAsia="Arial" w:hAnsi="Arial"/>
          <w:sz w:val="19"/>
          <w:szCs w:val="19"/>
          <w:color w:val="auto"/>
        </w:rPr>
      </w:pPr>
    </w:p>
    <w:p>
      <w:pPr>
        <w:ind w:left="332" w:hanging="332"/>
        <w:spacing w:after="0"/>
        <w:tabs>
          <w:tab w:leader="none" w:pos="332" w:val="left"/>
        </w:tabs>
        <w:numPr>
          <w:ilvl w:val="0"/>
          <w:numId w:val="6"/>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the Company undergoes a change in control during the Plan year</w:t>
      </w:r>
    </w:p>
    <w:p>
      <w:pPr>
        <w:spacing w:after="0" w:line="24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32"/>
          </w:cols>
          <w:pgMar w:left="248" w:top="591" w:right="319" w:bottom="1440" w:gutter="0" w:footer="0" w:header="0"/>
          <w:type w:val="continuous"/>
        </w:sectPr>
      </w:pPr>
    </w:p>
    <w:bookmarkStart w:id="8" w:name="page9"/>
    <w:bookmarkEnd w:id="8"/>
    <w:p>
      <w:pPr>
        <w:spacing w:after="0" w:line="292" w:lineRule="auto"/>
        <w:rPr>
          <w:sz w:val="20"/>
          <w:szCs w:val="20"/>
          <w:color w:val="auto"/>
        </w:rPr>
      </w:pPr>
      <w:r>
        <w:rPr>
          <w:rFonts w:ascii="Arial" w:cs="Arial" w:eastAsia="Arial" w:hAnsi="Arial"/>
          <w:sz w:val="19"/>
          <w:szCs w:val="19"/>
          <w:color w:val="auto"/>
        </w:rPr>
        <w:t>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year immediately preceding the Effective Date. In making such estimate, the Committee may compare the achievement of the financial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w:t>
      </w:r>
    </w:p>
    <w:p>
      <w:pPr>
        <w:spacing w:after="0" w:line="186" w:lineRule="exact"/>
        <w:rPr>
          <w:sz w:val="20"/>
          <w:szCs w:val="20"/>
          <w:color w:val="auto"/>
        </w:rPr>
      </w:pPr>
    </w:p>
    <w:p>
      <w:pPr>
        <w:ind w:right="100"/>
        <w:spacing w:after="0" w:line="289" w:lineRule="auto"/>
        <w:rPr>
          <w:sz w:val="20"/>
          <w:szCs w:val="20"/>
          <w:color w:val="auto"/>
        </w:rPr>
      </w:pPr>
      <w:r>
        <w:rPr>
          <w:rFonts w:ascii="Arial" w:cs="Arial" w:eastAsia="Arial" w:hAnsi="Arial"/>
          <w:sz w:val="19"/>
          <w:szCs w:val="19"/>
          <w:b w:val="1"/>
          <w:bCs w:val="1"/>
          <w:color w:val="auto"/>
        </w:rPr>
        <w:t xml:space="preserve">“Change in Control” </w:t>
      </w:r>
      <w:r>
        <w:rPr>
          <w:rFonts w:ascii="Arial" w:cs="Arial" w:eastAsia="Arial" w:hAnsi="Arial"/>
          <w:sz w:val="19"/>
          <w:szCs w:val="19"/>
          <w:color w:val="auto"/>
        </w:rPr>
        <w:t>for the purposes of the Officers Incentive Compensation Plan shall mean the time when (i) any Person</w:t>
      </w:r>
      <w:r>
        <w:rPr>
          <w:rFonts w:ascii="Arial" w:cs="Arial" w:eastAsia="Arial" w:hAnsi="Arial"/>
          <w:sz w:val="19"/>
          <w:szCs w:val="19"/>
          <w:b w:val="1"/>
          <w:bCs w:val="1"/>
          <w:color w:val="auto"/>
        </w:rPr>
        <w:t xml:space="preserve"> </w:t>
      </w:r>
      <w:r>
        <w:rPr>
          <w:rFonts w:ascii="Arial" w:cs="Arial" w:eastAsia="Arial" w:hAnsi="Arial"/>
          <w:sz w:val="19"/>
          <w:szCs w:val="19"/>
          <w:color w:val="auto"/>
        </w:rPr>
        <w:t>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For the purpose of the definition “Change of Control:”</w:t>
      </w:r>
    </w:p>
    <w:p>
      <w:pPr>
        <w:spacing w:after="0" w:line="260" w:lineRule="exact"/>
        <w:rPr>
          <w:sz w:val="20"/>
          <w:szCs w:val="20"/>
          <w:color w:val="auto"/>
        </w:rPr>
      </w:pPr>
    </w:p>
    <w:p>
      <w:pPr>
        <w:ind w:left="640" w:right="20" w:hanging="324"/>
        <w:spacing w:after="0" w:line="260" w:lineRule="auto"/>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21" w:lineRule="exact"/>
        <w:rPr>
          <w:rFonts w:ascii="Arial" w:cs="Arial" w:eastAsia="Arial" w:hAnsi="Arial"/>
          <w:sz w:val="21"/>
          <w:szCs w:val="21"/>
          <w:color w:val="auto"/>
        </w:rPr>
      </w:pPr>
    </w:p>
    <w:p>
      <w:pPr>
        <w:ind w:left="640" w:right="320" w:hanging="324"/>
        <w:spacing w:after="0" w:line="253" w:lineRule="auto"/>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w:t>
      </w:r>
    </w:p>
    <w:p>
      <w:pPr>
        <w:spacing w:after="0" w:line="226" w:lineRule="exact"/>
        <w:rPr>
          <w:rFonts w:ascii="Arial" w:cs="Arial" w:eastAsia="Arial" w:hAnsi="Arial"/>
          <w:sz w:val="22"/>
          <w:szCs w:val="22"/>
          <w:color w:val="auto"/>
        </w:rPr>
      </w:pPr>
    </w:p>
    <w:p>
      <w:pPr>
        <w:ind w:left="640" w:right="40" w:hanging="324"/>
        <w:spacing w:after="0" w:line="263" w:lineRule="auto"/>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“Affiliate” means a Person that directly or indirectly through one or more intermediaries, controls, or is controlled by, or is under common control with, the person specified.</w:t>
      </w:r>
    </w:p>
    <w:p>
      <w:pPr>
        <w:spacing w:after="0" w:line="215" w:lineRule="exact"/>
        <w:rPr>
          <w:rFonts w:ascii="Arial" w:cs="Arial" w:eastAsia="Arial" w:hAnsi="Arial"/>
          <w:sz w:val="22"/>
          <w:szCs w:val="22"/>
          <w:color w:val="auto"/>
        </w:rPr>
      </w:pPr>
    </w:p>
    <w:p>
      <w:pPr>
        <w:ind w:left="640" w:hanging="324"/>
        <w:spacing w:after="0" w:line="247" w:lineRule="auto"/>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w:t>
      </w: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580" w:top="591" w:right="239" w:bottom="1440" w:gutter="0" w:footer="0" w:header="0"/>
        </w:sectPr>
      </w:pPr>
    </w:p>
    <w:bookmarkStart w:id="9" w:name="page10"/>
    <w:bookmarkEnd w:id="9"/>
    <w:p>
      <w:pPr>
        <w:ind w:left="980"/>
        <w:spacing w:after="0"/>
        <w:rPr>
          <w:sz w:val="20"/>
          <w:szCs w:val="20"/>
          <w:color w:val="auto"/>
        </w:rPr>
      </w:pPr>
      <w:r>
        <w:rPr>
          <w:rFonts w:ascii="Arial" w:cs="Arial" w:eastAsia="Arial" w:hAnsi="Arial"/>
          <w:sz w:val="22"/>
          <w:szCs w:val="22"/>
          <w:color w:val="auto"/>
        </w:rPr>
        <w:t>Affiliate of such person serves as investment advisor.</w:t>
      </w:r>
    </w:p>
    <w:p>
      <w:pPr>
        <w:spacing w:after="0" w:line="260" w:lineRule="exact"/>
        <w:rPr>
          <w:sz w:val="20"/>
          <w:szCs w:val="20"/>
          <w:color w:val="auto"/>
        </w:rPr>
      </w:pPr>
    </w:p>
    <w:p>
      <w:pPr>
        <w:ind w:left="980" w:hanging="324"/>
        <w:spacing w:after="0"/>
        <w:tabs>
          <w:tab w:leader="none" w:pos="980" w:val="left"/>
        </w:tabs>
        <w:numPr>
          <w:ilvl w:val="1"/>
          <w:numId w:val="8"/>
        </w:numPr>
        <w:rPr>
          <w:rFonts w:ascii="Arial" w:cs="Arial" w:eastAsia="Arial" w:hAnsi="Arial"/>
          <w:sz w:val="22"/>
          <w:szCs w:val="22"/>
          <w:color w:val="auto"/>
        </w:rPr>
      </w:pPr>
      <w:r>
        <w:rPr>
          <w:rFonts w:ascii="Arial" w:cs="Arial" w:eastAsia="Arial" w:hAnsi="Arial"/>
          <w:sz w:val="22"/>
          <w:szCs w:val="22"/>
          <w:color w:val="auto"/>
        </w:rPr>
        <w:t>“Company” means Winnebago Industries, Inc., an Iowa corporation.</w:t>
      </w:r>
    </w:p>
    <w:p>
      <w:pPr>
        <w:spacing w:after="0" w:line="260" w:lineRule="exact"/>
        <w:rPr>
          <w:rFonts w:ascii="Arial" w:cs="Arial" w:eastAsia="Arial" w:hAnsi="Arial"/>
          <w:sz w:val="22"/>
          <w:szCs w:val="22"/>
          <w:color w:val="auto"/>
        </w:rPr>
      </w:pPr>
    </w:p>
    <w:p>
      <w:pPr>
        <w:ind w:left="980" w:right="440" w:hanging="324"/>
        <w:spacing w:after="0" w:line="263" w:lineRule="auto"/>
        <w:tabs>
          <w:tab w:leader="none" w:pos="980" w:val="left"/>
        </w:tabs>
        <w:numPr>
          <w:ilvl w:val="1"/>
          <w:numId w:val="8"/>
        </w:numPr>
        <w:rPr>
          <w:rFonts w:ascii="Arial" w:cs="Arial" w:eastAsia="Arial" w:hAnsi="Arial"/>
          <w:sz w:val="22"/>
          <w:szCs w:val="22"/>
          <w:color w:val="auto"/>
        </w:rPr>
      </w:pPr>
      <w:r>
        <w:rPr>
          <w:rFonts w:ascii="Arial" w:cs="Arial" w:eastAsia="Arial" w:hAnsi="Arial"/>
          <w:sz w:val="22"/>
          <w:szCs w:val="22"/>
          <w:color w:val="auto"/>
        </w:rPr>
        <w:t>“Person” means an individual, corporation, limited liability company, partnership, association, joint stock company, trust, unincorporated organization or government or political subdivision thereof.</w:t>
      </w:r>
    </w:p>
    <w:p>
      <w:pPr>
        <w:spacing w:after="0" w:line="209" w:lineRule="exact"/>
        <w:rPr>
          <w:rFonts w:ascii="Arial" w:cs="Arial" w:eastAsia="Arial" w:hAnsi="Arial"/>
          <w:sz w:val="22"/>
          <w:szCs w:val="22"/>
          <w:color w:val="auto"/>
        </w:rPr>
      </w:pPr>
    </w:p>
    <w:p>
      <w:pPr>
        <w:ind w:left="660" w:hanging="328"/>
        <w:spacing w:after="0" w:line="288" w:lineRule="auto"/>
        <w:tabs>
          <w:tab w:leader="none" w:pos="660" w:val="left"/>
        </w:tabs>
        <w:numPr>
          <w:ilvl w:val="0"/>
          <w:numId w:val="9"/>
        </w:numPr>
        <w:rPr>
          <w:rFonts w:ascii="Arial" w:cs="Arial" w:eastAsia="Arial" w:hAnsi="Arial"/>
          <w:sz w:val="19"/>
          <w:szCs w:val="19"/>
          <w:color w:val="auto"/>
        </w:rPr>
      </w:pPr>
      <w:r>
        <w:rPr>
          <w:rFonts w:ascii="Arial" w:cs="Arial" w:eastAsia="Arial" w:hAnsi="Arial"/>
          <w:sz w:val="19"/>
          <w:szCs w:val="19"/>
          <w:b w:val="1"/>
          <w:bCs w:val="1"/>
          <w:u w:val="single" w:color="auto"/>
          <w:color w:val="auto"/>
        </w:rPr>
        <w:t>Recoupment of Incentive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the Committee reasonably determines that the performance certified</w:t>
      </w:r>
      <w:r>
        <w:rPr>
          <w:rFonts w:ascii="Arial" w:cs="Arial" w:eastAsia="Arial" w:hAnsi="Arial"/>
          <w:sz w:val="19"/>
          <w:szCs w:val="19"/>
          <w:b w:val="1"/>
          <w:bCs w:val="1"/>
          <w:color w:val="auto"/>
        </w:rPr>
        <w:t xml:space="preserve"> </w:t>
      </w:r>
      <w:r>
        <w:rPr>
          <w:rFonts w:ascii="Arial" w:cs="Arial" w:eastAsia="Arial" w:hAnsi="Arial"/>
          <w:sz w:val="19"/>
          <w:szCs w:val="19"/>
          <w:color w:val="auto"/>
        </w:rPr>
        <w:t>by the Committee, and any payment made to a participant with respect to the Plan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will be obligated to repay to the Company such amounts as required under any rules or regulations adopted by the Securities Exchange Commission under Section 10D(b)(2) of the Securities Exchange Act of 1934, as amended,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 Any determination made by the Board of Directors or the Committee under this provision shall be final, binding and conclusive on the participant.</w:t>
      </w:r>
    </w:p>
    <w:p>
      <w:pPr>
        <w:spacing w:after="0" w:line="195" w:lineRule="exact"/>
        <w:rPr>
          <w:rFonts w:ascii="Arial" w:cs="Arial" w:eastAsia="Arial" w:hAnsi="Arial"/>
          <w:sz w:val="19"/>
          <w:szCs w:val="19"/>
          <w:color w:val="auto"/>
        </w:rPr>
      </w:pPr>
    </w:p>
    <w:p>
      <w:pPr>
        <w:ind w:left="660" w:right="720" w:hanging="328"/>
        <w:spacing w:after="0" w:line="269"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preempted by federal law, the consideration and operation of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Iowa.</w:t>
      </w:r>
    </w:p>
    <w:p>
      <w:pPr>
        <w:spacing w:after="0" w:line="202" w:lineRule="exact"/>
        <w:rPr>
          <w:rFonts w:ascii="Arial" w:cs="Arial" w:eastAsia="Arial" w:hAnsi="Arial"/>
          <w:sz w:val="22"/>
          <w:szCs w:val="22"/>
          <w:color w:val="auto"/>
        </w:rPr>
      </w:pPr>
    </w:p>
    <w:p>
      <w:pPr>
        <w:ind w:left="660" w:right="340" w:hanging="328"/>
        <w:spacing w:after="0" w:line="350" w:lineRule="auto"/>
        <w:tabs>
          <w:tab w:leader="none" w:pos="660" w:val="left"/>
        </w:tabs>
        <w:numPr>
          <w:ilvl w:val="0"/>
          <w:numId w:val="9"/>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Rights.</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this Plan shall confer upon any employee the right to continue in the employ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affect the right of the Company to terminate an employee's employment at any time, with or without cause.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520" w:type="dxa"/>
            <w:vAlign w:val="bottom"/>
            <w:gridSpan w:val="2"/>
          </w:tcPr>
          <w:p>
            <w:pPr>
              <w:spacing w:after="0"/>
              <w:rPr>
                <w:sz w:val="20"/>
                <w:szCs w:val="20"/>
                <w:color w:val="auto"/>
              </w:rPr>
            </w:pPr>
            <w:r>
              <w:rPr>
                <w:rFonts w:ascii="Arial" w:cs="Arial" w:eastAsia="Arial" w:hAnsi="Arial"/>
                <w:sz w:val="22"/>
                <w:szCs w:val="22"/>
                <w:color w:val="auto"/>
              </w:rPr>
              <w:t>Approved by:</w:t>
            </w:r>
          </w:p>
        </w:tc>
        <w:tc>
          <w:tcPr>
            <w:tcW w:w="2280" w:type="dxa"/>
            <w:vAlign w:val="bottom"/>
          </w:tcPr>
          <w:p>
            <w:pPr>
              <w:spacing w:after="0"/>
              <w:rPr>
                <w:sz w:val="23"/>
                <w:szCs w:val="23"/>
                <w:color w:val="auto"/>
              </w:rPr>
            </w:pPr>
          </w:p>
        </w:tc>
      </w:tr>
      <w:tr>
        <w:trPr>
          <w:trHeight w:val="416"/>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Randy J. Potts</w:t>
            </w:r>
          </w:p>
        </w:tc>
        <w:tc>
          <w:tcPr>
            <w:tcW w:w="700" w:type="dxa"/>
            <w:vAlign w:val="bottom"/>
          </w:tcPr>
          <w:p>
            <w:pPr>
              <w:spacing w:after="0"/>
              <w:rPr>
                <w:sz w:val="24"/>
                <w:szCs w:val="24"/>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June 20, 2012</w:t>
            </w:r>
          </w:p>
        </w:tc>
      </w:tr>
      <w:tr>
        <w:trPr>
          <w:trHeight w:val="280"/>
        </w:trPr>
        <w:tc>
          <w:tcPr>
            <w:tcW w:w="6520" w:type="dxa"/>
            <w:vAlign w:val="bottom"/>
            <w:gridSpan w:val="2"/>
          </w:tcPr>
          <w:p>
            <w:pPr>
              <w:ind w:left="40"/>
              <w:spacing w:after="0"/>
              <w:rPr>
                <w:sz w:val="20"/>
                <w:szCs w:val="20"/>
                <w:color w:val="auto"/>
              </w:rPr>
            </w:pPr>
            <w:r>
              <w:rPr>
                <w:rFonts w:ascii="Arial" w:cs="Arial" w:eastAsia="Arial" w:hAnsi="Arial"/>
                <w:sz w:val="22"/>
                <w:szCs w:val="22"/>
                <w:color w:val="auto"/>
              </w:rPr>
              <w:t>Randy J. Potts</w:t>
            </w:r>
          </w:p>
        </w:tc>
        <w:tc>
          <w:tcPr>
            <w:tcW w:w="2280" w:type="dxa"/>
            <w:vAlign w:val="bottom"/>
          </w:tcPr>
          <w:p>
            <w:pPr>
              <w:ind w:left="20"/>
              <w:spacing w:after="0"/>
              <w:rPr>
                <w:sz w:val="20"/>
                <w:szCs w:val="20"/>
                <w:color w:val="auto"/>
              </w:rPr>
            </w:pPr>
            <w:r>
              <w:rPr>
                <w:rFonts w:ascii="Arial" w:cs="Arial" w:eastAsia="Arial" w:hAnsi="Arial"/>
                <w:sz w:val="22"/>
                <w:szCs w:val="22"/>
                <w:color w:val="auto"/>
              </w:rPr>
              <w:t>Dated</w:t>
            </w:r>
          </w:p>
        </w:tc>
      </w:tr>
      <w:tr>
        <w:trPr>
          <w:trHeight w:val="297"/>
        </w:trPr>
        <w:tc>
          <w:tcPr>
            <w:tcW w:w="6520" w:type="dxa"/>
            <w:vAlign w:val="bottom"/>
            <w:gridSpan w:val="2"/>
          </w:tcPr>
          <w:p>
            <w:pPr>
              <w:ind w:left="40"/>
              <w:spacing w:after="0"/>
              <w:rPr>
                <w:sz w:val="20"/>
                <w:szCs w:val="20"/>
                <w:color w:val="auto"/>
              </w:rPr>
            </w:pPr>
            <w:r>
              <w:rPr>
                <w:rFonts w:ascii="Arial" w:cs="Arial" w:eastAsia="Arial" w:hAnsi="Arial"/>
                <w:sz w:val="22"/>
                <w:szCs w:val="22"/>
                <w:color w:val="auto"/>
              </w:rPr>
              <w:t>Chairman of the Board, CEO and President</w:t>
            </w:r>
          </w:p>
        </w:tc>
        <w:tc>
          <w:tcPr>
            <w:tcW w:w="2280" w:type="dxa"/>
            <w:vAlign w:val="bottom"/>
          </w:tcPr>
          <w:p>
            <w:pPr>
              <w:spacing w:after="0"/>
              <w:rPr>
                <w:sz w:val="24"/>
                <w:szCs w:val="24"/>
                <w:color w:val="auto"/>
              </w:rPr>
            </w:pPr>
          </w:p>
        </w:tc>
      </w:tr>
      <w:tr>
        <w:trPr>
          <w:trHeight w:val="297"/>
        </w:trPr>
        <w:tc>
          <w:tcPr>
            <w:tcW w:w="6520" w:type="dxa"/>
            <w:vAlign w:val="bottom"/>
            <w:gridSpan w:val="2"/>
          </w:tcPr>
          <w:p>
            <w:pPr>
              <w:ind w:left="40"/>
              <w:spacing w:after="0"/>
              <w:rPr>
                <w:sz w:val="20"/>
                <w:szCs w:val="20"/>
                <w:color w:val="auto"/>
              </w:rPr>
            </w:pPr>
            <w:r>
              <w:rPr>
                <w:rFonts w:ascii="Arial" w:cs="Arial" w:eastAsia="Arial" w:hAnsi="Arial"/>
                <w:sz w:val="22"/>
                <w:szCs w:val="22"/>
                <w:color w:val="auto"/>
              </w:rPr>
              <w:t>Winnebago Industries, Inc.</w:t>
            </w:r>
          </w:p>
        </w:tc>
        <w:tc>
          <w:tcPr>
            <w:tcW w:w="2280" w:type="dxa"/>
            <w:vAlign w:val="bottom"/>
          </w:tcPr>
          <w:p>
            <w:pPr>
              <w:spacing w:after="0"/>
              <w:rPr>
                <w:sz w:val="24"/>
                <w:szCs w:val="24"/>
                <w:color w:val="auto"/>
              </w:rPr>
            </w:pPr>
          </w:p>
        </w:tc>
      </w:tr>
      <w:tr>
        <w:trPr>
          <w:trHeight w:val="605"/>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Gerald C. Kitch</w:t>
            </w:r>
          </w:p>
        </w:tc>
        <w:tc>
          <w:tcPr>
            <w:tcW w:w="700" w:type="dxa"/>
            <w:vAlign w:val="bottom"/>
          </w:tcPr>
          <w:p>
            <w:pPr>
              <w:spacing w:after="0"/>
              <w:rPr>
                <w:sz w:val="24"/>
                <w:szCs w:val="24"/>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June 20, 2012</w:t>
            </w:r>
          </w:p>
        </w:tc>
      </w:tr>
      <w:tr>
        <w:trPr>
          <w:trHeight w:val="280"/>
        </w:trPr>
        <w:tc>
          <w:tcPr>
            <w:tcW w:w="6520" w:type="dxa"/>
            <w:vAlign w:val="bottom"/>
            <w:gridSpan w:val="2"/>
          </w:tcPr>
          <w:p>
            <w:pPr>
              <w:ind w:left="40"/>
              <w:spacing w:after="0"/>
              <w:rPr>
                <w:sz w:val="20"/>
                <w:szCs w:val="20"/>
                <w:color w:val="auto"/>
              </w:rPr>
            </w:pPr>
            <w:r>
              <w:rPr>
                <w:rFonts w:ascii="Arial" w:cs="Arial" w:eastAsia="Arial" w:hAnsi="Arial"/>
                <w:sz w:val="22"/>
                <w:szCs w:val="22"/>
                <w:color w:val="auto"/>
              </w:rPr>
              <w:t>Gerald C. Kitch</w:t>
            </w:r>
          </w:p>
        </w:tc>
        <w:tc>
          <w:tcPr>
            <w:tcW w:w="2280" w:type="dxa"/>
            <w:vAlign w:val="bottom"/>
          </w:tcPr>
          <w:p>
            <w:pPr>
              <w:ind w:left="20"/>
              <w:spacing w:after="0"/>
              <w:rPr>
                <w:sz w:val="20"/>
                <w:szCs w:val="20"/>
                <w:color w:val="auto"/>
              </w:rPr>
            </w:pPr>
            <w:r>
              <w:rPr>
                <w:rFonts w:ascii="Arial" w:cs="Arial" w:eastAsia="Arial" w:hAnsi="Arial"/>
                <w:sz w:val="22"/>
                <w:szCs w:val="22"/>
                <w:color w:val="auto"/>
              </w:rPr>
              <w:t>Dated</w:t>
            </w:r>
          </w:p>
        </w:tc>
      </w:tr>
      <w:tr>
        <w:trPr>
          <w:trHeight w:val="297"/>
        </w:trPr>
        <w:tc>
          <w:tcPr>
            <w:tcW w:w="6520" w:type="dxa"/>
            <w:vAlign w:val="bottom"/>
            <w:gridSpan w:val="2"/>
          </w:tcPr>
          <w:p>
            <w:pPr>
              <w:ind w:left="40"/>
              <w:spacing w:after="0"/>
              <w:rPr>
                <w:sz w:val="20"/>
                <w:szCs w:val="20"/>
                <w:color w:val="auto"/>
              </w:rPr>
            </w:pPr>
            <w:r>
              <w:rPr>
                <w:rFonts w:ascii="Arial" w:cs="Arial" w:eastAsia="Arial" w:hAnsi="Arial"/>
                <w:sz w:val="22"/>
                <w:szCs w:val="22"/>
                <w:color w:val="auto"/>
              </w:rPr>
              <w:t>Chairman, Human Resources Committee</w:t>
            </w:r>
          </w:p>
        </w:tc>
        <w:tc>
          <w:tcPr>
            <w:tcW w:w="2280" w:type="dxa"/>
            <w:vAlign w:val="bottom"/>
          </w:tcPr>
          <w:p>
            <w:pPr>
              <w:spacing w:after="0"/>
              <w:rPr>
                <w:sz w:val="24"/>
                <w:szCs w:val="24"/>
                <w:color w:val="auto"/>
              </w:rPr>
            </w:pPr>
          </w:p>
        </w:tc>
      </w:tr>
      <w:tr>
        <w:trPr>
          <w:trHeight w:val="297"/>
        </w:trPr>
        <w:tc>
          <w:tcPr>
            <w:tcW w:w="6520" w:type="dxa"/>
            <w:vAlign w:val="bottom"/>
            <w:gridSpan w:val="2"/>
          </w:tcPr>
          <w:p>
            <w:pPr>
              <w:ind w:left="40"/>
              <w:spacing w:after="0"/>
              <w:rPr>
                <w:sz w:val="20"/>
                <w:szCs w:val="20"/>
                <w:color w:val="auto"/>
              </w:rPr>
            </w:pPr>
            <w:r>
              <w:rPr>
                <w:rFonts w:ascii="Arial" w:cs="Arial" w:eastAsia="Arial" w:hAnsi="Arial"/>
                <w:sz w:val="22"/>
                <w:szCs w:val="22"/>
                <w:color w:val="auto"/>
              </w:rPr>
              <w:t>of the Winnebago Industries Board of Directors</w:t>
            </w:r>
          </w:p>
        </w:tc>
        <w:tc>
          <w:tcPr>
            <w:tcW w:w="2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2850515</wp:posOffset>
            </wp:positionH>
            <wp:positionV relativeFrom="page">
              <wp:posOffset>1512570</wp:posOffset>
            </wp:positionV>
            <wp:extent cx="1895475" cy="823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820" w:right="819"/>
        <w:spacing w:after="0" w:line="408" w:lineRule="auto"/>
        <w:rPr>
          <w:sz w:val="20"/>
          <w:szCs w:val="20"/>
          <w:color w:val="auto"/>
        </w:rPr>
      </w:pPr>
      <w:r>
        <w:rPr>
          <w:rFonts w:ascii="Arial" w:cs="Arial" w:eastAsia="Arial" w:hAnsi="Arial"/>
          <w:sz w:val="36"/>
          <w:szCs w:val="36"/>
          <w:b w:val="1"/>
          <w:bCs w:val="1"/>
          <w:color w:val="auto"/>
        </w:rPr>
        <w:t>OFFICERS LONG-TERM INCENTIVE PLAN FISCAL THREE-YEAR PERIOD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2013, 2014 and 2015</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1440" w:right="1440"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25"/>
          <w:szCs w:val="25"/>
          <w:b w:val="1"/>
          <w:bCs w:val="1"/>
          <w:color w:val="auto"/>
        </w:rPr>
        <w:t>WINNEBAGO INDUSTRIES, INC.</w:t>
      </w:r>
    </w:p>
    <w:p>
      <w:pPr>
        <w:spacing w:after="0" w:line="38" w:lineRule="exact"/>
        <w:rPr>
          <w:sz w:val="20"/>
          <w:szCs w:val="20"/>
          <w:color w:val="auto"/>
        </w:rPr>
      </w:pPr>
    </w:p>
    <w:p>
      <w:pPr>
        <w:jc w:val="center"/>
        <w:ind w:right="-11"/>
        <w:spacing w:after="0"/>
        <w:rPr>
          <w:sz w:val="20"/>
          <w:szCs w:val="20"/>
          <w:color w:val="auto"/>
        </w:rPr>
      </w:pPr>
      <w:r>
        <w:rPr>
          <w:rFonts w:ascii="Arial" w:cs="Arial" w:eastAsia="Arial" w:hAnsi="Arial"/>
          <w:sz w:val="25"/>
          <w:szCs w:val="25"/>
          <w:b w:val="1"/>
          <w:bCs w:val="1"/>
          <w:color w:val="auto"/>
        </w:rPr>
        <w:t>OFFICERS LONG-TERM INCENTIVE PLAN</w:t>
      </w:r>
    </w:p>
    <w:p>
      <w:pPr>
        <w:spacing w:after="0" w:line="10" w:lineRule="exact"/>
        <w:rPr>
          <w:sz w:val="20"/>
          <w:szCs w:val="20"/>
          <w:color w:val="auto"/>
        </w:rPr>
      </w:pPr>
    </w:p>
    <w:p>
      <w:pPr>
        <w:jc w:val="center"/>
        <w:ind w:right="-11"/>
        <w:spacing w:after="0"/>
        <w:rPr>
          <w:sz w:val="20"/>
          <w:szCs w:val="20"/>
          <w:color w:val="auto"/>
        </w:rPr>
      </w:pPr>
      <w:r>
        <w:rPr>
          <w:rFonts w:ascii="Arial" w:cs="Arial" w:eastAsia="Arial" w:hAnsi="Arial"/>
          <w:sz w:val="25"/>
          <w:szCs w:val="25"/>
          <w:b w:val="1"/>
          <w:bCs w:val="1"/>
          <w:color w:val="auto"/>
        </w:rPr>
        <w:t>Fiscal Three-Year Period 2013, 2014 and 2015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32" w:hanging="332"/>
        <w:spacing w:after="0" w:line="252" w:lineRule="auto"/>
        <w:tabs>
          <w:tab w:leader="none" w:pos="332" w:val="left"/>
        </w:tabs>
        <w:numPr>
          <w:ilvl w:val="0"/>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Winnebago Industries, Inc. Officers Long-Term Incentive Plan (the “Plan”) is to promote the long-term growth and profitability 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220" w:lineRule="exact"/>
        <w:rPr>
          <w:rFonts w:ascii="Arial" w:cs="Arial" w:eastAsia="Arial" w:hAnsi="Arial"/>
          <w:sz w:val="22"/>
          <w:szCs w:val="22"/>
          <w:color w:val="auto"/>
        </w:rPr>
      </w:pPr>
    </w:p>
    <w:p>
      <w:pPr>
        <w:ind w:left="332" w:hanging="332"/>
        <w:spacing w:after="0"/>
        <w:tabs>
          <w:tab w:leader="none" w:pos="332" w:val="left"/>
        </w:tabs>
        <w:numPr>
          <w:ilvl w:val="0"/>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Administration.</w:t>
      </w:r>
    </w:p>
    <w:p>
      <w:pPr>
        <w:spacing w:after="0" w:line="27" w:lineRule="exact"/>
        <w:rPr>
          <w:rFonts w:ascii="Arial" w:cs="Arial" w:eastAsia="Arial" w:hAnsi="Arial"/>
          <w:sz w:val="22"/>
          <w:szCs w:val="22"/>
          <w:color w:val="auto"/>
        </w:rPr>
      </w:pPr>
    </w:p>
    <w:p>
      <w:pPr>
        <w:ind w:left="972" w:right="320" w:hanging="324"/>
        <w:spacing w:after="0" w:line="246" w:lineRule="auto"/>
        <w:tabs>
          <w:tab w:leader="none" w:pos="972" w:val="left"/>
        </w:tabs>
        <w:numPr>
          <w:ilvl w:val="2"/>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Human Resources Committee</w:t>
      </w:r>
      <w:r>
        <w:rPr>
          <w:rFonts w:ascii="Arial" w:cs="Arial" w:eastAsia="Arial" w:hAnsi="Arial"/>
          <w:sz w:val="22"/>
          <w:szCs w:val="22"/>
          <w:color w:val="auto"/>
        </w:rPr>
        <w:t>. The Plan shall be administered by a Committee (the “Committee”) appointed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w:t>
      </w:r>
    </w:p>
    <w:p>
      <w:pPr>
        <w:spacing w:after="0" w:line="227" w:lineRule="exact"/>
        <w:rPr>
          <w:rFonts w:ascii="Arial" w:cs="Arial" w:eastAsia="Arial" w:hAnsi="Arial"/>
          <w:sz w:val="22"/>
          <w:szCs w:val="22"/>
          <w:color w:val="auto"/>
        </w:rPr>
      </w:pPr>
    </w:p>
    <w:p>
      <w:pPr>
        <w:ind w:left="972" w:right="120" w:hanging="324"/>
        <w:spacing w:after="0" w:line="252" w:lineRule="auto"/>
        <w:tabs>
          <w:tab w:leader="none" w:pos="972" w:val="left"/>
        </w:tabs>
        <w:numPr>
          <w:ilvl w:val="2"/>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Powers and Duties</w:t>
      </w:r>
      <w:r>
        <w:rPr>
          <w:rFonts w:ascii="Arial" w:cs="Arial" w:eastAsia="Arial" w:hAnsi="Arial"/>
          <w:sz w:val="22"/>
          <w:szCs w:val="22"/>
          <w:color w:val="auto"/>
        </w:rPr>
        <w:t>. The Committee shall have sole discretion and authority to make any and all determinations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220" w:lineRule="exact"/>
        <w:rPr>
          <w:rFonts w:ascii="Arial" w:cs="Arial" w:eastAsia="Arial" w:hAnsi="Arial"/>
          <w:sz w:val="22"/>
          <w:szCs w:val="22"/>
          <w:color w:val="auto"/>
        </w:rPr>
      </w:pPr>
    </w:p>
    <w:p>
      <w:pPr>
        <w:ind w:left="972" w:right="200" w:hanging="324"/>
        <w:spacing w:after="0" w:line="269" w:lineRule="auto"/>
        <w:tabs>
          <w:tab w:leader="none" w:pos="972" w:val="left"/>
        </w:tabs>
        <w:numPr>
          <w:ilvl w:val="2"/>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Annual Approval.</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must approve the Plan prior to the beginning of each new fiscal three (3) year plan</w:t>
      </w:r>
      <w:r>
        <w:rPr>
          <w:rFonts w:ascii="Arial" w:cs="Arial" w:eastAsia="Arial" w:hAnsi="Arial"/>
          <w:sz w:val="22"/>
          <w:szCs w:val="22"/>
          <w:b w:val="1"/>
          <w:bCs w:val="1"/>
          <w:color w:val="auto"/>
        </w:rPr>
        <w:t xml:space="preserve"> </w:t>
      </w:r>
      <w:r>
        <w:rPr>
          <w:rFonts w:ascii="Arial" w:cs="Arial" w:eastAsia="Arial" w:hAnsi="Arial"/>
          <w:sz w:val="22"/>
          <w:szCs w:val="22"/>
          <w:color w:val="auto"/>
        </w:rPr>
        <w:t>period. Each year a new plan will be established for a new three-year period.</w:t>
      </w:r>
    </w:p>
    <w:p>
      <w:pPr>
        <w:spacing w:after="0" w:line="202" w:lineRule="exact"/>
        <w:rPr>
          <w:rFonts w:ascii="Arial" w:cs="Arial" w:eastAsia="Arial" w:hAnsi="Arial"/>
          <w:sz w:val="22"/>
          <w:szCs w:val="22"/>
          <w:color w:val="auto"/>
        </w:rPr>
      </w:pPr>
    </w:p>
    <w:p>
      <w:pPr>
        <w:ind w:left="332" w:hanging="332"/>
        <w:spacing w:after="0"/>
        <w:tabs>
          <w:tab w:leader="none" w:pos="332" w:val="left"/>
        </w:tabs>
        <w:numPr>
          <w:ilvl w:val="0"/>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Participation Eligibility</w:t>
      </w:r>
      <w:r>
        <w:rPr>
          <w:rFonts w:ascii="Arial" w:cs="Arial" w:eastAsia="Arial" w:hAnsi="Arial"/>
          <w:sz w:val="22"/>
          <w:szCs w:val="22"/>
          <w:color w:val="auto"/>
        </w:rPr>
        <w:t>.</w:t>
      </w:r>
    </w:p>
    <w:p>
      <w:pPr>
        <w:spacing w:after="0" w:line="27" w:lineRule="exact"/>
        <w:rPr>
          <w:rFonts w:ascii="Arial" w:cs="Arial" w:eastAsia="Arial" w:hAnsi="Arial"/>
          <w:sz w:val="22"/>
          <w:szCs w:val="22"/>
          <w:color w:val="auto"/>
        </w:rPr>
      </w:pPr>
    </w:p>
    <w:p>
      <w:pPr>
        <w:ind w:left="972" w:right="20" w:hanging="324"/>
        <w:spacing w:after="0" w:line="246" w:lineRule="auto"/>
        <w:tabs>
          <w:tab w:leader="none" w:pos="972" w:val="left"/>
        </w:tabs>
        <w:numPr>
          <w:ilvl w:val="2"/>
          <w:numId w:val="10"/>
        </w:numPr>
        <w:rPr>
          <w:rFonts w:ascii="Arial" w:cs="Arial" w:eastAsia="Arial" w:hAnsi="Arial"/>
          <w:sz w:val="22"/>
          <w:szCs w:val="22"/>
          <w:color w:val="auto"/>
        </w:rPr>
      </w:pPr>
      <w:r>
        <w:rPr>
          <w:rFonts w:ascii="Arial" w:cs="Arial" w:eastAsia="Arial" w:hAnsi="Arial"/>
          <w:sz w:val="22"/>
          <w:szCs w:val="22"/>
          <w:color w:val="auto"/>
        </w:rPr>
        <w:t>Participants must be an officer of the Company with responsibilities that can have a real impact on the Corporation's end results.</w:t>
      </w:r>
    </w:p>
    <w:p>
      <w:pPr>
        <w:spacing w:after="0" w:line="233" w:lineRule="exact"/>
        <w:rPr>
          <w:rFonts w:ascii="Arial" w:cs="Arial" w:eastAsia="Arial" w:hAnsi="Arial"/>
          <w:sz w:val="22"/>
          <w:szCs w:val="22"/>
          <w:color w:val="auto"/>
        </w:rPr>
      </w:pPr>
    </w:p>
    <w:p>
      <w:pPr>
        <w:ind w:left="972" w:hanging="324"/>
        <w:spacing w:after="0"/>
        <w:tabs>
          <w:tab w:leader="none" w:pos="972" w:val="left"/>
        </w:tabs>
        <w:numPr>
          <w:ilvl w:val="2"/>
          <w:numId w:val="10"/>
        </w:numPr>
        <w:rPr>
          <w:rFonts w:ascii="Arial" w:cs="Arial" w:eastAsia="Arial" w:hAnsi="Arial"/>
          <w:sz w:val="22"/>
          <w:szCs w:val="22"/>
          <w:color w:val="auto"/>
        </w:rPr>
      </w:pPr>
      <w:r>
        <w:rPr>
          <w:rFonts w:ascii="Arial" w:cs="Arial" w:eastAsia="Arial" w:hAnsi="Arial"/>
          <w:sz w:val="22"/>
          <w:szCs w:val="22"/>
          <w:color w:val="auto"/>
        </w:rPr>
        <w:t>The Committee will approve all initial participation prior to the beginning of each new plan year.</w:t>
      </w:r>
    </w:p>
    <w:p>
      <w:pPr>
        <w:spacing w:after="0" w:line="260" w:lineRule="exact"/>
        <w:rPr>
          <w:rFonts w:ascii="Arial" w:cs="Arial" w:eastAsia="Arial" w:hAnsi="Arial"/>
          <w:sz w:val="22"/>
          <w:szCs w:val="22"/>
          <w:color w:val="auto"/>
        </w:rPr>
      </w:pPr>
    </w:p>
    <w:p>
      <w:pPr>
        <w:ind w:left="972" w:right="300" w:hanging="324"/>
        <w:spacing w:after="0" w:line="253" w:lineRule="auto"/>
        <w:tabs>
          <w:tab w:leader="none" w:pos="972" w:val="left"/>
        </w:tabs>
        <w:numPr>
          <w:ilvl w:val="2"/>
          <w:numId w:val="10"/>
        </w:numPr>
        <w:rPr>
          <w:rFonts w:ascii="Arial" w:cs="Arial" w:eastAsia="Arial" w:hAnsi="Arial"/>
          <w:sz w:val="22"/>
          <w:szCs w:val="22"/>
          <w:color w:val="auto"/>
        </w:rPr>
      </w:pPr>
      <w:r>
        <w:rPr>
          <w:rFonts w:ascii="Arial" w:cs="Arial" w:eastAsia="Arial" w:hAnsi="Arial"/>
          <w:sz w:val="22"/>
          <w:szCs w:val="22"/>
          <w:color w:val="auto"/>
        </w:rPr>
        <w:t>The Committee will make the determination on participation for new participants. Unless otherwise specified, participants must be actively employed as of the end of the three (3) year fiscal period to be eligible for any incentive award.</w:t>
      </w:r>
    </w:p>
    <w:p>
      <w:pPr>
        <w:spacing w:after="0" w:line="220" w:lineRule="exact"/>
        <w:rPr>
          <w:rFonts w:ascii="Arial" w:cs="Arial" w:eastAsia="Arial" w:hAnsi="Arial"/>
          <w:sz w:val="22"/>
          <w:szCs w:val="22"/>
          <w:color w:val="auto"/>
        </w:rPr>
      </w:pPr>
    </w:p>
    <w:p>
      <w:pPr>
        <w:ind w:left="332" w:hanging="332"/>
        <w:spacing w:after="0"/>
        <w:tabs>
          <w:tab w:leader="none" w:pos="332" w:val="left"/>
        </w:tabs>
        <w:numPr>
          <w:ilvl w:val="0"/>
          <w:numId w:val="10"/>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the Plan</w:t>
      </w:r>
      <w:r>
        <w:rPr>
          <w:rFonts w:ascii="Arial" w:cs="Arial" w:eastAsia="Arial" w:hAnsi="Arial"/>
          <w:sz w:val="19"/>
          <w:szCs w:val="19"/>
          <w:color w:val="auto"/>
        </w:rPr>
        <w:t>. The long-term incentive award is based upon financial performance of the Corporation. The Plan is a three</w:t>
      </w:r>
    </w:p>
    <w:p>
      <w:pPr>
        <w:spacing w:after="0" w:line="62" w:lineRule="exact"/>
        <w:rPr>
          <w:rFonts w:ascii="Arial" w:cs="Arial" w:eastAsia="Arial" w:hAnsi="Arial"/>
          <w:sz w:val="19"/>
          <w:szCs w:val="19"/>
          <w:color w:val="auto"/>
        </w:rPr>
      </w:pPr>
    </w:p>
    <w:p>
      <w:pPr>
        <w:ind w:left="332" w:right="740" w:hanging="8"/>
        <w:spacing w:after="0" w:line="246" w:lineRule="auto"/>
        <w:tabs>
          <w:tab w:leader="none" w:pos="638" w:val="left"/>
        </w:tabs>
        <w:numPr>
          <w:ilvl w:val="1"/>
          <w:numId w:val="10"/>
        </w:numPr>
        <w:rPr>
          <w:rFonts w:ascii="Arial" w:cs="Arial" w:eastAsia="Arial" w:hAnsi="Arial"/>
          <w:sz w:val="22"/>
          <w:szCs w:val="22"/>
          <w:color w:val="auto"/>
        </w:rPr>
      </w:pPr>
      <w:r>
        <w:rPr>
          <w:rFonts w:ascii="Arial" w:cs="Arial" w:eastAsia="Arial" w:hAnsi="Arial"/>
          <w:sz w:val="22"/>
          <w:szCs w:val="22"/>
          <w:color w:val="auto"/>
        </w:rPr>
        <w:t>year (fiscal) program that provides for an opportunity for an incentive award based on the achievement of long-term financial performance results as measured at the end of the three (3) year fiscal period.</w:t>
      </w:r>
    </w:p>
    <w:p>
      <w:pPr>
        <w:spacing w:after="0" w:line="233" w:lineRule="exact"/>
        <w:rPr>
          <w:sz w:val="20"/>
          <w:szCs w:val="20"/>
          <w:color w:val="auto"/>
        </w:rPr>
      </w:pPr>
    </w:p>
    <w:p>
      <w:pPr>
        <w:jc w:val="both"/>
        <w:ind w:left="332" w:right="120"/>
        <w:spacing w:after="0" w:line="260" w:lineRule="exact"/>
        <w:rPr>
          <w:sz w:val="20"/>
          <w:szCs w:val="20"/>
          <w:color w:val="auto"/>
        </w:rPr>
      </w:pPr>
      <w:r>
        <w:rPr>
          <w:rFonts w:ascii="Arial" w:cs="Arial" w:eastAsia="Arial" w:hAnsi="Arial"/>
          <w:sz w:val="21"/>
          <w:szCs w:val="21"/>
          <w:color w:val="auto"/>
        </w:rPr>
        <w:t>The financial performance measurements for this Plan will be based upon one or more pre</w:t>
      </w:r>
      <w:r>
        <w:rPr>
          <w:rFonts w:ascii="MS PGothic" w:cs="MS PGothic" w:eastAsia="MS PGothic" w:hAnsi="MS PGothic"/>
          <w:sz w:val="21"/>
          <w:szCs w:val="21"/>
          <w:color w:val="auto"/>
        </w:rPr>
        <w:t>‑</w:t>
      </w:r>
      <w:r>
        <w:rPr>
          <w:rFonts w:ascii="Arial" w:cs="Arial" w:eastAsia="Arial" w:hAnsi="Arial"/>
          <w:sz w:val="21"/>
          <w:szCs w:val="21"/>
          <w:color w:val="auto"/>
        </w:rPr>
        <w:t>established financial criteria. These financial performance measurements will provide an appropriate balance between quality and quantity of earnings. The Board establishes the financial measurements including a Target, a minimum threshold below which an incentive will not be paid and a maximum incentive level. Financial performance achievement levels may be adjusted to include or exclude specific items of an unusual nature or non-operating or significant events not</w:t>
      </w:r>
    </w:p>
    <w:p>
      <w:pPr>
        <w:spacing w:after="0" w:line="2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792" w:right="239" w:bottom="1440" w:gutter="0" w:footer="0" w:header="0"/>
        </w:sectPr>
      </w:pPr>
    </w:p>
    <w:bookmarkStart w:id="12" w:name="page13"/>
    <w:bookmarkEnd w:id="12"/>
    <w:p>
      <w:pPr>
        <w:ind w:left="332" w:right="120"/>
        <w:spacing w:after="0" w:line="263" w:lineRule="auto"/>
        <w:rPr>
          <w:sz w:val="20"/>
          <w:szCs w:val="20"/>
          <w:color w:val="auto"/>
        </w:rPr>
      </w:pPr>
      <w:r>
        <w:rPr>
          <w:rFonts w:ascii="Arial" w:cs="Arial" w:eastAsia="Arial" w:hAnsi="Arial"/>
          <w:sz w:val="22"/>
          <w:szCs w:val="22"/>
          <w:color w:val="auto"/>
        </w:rPr>
        <w:t>anticipated by the Committee when financial performance measurements were established, as determined by the Committee in its sole discretion and as permitted by the Plan.</w:t>
      </w:r>
    </w:p>
    <w:p>
      <w:pPr>
        <w:spacing w:after="0" w:line="209" w:lineRule="exact"/>
        <w:rPr>
          <w:sz w:val="20"/>
          <w:szCs w:val="20"/>
          <w:color w:val="auto"/>
        </w:rPr>
      </w:pPr>
    </w:p>
    <w:p>
      <w:pPr>
        <w:ind w:left="332" w:right="140" w:hanging="332"/>
        <w:spacing w:after="0" w:line="298" w:lineRule="auto"/>
        <w:tabs>
          <w:tab w:leader="none" w:pos="332" w:val="left"/>
        </w:tabs>
        <w:numPr>
          <w:ilvl w:val="0"/>
          <w:numId w:val="11"/>
        </w:numPr>
        <w:rPr>
          <w:rFonts w:ascii="Arial" w:cs="Arial" w:eastAsia="Arial" w:hAnsi="Arial"/>
          <w:sz w:val="19"/>
          <w:szCs w:val="19"/>
          <w:color w:val="auto"/>
        </w:rPr>
      </w:pPr>
      <w:r>
        <w:rPr>
          <w:rFonts w:ascii="Arial" w:cs="Arial" w:eastAsia="Arial" w:hAnsi="Arial"/>
          <w:sz w:val="19"/>
          <w:szCs w:val="19"/>
          <w:b w:val="1"/>
          <w:bCs w:val="1"/>
          <w:u w:val="single" w:color="auto"/>
          <w:color w:val="auto"/>
        </w:rPr>
        <w:t>Method of Payment</w:t>
      </w:r>
      <w:r>
        <w:rPr>
          <w:rFonts w:ascii="Arial" w:cs="Arial" w:eastAsia="Arial" w:hAnsi="Arial"/>
          <w:sz w:val="19"/>
          <w:szCs w:val="19"/>
          <w:color w:val="auto"/>
        </w:rPr>
        <w:t>. The long-term incentive award will be a stock grant made in restricted shares of the common stock of</w:t>
      </w:r>
      <w:r>
        <w:rPr>
          <w:rFonts w:ascii="Arial" w:cs="Arial" w:eastAsia="Arial" w:hAnsi="Arial"/>
          <w:sz w:val="19"/>
          <w:szCs w:val="19"/>
          <w:b w:val="1"/>
          <w:bCs w:val="1"/>
          <w:color w:val="auto"/>
        </w:rPr>
        <w:t xml:space="preserve"> </w:t>
      </w:r>
      <w:r>
        <w:rPr>
          <w:rFonts w:ascii="Arial" w:cs="Arial" w:eastAsia="Arial" w:hAnsi="Arial"/>
          <w:sz w:val="19"/>
          <w:szCs w:val="19"/>
          <w:color w:val="auto"/>
        </w:rPr>
        <w:t>Winnebago Industries, Inc.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189" w:lineRule="exact"/>
        <w:rPr>
          <w:rFonts w:ascii="Arial" w:cs="Arial" w:eastAsia="Arial" w:hAnsi="Arial"/>
          <w:sz w:val="19"/>
          <w:szCs w:val="19"/>
          <w:color w:val="auto"/>
        </w:rPr>
      </w:pPr>
    </w:p>
    <w:p>
      <w:pPr>
        <w:ind w:left="332"/>
        <w:spacing w:after="0" w:line="260" w:lineRule="auto"/>
        <w:rPr>
          <w:rFonts w:ascii="Arial" w:cs="Arial" w:eastAsia="Arial" w:hAnsi="Arial"/>
          <w:sz w:val="19"/>
          <w:szCs w:val="19"/>
          <w:color w:val="auto"/>
        </w:rPr>
      </w:pPr>
      <w:r>
        <w:rPr>
          <w:rFonts w:ascii="Arial" w:cs="Arial" w:eastAsia="Arial" w:hAnsi="Arial"/>
          <w:sz w:val="21"/>
          <w:szCs w:val="21"/>
          <w:color w:val="auto"/>
        </w:rPr>
        <w:t>The long-term incentive for the executive officers provides for an opportunity of 25% of the annualized base salary (Target) to be awarded in restricted stock at 100% (Target) achievement of the financial long-term objectives. The Committee delegates to the CEO the authority to establish the incentive (Target) opportunity for officers other than executive officers subject to the limitations set forth in this Plan. The annualized base salary figure used for the three (3) year period beginning Fiscal 2013 shall be the salary in place for each participant as of September 2012. The resultant stock unit share opportunity (Target) will be adjusted up or down as determined by actual financial performance expressed as a percentage (Financial Factor) at the end of the three (3) year fiscal period.</w:t>
      </w:r>
    </w:p>
    <w:p>
      <w:pPr>
        <w:spacing w:after="0" w:line="221" w:lineRule="exact"/>
        <w:rPr>
          <w:rFonts w:ascii="Arial" w:cs="Arial" w:eastAsia="Arial" w:hAnsi="Arial"/>
          <w:sz w:val="19"/>
          <w:szCs w:val="19"/>
          <w:color w:val="auto"/>
        </w:rPr>
      </w:pPr>
    </w:p>
    <w:p>
      <w:pPr>
        <w:ind w:left="332" w:right="80"/>
        <w:spacing w:after="0" w:line="290" w:lineRule="auto"/>
        <w:rPr>
          <w:rFonts w:ascii="Arial" w:cs="Arial" w:eastAsia="Arial" w:hAnsi="Arial"/>
          <w:sz w:val="19"/>
          <w:szCs w:val="19"/>
          <w:color w:val="auto"/>
        </w:rPr>
      </w:pPr>
      <w:r>
        <w:rPr>
          <w:rFonts w:ascii="Arial" w:cs="Arial" w:eastAsia="Arial" w:hAnsi="Arial"/>
          <w:sz w:val="19"/>
          <w:szCs w:val="19"/>
          <w:color w:val="auto"/>
        </w:rPr>
        <w:t>The earned incentive for the three year performance period will be awarded in the form of a grant made in restricted shares of common stock to encourage stock ownership and promote the long-term growth and profitability of Winnebago Industries, Inc. A participant must actively be employed by Winnebago Industries, Inc. at the end of the fiscal three (3) year period to be eligible for any long-term incentive award. The long-term restricted stock grant shall be awarded as soon as practical after the final year-end accounting and shall be approved by the Board of Directors Human Resource Committee in October following fiscal year end. The price of the stock shall be the closing market price of the Company's common stock on the date in which the grant is approved by the Committee. The stock grant will be considered as taxable on the date of such grant. The stock award restriction shall be removed one year following date of grant.</w:t>
      </w:r>
    </w:p>
    <w:p>
      <w:pPr>
        <w:spacing w:after="0" w:line="191" w:lineRule="exact"/>
        <w:rPr>
          <w:rFonts w:ascii="Arial" w:cs="Arial" w:eastAsia="Arial" w:hAnsi="Arial"/>
          <w:sz w:val="19"/>
          <w:szCs w:val="19"/>
          <w:color w:val="auto"/>
        </w:rPr>
      </w:pPr>
    </w:p>
    <w:p>
      <w:pPr>
        <w:ind w:left="332" w:right="200" w:hanging="332"/>
        <w:spacing w:after="0" w:line="291" w:lineRule="auto"/>
        <w:tabs>
          <w:tab w:leader="none" w:pos="332" w:val="left"/>
        </w:tabs>
        <w:numPr>
          <w:ilvl w:val="0"/>
          <w:numId w:val="11"/>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the Company undergoes a change in control during the fiscal three (3) year plan period</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190" w:lineRule="exact"/>
        <w:rPr>
          <w:rFonts w:ascii="Arial" w:cs="Arial" w:eastAsia="Arial" w:hAnsi="Arial"/>
          <w:sz w:val="19"/>
          <w:szCs w:val="19"/>
          <w:color w:val="auto"/>
        </w:rPr>
      </w:pPr>
    </w:p>
    <w:p>
      <w:pPr>
        <w:ind w:left="332" w:right="160"/>
        <w:spacing w:after="0" w:line="304" w:lineRule="auto"/>
        <w:rPr>
          <w:rFonts w:ascii="Arial" w:cs="Arial" w:eastAsia="Arial" w:hAnsi="Arial"/>
          <w:sz w:val="19"/>
          <w:szCs w:val="19"/>
          <w:color w:val="auto"/>
        </w:rPr>
      </w:pPr>
      <w:r>
        <w:rPr>
          <w:rFonts w:ascii="Arial" w:cs="Arial" w:eastAsia="Arial" w:hAnsi="Arial"/>
          <w:sz w:val="19"/>
          <w:szCs w:val="19"/>
          <w:b w:val="1"/>
          <w:bCs w:val="1"/>
          <w:color w:val="auto"/>
        </w:rPr>
        <w:t xml:space="preserve">“Change in Control” </w:t>
      </w:r>
      <w:r>
        <w:rPr>
          <w:rFonts w:ascii="Arial" w:cs="Arial" w:eastAsia="Arial" w:hAnsi="Arial"/>
          <w:sz w:val="19"/>
          <w:szCs w:val="19"/>
          <w:color w:val="auto"/>
        </w:rPr>
        <w:t>for the purposes of the Officers Long-Term Incentive Plan shall mean the time when (i) any Person</w:t>
      </w:r>
      <w:r>
        <w:rPr>
          <w:rFonts w:ascii="Arial" w:cs="Arial" w:eastAsia="Arial" w:hAnsi="Arial"/>
          <w:sz w:val="19"/>
          <w:szCs w:val="19"/>
          <w:b w:val="1"/>
          <w:bCs w:val="1"/>
          <w:color w:val="auto"/>
        </w:rPr>
        <w:t xml:space="preserve"> </w:t>
      </w:r>
      <w:r>
        <w:rPr>
          <w:rFonts w:ascii="Arial" w:cs="Arial" w:eastAsia="Arial" w:hAnsi="Arial"/>
          <w:sz w:val="19"/>
          <w:szCs w:val="19"/>
          <w:color w:val="auto"/>
        </w:rPr>
        <w:t>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w:t>
      </w:r>
    </w:p>
    <w:p>
      <w:pPr>
        <w:spacing w:after="0" w:line="1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591" w:right="259" w:bottom="1440" w:gutter="0" w:footer="0" w:header="0"/>
        </w:sectPr>
      </w:pPr>
    </w:p>
    <w:bookmarkStart w:id="13" w:name="page14"/>
    <w:bookmarkEnd w:id="13"/>
    <w:p>
      <w:pPr>
        <w:ind w:left="332" w:right="100"/>
        <w:spacing w:after="0" w:line="261" w:lineRule="auto"/>
        <w:rPr>
          <w:sz w:val="20"/>
          <w:szCs w:val="20"/>
          <w:color w:val="auto"/>
        </w:rPr>
      </w:pPr>
      <w:r>
        <w:rPr>
          <w:rFonts w:ascii="Arial" w:cs="Arial" w:eastAsia="Arial" w:hAnsi="Arial"/>
          <w:sz w:val="21"/>
          <w:szCs w:val="21"/>
          <w:color w:val="auto"/>
        </w:rPr>
        <w:t>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21" w:lineRule="exact"/>
        <w:rPr>
          <w:sz w:val="20"/>
          <w:szCs w:val="20"/>
          <w:color w:val="auto"/>
        </w:rPr>
      </w:pPr>
    </w:p>
    <w:p>
      <w:pPr>
        <w:ind w:left="332"/>
        <w:spacing w:after="0"/>
        <w:rPr>
          <w:sz w:val="20"/>
          <w:szCs w:val="20"/>
          <w:color w:val="auto"/>
        </w:rPr>
      </w:pPr>
      <w:r>
        <w:rPr>
          <w:rFonts w:ascii="Arial" w:cs="Arial" w:eastAsia="Arial" w:hAnsi="Arial"/>
          <w:sz w:val="22"/>
          <w:szCs w:val="22"/>
          <w:color w:val="auto"/>
        </w:rPr>
        <w:t>For the purpose of the definition “Change of Control:”</w:t>
      </w:r>
    </w:p>
    <w:p>
      <w:pPr>
        <w:spacing w:after="0" w:line="260" w:lineRule="exact"/>
        <w:rPr>
          <w:sz w:val="20"/>
          <w:szCs w:val="20"/>
          <w:color w:val="auto"/>
        </w:rPr>
      </w:pPr>
    </w:p>
    <w:p>
      <w:pPr>
        <w:ind w:left="972" w:right="20" w:hanging="324"/>
        <w:spacing w:after="0" w:line="260" w:lineRule="auto"/>
        <w:tabs>
          <w:tab w:leader="none" w:pos="972" w:val="left"/>
        </w:tabs>
        <w:numPr>
          <w:ilvl w:val="1"/>
          <w:numId w:val="12"/>
        </w:numPr>
        <w:rPr>
          <w:rFonts w:ascii="Arial" w:cs="Arial" w:eastAsia="Arial" w:hAnsi="Arial"/>
          <w:sz w:val="21"/>
          <w:szCs w:val="21"/>
          <w:color w:val="auto"/>
        </w:rPr>
      </w:pPr>
      <w:r>
        <w:rPr>
          <w:rFonts w:ascii="Arial" w:cs="Arial" w:eastAsia="Arial" w:hAnsi="Arial"/>
          <w:sz w:val="21"/>
          <w:szCs w:val="21"/>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21" w:lineRule="exact"/>
        <w:rPr>
          <w:rFonts w:ascii="Arial" w:cs="Arial" w:eastAsia="Arial" w:hAnsi="Arial"/>
          <w:sz w:val="21"/>
          <w:szCs w:val="21"/>
          <w:color w:val="auto"/>
        </w:rPr>
      </w:pPr>
    </w:p>
    <w:p>
      <w:pPr>
        <w:ind w:left="972" w:right="320" w:hanging="324"/>
        <w:spacing w:after="0" w:line="253" w:lineRule="auto"/>
        <w:tabs>
          <w:tab w:leader="none" w:pos="972" w:val="left"/>
        </w:tabs>
        <w:numPr>
          <w:ilvl w:val="1"/>
          <w:numId w:val="12"/>
        </w:numPr>
        <w:rPr>
          <w:rFonts w:ascii="Arial" w:cs="Arial" w:eastAsia="Arial" w:hAnsi="Arial"/>
          <w:sz w:val="22"/>
          <w:szCs w:val="22"/>
          <w:color w:val="auto"/>
        </w:rPr>
      </w:pPr>
      <w:r>
        <w:rPr>
          <w:rFonts w:ascii="Arial" w:cs="Arial" w:eastAsia="Arial" w:hAnsi="Arial"/>
          <w:sz w:val="22"/>
          <w:szCs w:val="22"/>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w:t>
      </w:r>
    </w:p>
    <w:p>
      <w:pPr>
        <w:spacing w:after="0" w:line="226" w:lineRule="exact"/>
        <w:rPr>
          <w:rFonts w:ascii="Arial" w:cs="Arial" w:eastAsia="Arial" w:hAnsi="Arial"/>
          <w:sz w:val="22"/>
          <w:szCs w:val="22"/>
          <w:color w:val="auto"/>
        </w:rPr>
      </w:pPr>
    </w:p>
    <w:p>
      <w:pPr>
        <w:ind w:left="972" w:right="40" w:hanging="324"/>
        <w:spacing w:after="0" w:line="263" w:lineRule="auto"/>
        <w:tabs>
          <w:tab w:leader="none" w:pos="972" w:val="left"/>
        </w:tabs>
        <w:numPr>
          <w:ilvl w:val="1"/>
          <w:numId w:val="12"/>
        </w:numPr>
        <w:rPr>
          <w:rFonts w:ascii="Arial" w:cs="Arial" w:eastAsia="Arial" w:hAnsi="Arial"/>
          <w:sz w:val="22"/>
          <w:szCs w:val="22"/>
          <w:color w:val="auto"/>
        </w:rPr>
      </w:pPr>
      <w:r>
        <w:rPr>
          <w:rFonts w:ascii="Arial" w:cs="Arial" w:eastAsia="Arial" w:hAnsi="Arial"/>
          <w:sz w:val="22"/>
          <w:szCs w:val="22"/>
          <w:color w:val="auto"/>
        </w:rPr>
        <w:t>“Affiliate” means a Person that directly or indirectly through one or more intermediaries, controls, or is controlled by, or is under common control with, the person specified.</w:t>
      </w:r>
    </w:p>
    <w:p>
      <w:pPr>
        <w:spacing w:after="0" w:line="215" w:lineRule="exact"/>
        <w:rPr>
          <w:rFonts w:ascii="Arial" w:cs="Arial" w:eastAsia="Arial" w:hAnsi="Arial"/>
          <w:sz w:val="22"/>
          <w:szCs w:val="22"/>
          <w:color w:val="auto"/>
        </w:rPr>
      </w:pPr>
    </w:p>
    <w:p>
      <w:pPr>
        <w:ind w:left="972" w:hanging="324"/>
        <w:spacing w:after="0" w:line="294" w:lineRule="auto"/>
        <w:tabs>
          <w:tab w:leader="none" w:pos="972" w:val="left"/>
        </w:tabs>
        <w:numPr>
          <w:ilvl w:val="1"/>
          <w:numId w:val="12"/>
        </w:numPr>
        <w:rPr>
          <w:rFonts w:ascii="Arial" w:cs="Arial" w:eastAsia="Arial" w:hAnsi="Arial"/>
          <w:sz w:val="19"/>
          <w:szCs w:val="19"/>
          <w:color w:val="auto"/>
        </w:rPr>
      </w:pPr>
      <w:r>
        <w:rPr>
          <w:rFonts w:ascii="Arial" w:cs="Arial" w:eastAsia="Arial" w:hAnsi="Arial"/>
          <w:sz w:val="19"/>
          <w:szCs w:val="19"/>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90" w:lineRule="exact"/>
        <w:rPr>
          <w:rFonts w:ascii="Arial" w:cs="Arial" w:eastAsia="Arial" w:hAnsi="Arial"/>
          <w:sz w:val="19"/>
          <w:szCs w:val="19"/>
          <w:color w:val="auto"/>
        </w:rPr>
      </w:pPr>
    </w:p>
    <w:p>
      <w:pPr>
        <w:ind w:left="972" w:hanging="324"/>
        <w:spacing w:after="0"/>
        <w:tabs>
          <w:tab w:leader="none" w:pos="972" w:val="left"/>
        </w:tabs>
        <w:numPr>
          <w:ilvl w:val="1"/>
          <w:numId w:val="12"/>
        </w:numPr>
        <w:rPr>
          <w:rFonts w:ascii="Arial" w:cs="Arial" w:eastAsia="Arial" w:hAnsi="Arial"/>
          <w:sz w:val="22"/>
          <w:szCs w:val="22"/>
          <w:color w:val="auto"/>
        </w:rPr>
      </w:pPr>
      <w:r>
        <w:rPr>
          <w:rFonts w:ascii="Arial" w:cs="Arial" w:eastAsia="Arial" w:hAnsi="Arial"/>
          <w:sz w:val="22"/>
          <w:szCs w:val="22"/>
          <w:color w:val="auto"/>
        </w:rPr>
        <w:t>“Company” means Winnebago Industries, Inc., an Iowa corporation.</w:t>
      </w:r>
    </w:p>
    <w:p>
      <w:pPr>
        <w:spacing w:after="0" w:line="260" w:lineRule="exact"/>
        <w:rPr>
          <w:rFonts w:ascii="Arial" w:cs="Arial" w:eastAsia="Arial" w:hAnsi="Arial"/>
          <w:sz w:val="22"/>
          <w:szCs w:val="22"/>
          <w:color w:val="auto"/>
        </w:rPr>
      </w:pPr>
    </w:p>
    <w:p>
      <w:pPr>
        <w:ind w:left="972" w:right="440" w:hanging="324"/>
        <w:spacing w:after="0" w:line="263" w:lineRule="auto"/>
        <w:tabs>
          <w:tab w:leader="none" w:pos="972" w:val="left"/>
        </w:tabs>
        <w:numPr>
          <w:ilvl w:val="1"/>
          <w:numId w:val="12"/>
        </w:numPr>
        <w:rPr>
          <w:rFonts w:ascii="Arial" w:cs="Arial" w:eastAsia="Arial" w:hAnsi="Arial"/>
          <w:sz w:val="22"/>
          <w:szCs w:val="22"/>
          <w:color w:val="auto"/>
        </w:rPr>
      </w:pPr>
      <w:r>
        <w:rPr>
          <w:rFonts w:ascii="Arial" w:cs="Arial" w:eastAsia="Arial" w:hAnsi="Arial"/>
          <w:sz w:val="22"/>
          <w:szCs w:val="22"/>
          <w:color w:val="auto"/>
        </w:rPr>
        <w:t>“Person” means an individual, corporation, limited liability company, partnership, association, joint stock company, trust, unincorporated organization or government or political subdivision thereof.</w:t>
      </w:r>
    </w:p>
    <w:p>
      <w:pPr>
        <w:spacing w:after="0" w:line="209" w:lineRule="exact"/>
        <w:rPr>
          <w:rFonts w:ascii="Arial" w:cs="Arial" w:eastAsia="Arial" w:hAnsi="Arial"/>
          <w:sz w:val="22"/>
          <w:szCs w:val="22"/>
          <w:color w:val="auto"/>
        </w:rPr>
      </w:pPr>
    </w:p>
    <w:p>
      <w:pPr>
        <w:ind w:left="332" w:right="60" w:hanging="332"/>
        <w:spacing w:after="0" w:line="264" w:lineRule="auto"/>
        <w:tabs>
          <w:tab w:leader="none" w:pos="332" w:val="left"/>
        </w:tabs>
        <w:numPr>
          <w:ilvl w:val="0"/>
          <w:numId w:val="13"/>
        </w:numPr>
        <w:rPr>
          <w:rFonts w:ascii="Arial" w:cs="Arial" w:eastAsia="Arial" w:hAnsi="Arial"/>
          <w:sz w:val="21"/>
          <w:szCs w:val="21"/>
          <w:color w:val="auto"/>
        </w:rPr>
      </w:pPr>
      <w:r>
        <w:rPr>
          <w:rFonts w:ascii="Arial" w:cs="Arial" w:eastAsia="Arial" w:hAnsi="Arial"/>
          <w:sz w:val="21"/>
          <w:szCs w:val="21"/>
          <w:b w:val="1"/>
          <w:bCs w:val="1"/>
          <w:u w:val="single" w:color="auto"/>
          <w:color w:val="auto"/>
        </w:rPr>
        <w:t>Recoupment of Incentive Compensation.</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the Committee reasonably determines that the performance certified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Committee, and any payment made to a participant with respect to the Plan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will be obligated to repay to</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591" w:right="239" w:bottom="1440" w:gutter="0" w:footer="0" w:header="0"/>
        </w:sectPr>
      </w:pPr>
    </w:p>
    <w:bookmarkStart w:id="14" w:name="page15"/>
    <w:bookmarkEnd w:id="14"/>
    <w:p>
      <w:pPr>
        <w:ind w:left="340" w:right="100"/>
        <w:spacing w:after="0" w:line="294" w:lineRule="auto"/>
        <w:rPr>
          <w:sz w:val="20"/>
          <w:szCs w:val="20"/>
          <w:color w:val="auto"/>
        </w:rPr>
      </w:pPr>
      <w:r>
        <w:rPr>
          <w:rFonts w:ascii="Arial" w:cs="Arial" w:eastAsia="Arial" w:hAnsi="Arial"/>
          <w:sz w:val="19"/>
          <w:szCs w:val="19"/>
          <w:color w:val="auto"/>
        </w:rPr>
        <w:t>the Company such amounts as required under any rules or regulations adopted by the Securities Exchange Commission under Section 10D(b)(2) of the Securities Exchange Act of 1934, as amended,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 Any determination made by the Board of Directors or the Committee under this provision shall be final, binding and conclusive on the participant.</w:t>
      </w:r>
    </w:p>
    <w:p>
      <w:pPr>
        <w:spacing w:after="0" w:line="184" w:lineRule="exact"/>
        <w:rPr>
          <w:sz w:val="20"/>
          <w:szCs w:val="20"/>
          <w:color w:val="auto"/>
        </w:rPr>
      </w:pPr>
    </w:p>
    <w:p>
      <w:pPr>
        <w:ind w:left="340" w:right="120" w:hanging="332"/>
        <w:spacing w:after="0" w:line="269" w:lineRule="auto"/>
        <w:tabs>
          <w:tab w:leader="none" w:pos="340" w:val="left"/>
        </w:tabs>
        <w:numPr>
          <w:ilvl w:val="0"/>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preempted by federal law, the consideration and operation of the Plan shall be governed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laws of the State of Iowa.</w:t>
      </w:r>
    </w:p>
    <w:p>
      <w:pPr>
        <w:spacing w:after="0" w:line="202" w:lineRule="exact"/>
        <w:rPr>
          <w:rFonts w:ascii="Arial" w:cs="Arial" w:eastAsia="Arial" w:hAnsi="Arial"/>
          <w:sz w:val="22"/>
          <w:szCs w:val="22"/>
          <w:color w:val="auto"/>
        </w:rPr>
      </w:pPr>
    </w:p>
    <w:p>
      <w:pPr>
        <w:ind w:left="340" w:hanging="332"/>
        <w:spacing w:after="0" w:line="350" w:lineRule="auto"/>
        <w:tabs>
          <w:tab w:leader="none" w:pos="340" w:val="left"/>
        </w:tabs>
        <w:numPr>
          <w:ilvl w:val="0"/>
          <w:numId w:val="14"/>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Rights.</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this Plan shall confer upon any employee the right to continue in the employ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affect the right of the Company to terminate an employee's employment at any time, with or without cause.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640" w:type="dxa"/>
            <w:vAlign w:val="bottom"/>
            <w:gridSpan w:val="2"/>
          </w:tcPr>
          <w:p>
            <w:pPr>
              <w:spacing w:after="0"/>
              <w:rPr>
                <w:sz w:val="20"/>
                <w:szCs w:val="20"/>
                <w:color w:val="auto"/>
              </w:rPr>
            </w:pPr>
            <w:r>
              <w:rPr>
                <w:rFonts w:ascii="Arial" w:cs="Arial" w:eastAsia="Arial" w:hAnsi="Arial"/>
                <w:sz w:val="22"/>
                <w:szCs w:val="22"/>
                <w:color w:val="auto"/>
              </w:rPr>
              <w:t>Approved by:</w:t>
            </w:r>
          </w:p>
        </w:tc>
        <w:tc>
          <w:tcPr>
            <w:tcW w:w="2280" w:type="dxa"/>
            <w:vAlign w:val="bottom"/>
          </w:tcPr>
          <w:p>
            <w:pPr>
              <w:spacing w:after="0"/>
              <w:rPr>
                <w:sz w:val="23"/>
                <w:szCs w:val="23"/>
                <w:color w:val="auto"/>
              </w:rPr>
            </w:pPr>
          </w:p>
        </w:tc>
      </w:tr>
      <w:tr>
        <w:trPr>
          <w:trHeight w:val="67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Randy J. Potts</w:t>
            </w:r>
          </w:p>
        </w:tc>
        <w:tc>
          <w:tcPr>
            <w:tcW w:w="680" w:type="dxa"/>
            <w:vAlign w:val="bottom"/>
          </w:tcPr>
          <w:p>
            <w:pPr>
              <w:spacing w:after="0"/>
              <w:rPr>
                <w:sz w:val="24"/>
                <w:szCs w:val="24"/>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June 20, 2012</w:t>
            </w:r>
          </w:p>
        </w:tc>
      </w:tr>
      <w:tr>
        <w:trPr>
          <w:trHeight w:val="280"/>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Randy J. Potts</w:t>
            </w:r>
          </w:p>
        </w:tc>
        <w:tc>
          <w:tcPr>
            <w:tcW w:w="2280" w:type="dxa"/>
            <w:vAlign w:val="bottom"/>
          </w:tcPr>
          <w:p>
            <w:pPr>
              <w:ind w:left="20"/>
              <w:spacing w:after="0"/>
              <w:rPr>
                <w:sz w:val="20"/>
                <w:szCs w:val="20"/>
                <w:color w:val="auto"/>
              </w:rPr>
            </w:pPr>
            <w:r>
              <w:rPr>
                <w:rFonts w:ascii="Arial" w:cs="Arial" w:eastAsia="Arial" w:hAnsi="Arial"/>
                <w:sz w:val="22"/>
                <w:szCs w:val="22"/>
                <w:color w:val="auto"/>
              </w:rPr>
              <w:t>Dated</w:t>
            </w:r>
          </w:p>
        </w:tc>
      </w:tr>
      <w:tr>
        <w:trPr>
          <w:trHeight w:val="297"/>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Chairman of the Board, CEO and President</w:t>
            </w:r>
          </w:p>
        </w:tc>
        <w:tc>
          <w:tcPr>
            <w:tcW w:w="2280" w:type="dxa"/>
            <w:vAlign w:val="bottom"/>
          </w:tcPr>
          <w:p>
            <w:pPr>
              <w:spacing w:after="0"/>
              <w:rPr>
                <w:sz w:val="24"/>
                <w:szCs w:val="24"/>
                <w:color w:val="auto"/>
              </w:rPr>
            </w:pPr>
          </w:p>
        </w:tc>
      </w:tr>
      <w:tr>
        <w:trPr>
          <w:trHeight w:val="297"/>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Winnebago Industries, Inc.</w:t>
            </w:r>
          </w:p>
        </w:tc>
        <w:tc>
          <w:tcPr>
            <w:tcW w:w="2280" w:type="dxa"/>
            <w:vAlign w:val="bottom"/>
          </w:tcPr>
          <w:p>
            <w:pPr>
              <w:spacing w:after="0"/>
              <w:rPr>
                <w:sz w:val="24"/>
                <w:szCs w:val="24"/>
                <w:color w:val="auto"/>
              </w:rPr>
            </w:pPr>
          </w:p>
        </w:tc>
      </w:tr>
      <w:tr>
        <w:trPr>
          <w:trHeight w:val="591"/>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Gerald C. Kitch</w:t>
            </w:r>
          </w:p>
        </w:tc>
        <w:tc>
          <w:tcPr>
            <w:tcW w:w="680" w:type="dxa"/>
            <w:vAlign w:val="bottom"/>
          </w:tcPr>
          <w:p>
            <w:pPr>
              <w:spacing w:after="0"/>
              <w:rPr>
                <w:sz w:val="24"/>
                <w:szCs w:val="24"/>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June 20, 2012</w:t>
            </w:r>
          </w:p>
        </w:tc>
      </w:tr>
      <w:tr>
        <w:trPr>
          <w:trHeight w:val="280"/>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Gerald C. Kitch</w:t>
            </w:r>
          </w:p>
        </w:tc>
        <w:tc>
          <w:tcPr>
            <w:tcW w:w="2280" w:type="dxa"/>
            <w:vAlign w:val="bottom"/>
          </w:tcPr>
          <w:p>
            <w:pPr>
              <w:ind w:left="20"/>
              <w:spacing w:after="0"/>
              <w:rPr>
                <w:sz w:val="20"/>
                <w:szCs w:val="20"/>
                <w:color w:val="auto"/>
              </w:rPr>
            </w:pPr>
            <w:r>
              <w:rPr>
                <w:rFonts w:ascii="Arial" w:cs="Arial" w:eastAsia="Arial" w:hAnsi="Arial"/>
                <w:sz w:val="22"/>
                <w:szCs w:val="22"/>
                <w:color w:val="auto"/>
              </w:rPr>
              <w:t>Dated</w:t>
            </w:r>
          </w:p>
        </w:tc>
      </w:tr>
      <w:tr>
        <w:trPr>
          <w:trHeight w:val="297"/>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Chairman, Human Resources Committee</w:t>
            </w:r>
          </w:p>
        </w:tc>
        <w:tc>
          <w:tcPr>
            <w:tcW w:w="2280" w:type="dxa"/>
            <w:vAlign w:val="bottom"/>
          </w:tcPr>
          <w:p>
            <w:pPr>
              <w:spacing w:after="0"/>
              <w:rPr>
                <w:sz w:val="24"/>
                <w:szCs w:val="24"/>
                <w:color w:val="auto"/>
              </w:rPr>
            </w:pPr>
          </w:p>
        </w:tc>
      </w:tr>
      <w:tr>
        <w:trPr>
          <w:trHeight w:val="297"/>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of the Winnebago Industries Board of Directors</w:t>
            </w:r>
          </w:p>
        </w:tc>
        <w:tc>
          <w:tcPr>
            <w:tcW w:w="2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sectPr>
      <w:pgSz w:w="11900" w:h="16838" w:orient="portrait"/>
      <w:cols w:equalWidth="0" w:num="1">
        <w:col w:w="11360"/>
      </w:cols>
      <w:pgMar w:left="240" w:top="59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1)"/>
      <w:numFmt w:val="lowerLetter"/>
      <w:start w:val="5"/>
    </w:lvl>
  </w:abstractNum>
  <w:abstractNum w:abstractNumId="2">
    <w:nsid w:val="515F007C"/>
    <w:multiLevelType w:val="hybridMultilevel"/>
    <w:lvl w:ilvl="0">
      <w:lvlJc w:val="left"/>
      <w:lvlText w:val="(%1)"/>
      <w:numFmt w:val="lowerLetter"/>
      <w:start w:val="3"/>
    </w:lvl>
  </w:abstractNum>
  <w:abstractNum w:abstractNumId="3">
    <w:nsid w:val="5BD062C2"/>
    <w:multiLevelType w:val="hybridMultilevel"/>
    <w:lvl w:ilvl="0">
      <w:lvlJc w:val="left"/>
      <w:lvlText w:val="%1."/>
      <w:numFmt w:val="decimal"/>
      <w:start w:val="1"/>
    </w:lvl>
    <w:lvl w:ilvl="1">
      <w:lvlJc w:val="left"/>
      <w:lvlText w:val="%2."/>
      <w:numFmt w:val="lowerLetter"/>
      <w:start w:val="1"/>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7"/>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1"/>
    </w:lvl>
    <w:lvl w:ilvl="1">
      <w:lvlJc w:val="left"/>
      <w:lvlText w:val="%2."/>
      <w:numFmt w:val="lowerLetter"/>
      <w:start w:val="5"/>
    </w:lvl>
  </w:abstractNum>
  <w:abstractNum w:abstractNumId="8">
    <w:nsid w:val="1190CDE7"/>
    <w:multiLevelType w:val="hybridMultilevel"/>
    <w:lvl w:ilvl="0">
      <w:lvlJc w:val="left"/>
      <w:lvlText w:val="%1."/>
      <w:numFmt w:val="decimal"/>
      <w:start w:val="9"/>
    </w:lvl>
    <w:lvl w:ilvl="1">
      <w:lvlJc w:val="left"/>
      <w:lvlText w:val="%2"/>
      <w:numFmt w:val="lowerLetter"/>
      <w:start w:val="1"/>
    </w:lvl>
  </w:abstractNum>
  <w:abstractNum w:abstractNumId="9">
    <w:nsid w:val="66EF438D"/>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2019-12-09T08:55:08Z</dcterms:created>
  <dcterms:modified xsi:type="dcterms:W3CDTF">2019-12-09T08:55:08Z</dcterms:modified>
</cp:coreProperties>
</file>